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258" w:rsidRPr="00D34546" w:rsidRDefault="00D34546" w:rsidP="00D34546">
      <w:pPr>
        <w:pStyle w:val="Title1"/>
      </w:pPr>
      <w:bookmarkStart w:id="0" w:name="_GoBack"/>
      <w:bookmarkEnd w:id="0"/>
      <w:r w:rsidRPr="00D34546">
        <w:t xml:space="preserve">PUBLIC TRANSPORT VICTORIA </w:t>
      </w:r>
    </w:p>
    <w:p w:rsidR="0038622C" w:rsidRDefault="00D34546" w:rsidP="00D34546">
      <w:pPr>
        <w:pStyle w:val="Title1"/>
      </w:pPr>
      <w:r w:rsidRPr="00D34546">
        <w:t>ANNUAL REPORT 2012-13</w:t>
      </w:r>
    </w:p>
    <w:p w:rsidR="004D3D5C" w:rsidRDefault="004D3D5C" w:rsidP="00CA287F">
      <w:pPr>
        <w:autoSpaceDE w:val="0"/>
        <w:autoSpaceDN w:val="0"/>
        <w:adjustRightInd w:val="0"/>
        <w:rPr>
          <w:rFonts w:ascii="Arial" w:hAnsi="Arial" w:cs="Arial"/>
          <w:iCs/>
        </w:rPr>
      </w:pPr>
    </w:p>
    <w:p w:rsidR="00CA287F" w:rsidRPr="00CA287F" w:rsidRDefault="00CA287F" w:rsidP="004D3D5C">
      <w:pPr>
        <w:pStyle w:val="Title1"/>
      </w:pPr>
      <w:r w:rsidRPr="00CA287F">
        <w:t>Leading our public transport network – for all Victorians today and tomorrow.</w:t>
      </w:r>
    </w:p>
    <w:p w:rsidR="00CA287F" w:rsidRPr="00D34546" w:rsidRDefault="00CA287F" w:rsidP="00D34546">
      <w:pPr>
        <w:pStyle w:val="Title1"/>
      </w:pPr>
    </w:p>
    <w:p w:rsidR="00CA287F" w:rsidRDefault="00CA287F">
      <w:pPr>
        <w:rPr>
          <w:rFonts w:ascii="Arial" w:hAnsi="Arial" w:cs="Arial"/>
        </w:rPr>
      </w:pPr>
    </w:p>
    <w:p w:rsidR="00917258" w:rsidRDefault="00917258">
      <w:pPr>
        <w:rPr>
          <w:rFonts w:ascii="Arial" w:hAnsi="Arial" w:cs="Arial"/>
        </w:rPr>
      </w:pPr>
      <w:r>
        <w:rPr>
          <w:rFonts w:ascii="Arial" w:hAnsi="Arial" w:cs="Arial"/>
        </w:rPr>
        <w:br w:type="page"/>
      </w:r>
    </w:p>
    <w:p w:rsidR="004D3D5C" w:rsidRPr="00204582" w:rsidRDefault="004D3D5C" w:rsidP="004D3D5C">
      <w:pPr>
        <w:pStyle w:val="Heading10"/>
      </w:pPr>
      <w:r w:rsidRPr="00204582">
        <w:t>Contents</w:t>
      </w:r>
    </w:p>
    <w:p w:rsidR="004D3D5C" w:rsidRDefault="004D3D5C" w:rsidP="00DA50F4">
      <w:pPr>
        <w:pStyle w:val="TOC1"/>
      </w:pPr>
    </w:p>
    <w:p w:rsidR="004F3522" w:rsidRPr="00AD22A8" w:rsidRDefault="004D3D5C" w:rsidP="004F3522">
      <w:pPr>
        <w:rPr>
          <w:rFonts w:ascii="Arial" w:hAnsi="Arial" w:cs="Arial"/>
        </w:rPr>
      </w:pPr>
      <w:r>
        <w:rPr>
          <w:rFonts w:cs="Arial"/>
        </w:rPr>
        <w:fldChar w:fldCharType="begin"/>
      </w:r>
      <w:r>
        <w:rPr>
          <w:rFonts w:cs="Arial"/>
        </w:rPr>
        <w:instrText xml:space="preserve"> TOC \o "1-3" \h \z \u </w:instrText>
      </w:r>
      <w:r>
        <w:rPr>
          <w:rFonts w:cs="Arial"/>
        </w:rPr>
        <w:fldChar w:fldCharType="separate"/>
      </w:r>
      <w:hyperlink w:anchor="_Toc366672077" w:history="1">
        <w:r w:rsidR="004F3522" w:rsidRPr="00957EBC">
          <w:rPr>
            <w:rStyle w:val="Hyperlink"/>
            <w:rFonts w:ascii="Arial" w:hAnsi="Arial" w:cs="Arial"/>
            <w:color w:val="auto"/>
            <w:u w:val="none"/>
          </w:rPr>
          <w:t>2012-13 Annual Report Transmittal Letter</w:t>
        </w:r>
        <w:r w:rsidR="004F3522" w:rsidRPr="00957EBC">
          <w:rPr>
            <w:rStyle w:val="Hyperlink"/>
            <w:rFonts w:ascii="Arial" w:hAnsi="Arial" w:cs="Arial"/>
            <w:webHidden/>
            <w:color w:val="auto"/>
            <w:u w:val="none"/>
          </w:rPr>
          <w:t>……………………………………..</w:t>
        </w:r>
        <w:r w:rsidR="004F3522" w:rsidRPr="00957EBC">
          <w:rPr>
            <w:rStyle w:val="Hyperlink"/>
            <w:rFonts w:ascii="Arial" w:hAnsi="Arial" w:cs="Arial"/>
            <w:webHidden/>
            <w:color w:val="auto"/>
            <w:u w:val="none"/>
          </w:rPr>
          <w:fldChar w:fldCharType="begin"/>
        </w:r>
        <w:r w:rsidR="004F3522" w:rsidRPr="00957EBC">
          <w:rPr>
            <w:rStyle w:val="Hyperlink"/>
            <w:rFonts w:ascii="Arial" w:hAnsi="Arial" w:cs="Arial"/>
            <w:webHidden/>
            <w:color w:val="auto"/>
            <w:u w:val="none"/>
          </w:rPr>
          <w:instrText xml:space="preserve"> PAGEREF _Toc366672077 \h </w:instrText>
        </w:r>
        <w:r w:rsidR="004F3522" w:rsidRPr="00957EBC">
          <w:rPr>
            <w:rStyle w:val="Hyperlink"/>
            <w:rFonts w:ascii="Arial" w:hAnsi="Arial" w:cs="Arial"/>
            <w:webHidden/>
            <w:color w:val="auto"/>
            <w:u w:val="none"/>
          </w:rPr>
        </w:r>
        <w:r w:rsidR="004F3522" w:rsidRPr="00957EBC">
          <w:rPr>
            <w:rStyle w:val="Hyperlink"/>
            <w:rFonts w:ascii="Arial" w:hAnsi="Arial" w:cs="Arial"/>
            <w:webHidden/>
            <w:color w:val="auto"/>
            <w:u w:val="none"/>
          </w:rPr>
          <w:fldChar w:fldCharType="separate"/>
        </w:r>
        <w:r w:rsidR="004F3522" w:rsidRPr="00957EBC">
          <w:rPr>
            <w:rStyle w:val="Hyperlink"/>
            <w:rFonts w:ascii="Arial" w:hAnsi="Arial" w:cs="Arial"/>
            <w:webHidden/>
            <w:color w:val="auto"/>
            <w:u w:val="none"/>
          </w:rPr>
          <w:t>4</w:t>
        </w:r>
        <w:r w:rsidR="004F3522" w:rsidRPr="00957EBC">
          <w:rPr>
            <w:rStyle w:val="Hyperlink"/>
            <w:rFonts w:ascii="Arial" w:hAnsi="Arial" w:cs="Arial"/>
            <w:webHidden/>
            <w:color w:val="auto"/>
            <w:u w:val="none"/>
          </w:rPr>
          <w:fldChar w:fldCharType="end"/>
        </w:r>
      </w:hyperlink>
    </w:p>
    <w:p w:rsidR="004F3522" w:rsidRPr="00AD22A8" w:rsidRDefault="002059C1" w:rsidP="004F3522">
      <w:pPr>
        <w:rPr>
          <w:rFonts w:ascii="Arial" w:hAnsi="Arial" w:cs="Arial"/>
        </w:rPr>
      </w:pPr>
      <w:hyperlink w:anchor="_Toc366672078" w:history="1">
        <w:r w:rsidR="004F3522" w:rsidRPr="00957EBC">
          <w:rPr>
            <w:rStyle w:val="Hyperlink"/>
            <w:rFonts w:ascii="Arial" w:hAnsi="Arial" w:cs="Arial"/>
            <w:color w:val="auto"/>
            <w:u w:val="none"/>
          </w:rPr>
          <w:t>Abbreviations</w:t>
        </w:r>
        <w:r w:rsidR="004F3522" w:rsidRPr="00957EBC">
          <w:rPr>
            <w:rStyle w:val="Hyperlink"/>
            <w:rFonts w:ascii="Arial" w:hAnsi="Arial" w:cs="Arial"/>
            <w:webHidden/>
            <w:color w:val="auto"/>
            <w:u w:val="none"/>
          </w:rPr>
          <w:t>………………………………………………………………………</w:t>
        </w:r>
        <w:r w:rsidR="004F3522" w:rsidRPr="00957EBC">
          <w:rPr>
            <w:rStyle w:val="Hyperlink"/>
            <w:rFonts w:ascii="Arial" w:hAnsi="Arial" w:cs="Arial"/>
            <w:webHidden/>
            <w:color w:val="auto"/>
            <w:u w:val="none"/>
          </w:rPr>
          <w:fldChar w:fldCharType="begin"/>
        </w:r>
        <w:r w:rsidR="004F3522" w:rsidRPr="00957EBC">
          <w:rPr>
            <w:rStyle w:val="Hyperlink"/>
            <w:rFonts w:ascii="Arial" w:hAnsi="Arial" w:cs="Arial"/>
            <w:webHidden/>
            <w:color w:val="auto"/>
            <w:u w:val="none"/>
          </w:rPr>
          <w:instrText xml:space="preserve"> PAGEREF _Toc366672078 \h </w:instrText>
        </w:r>
        <w:r w:rsidR="004F3522" w:rsidRPr="00957EBC">
          <w:rPr>
            <w:rStyle w:val="Hyperlink"/>
            <w:rFonts w:ascii="Arial" w:hAnsi="Arial" w:cs="Arial"/>
            <w:webHidden/>
            <w:color w:val="auto"/>
            <w:u w:val="none"/>
          </w:rPr>
        </w:r>
        <w:r w:rsidR="004F3522" w:rsidRPr="00957EBC">
          <w:rPr>
            <w:rStyle w:val="Hyperlink"/>
            <w:rFonts w:ascii="Arial" w:hAnsi="Arial" w:cs="Arial"/>
            <w:webHidden/>
            <w:color w:val="auto"/>
            <w:u w:val="none"/>
          </w:rPr>
          <w:fldChar w:fldCharType="separate"/>
        </w:r>
        <w:r w:rsidR="004F3522" w:rsidRPr="00957EBC">
          <w:rPr>
            <w:rStyle w:val="Hyperlink"/>
            <w:rFonts w:ascii="Arial" w:hAnsi="Arial" w:cs="Arial"/>
            <w:webHidden/>
            <w:color w:val="auto"/>
            <w:u w:val="none"/>
          </w:rPr>
          <w:t>5</w:t>
        </w:r>
        <w:r w:rsidR="004F3522" w:rsidRPr="00957EBC">
          <w:rPr>
            <w:rStyle w:val="Hyperlink"/>
            <w:rFonts w:ascii="Arial" w:hAnsi="Arial" w:cs="Arial"/>
            <w:webHidden/>
            <w:color w:val="auto"/>
            <w:u w:val="none"/>
          </w:rPr>
          <w:fldChar w:fldCharType="end"/>
        </w:r>
      </w:hyperlink>
    </w:p>
    <w:p w:rsidR="004F3522" w:rsidRPr="00AD22A8" w:rsidRDefault="002059C1" w:rsidP="004F3522">
      <w:pPr>
        <w:rPr>
          <w:rFonts w:ascii="Arial" w:hAnsi="Arial" w:cs="Arial"/>
        </w:rPr>
      </w:pPr>
      <w:hyperlink w:anchor="_Toc366672079" w:history="1">
        <w:r w:rsidR="004F3522" w:rsidRPr="00957EBC">
          <w:rPr>
            <w:rStyle w:val="Hyperlink"/>
            <w:rFonts w:ascii="Arial" w:hAnsi="Arial" w:cs="Arial"/>
            <w:color w:val="auto"/>
            <w:u w:val="none"/>
          </w:rPr>
          <w:t xml:space="preserve">Chair and Chief Executive’s </w:t>
        </w:r>
        <w:r w:rsidR="004F3522">
          <w:rPr>
            <w:rStyle w:val="Hyperlink"/>
            <w:rFonts w:ascii="Arial" w:hAnsi="Arial" w:cs="Arial"/>
            <w:color w:val="auto"/>
            <w:u w:val="none"/>
          </w:rPr>
          <w:t>f</w:t>
        </w:r>
        <w:r w:rsidR="004F3522" w:rsidRPr="00957EBC">
          <w:rPr>
            <w:rStyle w:val="Hyperlink"/>
            <w:rFonts w:ascii="Arial" w:hAnsi="Arial" w:cs="Arial"/>
            <w:color w:val="auto"/>
            <w:u w:val="none"/>
          </w:rPr>
          <w:t>oreword…………………………………………</w:t>
        </w:r>
        <w:r w:rsidR="004F3522">
          <w:rPr>
            <w:rStyle w:val="Hyperlink"/>
            <w:rFonts w:ascii="Arial" w:hAnsi="Arial" w:cs="Arial"/>
            <w:color w:val="auto"/>
            <w:u w:val="none"/>
          </w:rPr>
          <w:t>..</w:t>
        </w:r>
        <w:r w:rsidR="004F3522" w:rsidRPr="00957EBC">
          <w:rPr>
            <w:rStyle w:val="Hyperlink"/>
            <w:rFonts w:ascii="Arial" w:hAnsi="Arial" w:cs="Arial"/>
            <w:webHidden/>
            <w:color w:val="auto"/>
            <w:u w:val="none"/>
          </w:rPr>
          <w:fldChar w:fldCharType="begin"/>
        </w:r>
        <w:r w:rsidR="004F3522" w:rsidRPr="00957EBC">
          <w:rPr>
            <w:rStyle w:val="Hyperlink"/>
            <w:rFonts w:ascii="Arial" w:hAnsi="Arial" w:cs="Arial"/>
            <w:webHidden/>
            <w:color w:val="auto"/>
            <w:u w:val="none"/>
          </w:rPr>
          <w:instrText xml:space="preserve"> PAGEREF _Toc366672079 \h </w:instrText>
        </w:r>
        <w:r w:rsidR="004F3522" w:rsidRPr="00957EBC">
          <w:rPr>
            <w:rStyle w:val="Hyperlink"/>
            <w:rFonts w:ascii="Arial" w:hAnsi="Arial" w:cs="Arial"/>
            <w:webHidden/>
            <w:color w:val="auto"/>
            <w:u w:val="none"/>
          </w:rPr>
        </w:r>
        <w:r w:rsidR="004F3522" w:rsidRPr="00957EBC">
          <w:rPr>
            <w:rStyle w:val="Hyperlink"/>
            <w:rFonts w:ascii="Arial" w:hAnsi="Arial" w:cs="Arial"/>
            <w:webHidden/>
            <w:color w:val="auto"/>
            <w:u w:val="none"/>
          </w:rPr>
          <w:fldChar w:fldCharType="separate"/>
        </w:r>
        <w:r w:rsidR="004F3522" w:rsidRPr="00957EBC">
          <w:rPr>
            <w:rStyle w:val="Hyperlink"/>
            <w:rFonts w:ascii="Arial" w:hAnsi="Arial" w:cs="Arial"/>
            <w:webHidden/>
            <w:color w:val="auto"/>
            <w:u w:val="none"/>
          </w:rPr>
          <w:t>7</w:t>
        </w:r>
        <w:r w:rsidR="004F3522" w:rsidRPr="00957EBC">
          <w:rPr>
            <w:rStyle w:val="Hyperlink"/>
            <w:rFonts w:ascii="Arial" w:hAnsi="Arial" w:cs="Arial"/>
            <w:webHidden/>
            <w:color w:val="auto"/>
            <w:u w:val="none"/>
          </w:rPr>
          <w:fldChar w:fldCharType="end"/>
        </w:r>
      </w:hyperlink>
    </w:p>
    <w:p w:rsidR="004F3522" w:rsidRPr="00AD22A8" w:rsidRDefault="002059C1" w:rsidP="004F3522">
      <w:pPr>
        <w:rPr>
          <w:rFonts w:ascii="Arial" w:hAnsi="Arial" w:cs="Arial"/>
        </w:rPr>
      </w:pPr>
      <w:hyperlink w:anchor="_Toc366672080" w:history="1">
        <w:r w:rsidR="004F3522" w:rsidRPr="00957EBC">
          <w:rPr>
            <w:rStyle w:val="Hyperlink"/>
            <w:rFonts w:ascii="Arial" w:hAnsi="Arial" w:cs="Arial"/>
            <w:color w:val="auto"/>
            <w:u w:val="none"/>
          </w:rPr>
          <w:t>PTV Structure and Governance</w:t>
        </w:r>
        <w:r w:rsidR="004F3522" w:rsidRPr="00957EBC">
          <w:rPr>
            <w:rStyle w:val="Hyperlink"/>
            <w:rFonts w:ascii="Arial" w:hAnsi="Arial" w:cs="Arial"/>
            <w:webHidden/>
            <w:color w:val="auto"/>
            <w:u w:val="none"/>
          </w:rPr>
          <w:t>…………</w:t>
        </w:r>
        <w:r w:rsidR="004F3522">
          <w:rPr>
            <w:rStyle w:val="Hyperlink"/>
            <w:rFonts w:ascii="Arial" w:hAnsi="Arial" w:cs="Arial"/>
            <w:webHidden/>
            <w:color w:val="auto"/>
            <w:u w:val="none"/>
          </w:rPr>
          <w:t>...</w:t>
        </w:r>
        <w:r w:rsidR="004F3522" w:rsidRPr="00957EBC">
          <w:rPr>
            <w:rStyle w:val="Hyperlink"/>
            <w:rFonts w:ascii="Arial" w:hAnsi="Arial" w:cs="Arial"/>
            <w:webHidden/>
            <w:color w:val="auto"/>
            <w:u w:val="none"/>
          </w:rPr>
          <w:t>…………………………………….</w:t>
        </w:r>
        <w:r w:rsidR="004F3522" w:rsidRPr="00957EBC">
          <w:rPr>
            <w:rStyle w:val="Hyperlink"/>
            <w:rFonts w:ascii="Arial" w:hAnsi="Arial" w:cs="Arial"/>
            <w:webHidden/>
            <w:color w:val="auto"/>
            <w:u w:val="none"/>
          </w:rPr>
          <w:fldChar w:fldCharType="begin"/>
        </w:r>
        <w:r w:rsidR="004F3522" w:rsidRPr="00957EBC">
          <w:rPr>
            <w:rStyle w:val="Hyperlink"/>
            <w:rFonts w:ascii="Arial" w:hAnsi="Arial" w:cs="Arial"/>
            <w:webHidden/>
            <w:color w:val="auto"/>
            <w:u w:val="none"/>
          </w:rPr>
          <w:instrText xml:space="preserve"> PAGEREF _Toc366672080 \h </w:instrText>
        </w:r>
        <w:r w:rsidR="004F3522" w:rsidRPr="00957EBC">
          <w:rPr>
            <w:rStyle w:val="Hyperlink"/>
            <w:rFonts w:ascii="Arial" w:hAnsi="Arial" w:cs="Arial"/>
            <w:webHidden/>
            <w:color w:val="auto"/>
            <w:u w:val="none"/>
          </w:rPr>
        </w:r>
        <w:r w:rsidR="004F3522" w:rsidRPr="00957EBC">
          <w:rPr>
            <w:rStyle w:val="Hyperlink"/>
            <w:rFonts w:ascii="Arial" w:hAnsi="Arial" w:cs="Arial"/>
            <w:webHidden/>
            <w:color w:val="auto"/>
            <w:u w:val="none"/>
          </w:rPr>
          <w:fldChar w:fldCharType="separate"/>
        </w:r>
        <w:r w:rsidR="004F3522" w:rsidRPr="00957EBC">
          <w:rPr>
            <w:rStyle w:val="Hyperlink"/>
            <w:rFonts w:ascii="Arial" w:hAnsi="Arial" w:cs="Arial"/>
            <w:webHidden/>
            <w:color w:val="auto"/>
            <w:u w:val="none"/>
          </w:rPr>
          <w:t>8</w:t>
        </w:r>
        <w:r w:rsidR="004F3522" w:rsidRPr="00957EBC">
          <w:rPr>
            <w:rStyle w:val="Hyperlink"/>
            <w:rFonts w:ascii="Arial" w:hAnsi="Arial" w:cs="Arial"/>
            <w:webHidden/>
            <w:color w:val="auto"/>
            <w:u w:val="none"/>
          </w:rPr>
          <w:fldChar w:fldCharType="end"/>
        </w:r>
      </w:hyperlink>
    </w:p>
    <w:p w:rsidR="004F3522" w:rsidRPr="00AD22A8" w:rsidRDefault="002059C1" w:rsidP="004F3522">
      <w:pPr>
        <w:rPr>
          <w:rFonts w:ascii="Arial" w:hAnsi="Arial" w:cs="Arial"/>
        </w:rPr>
      </w:pPr>
      <w:hyperlink w:anchor="_Toc366672081" w:history="1">
        <w:r w:rsidR="004F3522" w:rsidRPr="00957EBC">
          <w:rPr>
            <w:rStyle w:val="Hyperlink"/>
            <w:rFonts w:ascii="Arial" w:hAnsi="Arial" w:cs="Arial"/>
            <w:color w:val="auto"/>
            <w:u w:val="none"/>
          </w:rPr>
          <w:t>Organisational structure</w:t>
        </w:r>
        <w:r w:rsidR="004F3522" w:rsidRPr="00957EBC">
          <w:rPr>
            <w:rStyle w:val="Hyperlink"/>
            <w:rFonts w:ascii="Arial" w:hAnsi="Arial" w:cs="Arial"/>
            <w:webHidden/>
            <w:color w:val="auto"/>
            <w:u w:val="none"/>
          </w:rPr>
          <w:t>………………</w:t>
        </w:r>
        <w:r w:rsidR="004F3522">
          <w:rPr>
            <w:rStyle w:val="Hyperlink"/>
            <w:rFonts w:ascii="Arial" w:hAnsi="Arial" w:cs="Arial"/>
            <w:webHidden/>
            <w:color w:val="auto"/>
            <w:u w:val="none"/>
          </w:rPr>
          <w:t>...</w:t>
        </w:r>
        <w:r w:rsidR="004F3522" w:rsidRPr="00957EBC">
          <w:rPr>
            <w:rStyle w:val="Hyperlink"/>
            <w:rFonts w:ascii="Arial" w:hAnsi="Arial" w:cs="Arial"/>
            <w:webHidden/>
            <w:color w:val="auto"/>
            <w:u w:val="none"/>
          </w:rPr>
          <w:t>………………………………………</w:t>
        </w:r>
        <w:r w:rsidR="004F3522" w:rsidRPr="00957EBC">
          <w:rPr>
            <w:rStyle w:val="Hyperlink"/>
            <w:rFonts w:ascii="Arial" w:hAnsi="Arial" w:cs="Arial"/>
            <w:webHidden/>
            <w:color w:val="auto"/>
            <w:u w:val="none"/>
          </w:rPr>
          <w:fldChar w:fldCharType="begin"/>
        </w:r>
        <w:r w:rsidR="004F3522" w:rsidRPr="00957EBC">
          <w:rPr>
            <w:rStyle w:val="Hyperlink"/>
            <w:rFonts w:ascii="Arial" w:hAnsi="Arial" w:cs="Arial"/>
            <w:webHidden/>
            <w:color w:val="auto"/>
            <w:u w:val="none"/>
          </w:rPr>
          <w:instrText xml:space="preserve"> PAGEREF _Toc366672081 \h </w:instrText>
        </w:r>
        <w:r w:rsidR="004F3522" w:rsidRPr="00957EBC">
          <w:rPr>
            <w:rStyle w:val="Hyperlink"/>
            <w:rFonts w:ascii="Arial" w:hAnsi="Arial" w:cs="Arial"/>
            <w:webHidden/>
            <w:color w:val="auto"/>
            <w:u w:val="none"/>
          </w:rPr>
        </w:r>
        <w:r w:rsidR="004F3522" w:rsidRPr="00957EBC">
          <w:rPr>
            <w:rStyle w:val="Hyperlink"/>
            <w:rFonts w:ascii="Arial" w:hAnsi="Arial" w:cs="Arial"/>
            <w:webHidden/>
            <w:color w:val="auto"/>
            <w:u w:val="none"/>
          </w:rPr>
          <w:fldChar w:fldCharType="separate"/>
        </w:r>
        <w:r w:rsidR="004F3522" w:rsidRPr="00957EBC">
          <w:rPr>
            <w:rStyle w:val="Hyperlink"/>
            <w:rFonts w:ascii="Arial" w:hAnsi="Arial" w:cs="Arial"/>
            <w:webHidden/>
            <w:color w:val="auto"/>
            <w:u w:val="none"/>
          </w:rPr>
          <w:t>11</w:t>
        </w:r>
        <w:r w:rsidR="004F3522" w:rsidRPr="00957EBC">
          <w:rPr>
            <w:rStyle w:val="Hyperlink"/>
            <w:rFonts w:ascii="Arial" w:hAnsi="Arial" w:cs="Arial"/>
            <w:webHidden/>
            <w:color w:val="auto"/>
            <w:u w:val="none"/>
          </w:rPr>
          <w:fldChar w:fldCharType="end"/>
        </w:r>
      </w:hyperlink>
    </w:p>
    <w:p w:rsidR="004F3522" w:rsidRPr="00AD22A8" w:rsidRDefault="002059C1" w:rsidP="004F3522">
      <w:pPr>
        <w:rPr>
          <w:rFonts w:ascii="Arial" w:hAnsi="Arial" w:cs="Arial"/>
        </w:rPr>
      </w:pPr>
      <w:hyperlink w:anchor="_Toc366672082" w:history="1">
        <w:r w:rsidR="004F3522">
          <w:rPr>
            <w:rStyle w:val="Hyperlink"/>
            <w:rFonts w:ascii="Arial" w:hAnsi="Arial" w:cs="Arial"/>
            <w:color w:val="auto"/>
            <w:u w:val="none"/>
          </w:rPr>
          <w:t xml:space="preserve">Chief Finance Officer’s </w:t>
        </w:r>
        <w:r w:rsidR="004F3522" w:rsidRPr="00957EBC">
          <w:rPr>
            <w:rStyle w:val="Hyperlink"/>
            <w:rFonts w:ascii="Arial" w:hAnsi="Arial" w:cs="Arial"/>
            <w:color w:val="auto"/>
            <w:u w:val="none"/>
          </w:rPr>
          <w:t>Statement</w:t>
        </w:r>
        <w:r w:rsidR="004F3522">
          <w:rPr>
            <w:rStyle w:val="Hyperlink"/>
            <w:rFonts w:ascii="Arial" w:hAnsi="Arial" w:cs="Arial"/>
            <w:color w:val="auto"/>
            <w:u w:val="none"/>
          </w:rPr>
          <w:t>.</w:t>
        </w:r>
        <w:r w:rsidR="004F3522" w:rsidRPr="00957EBC">
          <w:rPr>
            <w:rStyle w:val="Hyperlink"/>
            <w:rFonts w:ascii="Arial" w:hAnsi="Arial" w:cs="Arial"/>
            <w:webHidden/>
            <w:color w:val="auto"/>
            <w:u w:val="none"/>
          </w:rPr>
          <w:t>………</w:t>
        </w:r>
        <w:r w:rsidR="004F3522">
          <w:rPr>
            <w:rStyle w:val="Hyperlink"/>
            <w:rFonts w:ascii="Arial" w:hAnsi="Arial" w:cs="Arial"/>
            <w:webHidden/>
            <w:color w:val="auto"/>
            <w:u w:val="none"/>
          </w:rPr>
          <w:t>..</w:t>
        </w:r>
        <w:r w:rsidR="004F3522" w:rsidRPr="00957EBC">
          <w:rPr>
            <w:rStyle w:val="Hyperlink"/>
            <w:rFonts w:ascii="Arial" w:hAnsi="Arial" w:cs="Arial"/>
            <w:webHidden/>
            <w:color w:val="auto"/>
            <w:u w:val="none"/>
          </w:rPr>
          <w:t>…………………………………..</w:t>
        </w:r>
        <w:r w:rsidR="004F3522" w:rsidRPr="00957EBC">
          <w:rPr>
            <w:rStyle w:val="Hyperlink"/>
            <w:rFonts w:ascii="Arial" w:hAnsi="Arial" w:cs="Arial"/>
            <w:webHidden/>
            <w:color w:val="auto"/>
            <w:u w:val="none"/>
          </w:rPr>
          <w:fldChar w:fldCharType="begin"/>
        </w:r>
        <w:r w:rsidR="004F3522" w:rsidRPr="00957EBC">
          <w:rPr>
            <w:rStyle w:val="Hyperlink"/>
            <w:rFonts w:ascii="Arial" w:hAnsi="Arial" w:cs="Arial"/>
            <w:webHidden/>
            <w:color w:val="auto"/>
            <w:u w:val="none"/>
          </w:rPr>
          <w:instrText xml:space="preserve"> PAGEREF _Toc366672082 \h </w:instrText>
        </w:r>
        <w:r w:rsidR="004F3522" w:rsidRPr="00957EBC">
          <w:rPr>
            <w:rStyle w:val="Hyperlink"/>
            <w:rFonts w:ascii="Arial" w:hAnsi="Arial" w:cs="Arial"/>
            <w:webHidden/>
            <w:color w:val="auto"/>
            <w:u w:val="none"/>
          </w:rPr>
        </w:r>
        <w:r w:rsidR="004F3522" w:rsidRPr="00957EBC">
          <w:rPr>
            <w:rStyle w:val="Hyperlink"/>
            <w:rFonts w:ascii="Arial" w:hAnsi="Arial" w:cs="Arial"/>
            <w:webHidden/>
            <w:color w:val="auto"/>
            <w:u w:val="none"/>
          </w:rPr>
          <w:fldChar w:fldCharType="separate"/>
        </w:r>
        <w:r w:rsidR="004F3522" w:rsidRPr="00957EBC">
          <w:rPr>
            <w:rStyle w:val="Hyperlink"/>
            <w:rFonts w:ascii="Arial" w:hAnsi="Arial" w:cs="Arial"/>
            <w:webHidden/>
            <w:color w:val="auto"/>
            <w:u w:val="none"/>
          </w:rPr>
          <w:t>15</w:t>
        </w:r>
        <w:r w:rsidR="004F3522" w:rsidRPr="00957EBC">
          <w:rPr>
            <w:rStyle w:val="Hyperlink"/>
            <w:rFonts w:ascii="Arial" w:hAnsi="Arial" w:cs="Arial"/>
            <w:webHidden/>
            <w:color w:val="auto"/>
            <w:u w:val="none"/>
          </w:rPr>
          <w:fldChar w:fldCharType="end"/>
        </w:r>
      </w:hyperlink>
    </w:p>
    <w:p w:rsidR="004F3522" w:rsidRPr="00AD22A8" w:rsidRDefault="002059C1" w:rsidP="004F3522">
      <w:pPr>
        <w:rPr>
          <w:rFonts w:ascii="Arial" w:hAnsi="Arial" w:cs="Arial"/>
        </w:rPr>
      </w:pPr>
      <w:hyperlink w:anchor="_Toc366672083" w:history="1">
        <w:r w:rsidR="004F3522" w:rsidRPr="00957EBC">
          <w:rPr>
            <w:rStyle w:val="Hyperlink"/>
            <w:rFonts w:ascii="Arial" w:hAnsi="Arial" w:cs="Arial"/>
            <w:color w:val="auto"/>
            <w:u w:val="none"/>
          </w:rPr>
          <w:t>Highlights and Performance Report</w:t>
        </w:r>
        <w:r w:rsidR="004F3522" w:rsidRPr="00957EBC">
          <w:rPr>
            <w:rStyle w:val="Hyperlink"/>
            <w:rFonts w:ascii="Arial" w:hAnsi="Arial" w:cs="Arial"/>
            <w:webHidden/>
            <w:color w:val="auto"/>
            <w:u w:val="none"/>
          </w:rPr>
          <w:t>……………………………</w:t>
        </w:r>
        <w:r w:rsidR="004F3522">
          <w:rPr>
            <w:rStyle w:val="Hyperlink"/>
            <w:rFonts w:ascii="Arial" w:hAnsi="Arial" w:cs="Arial"/>
            <w:webHidden/>
            <w:color w:val="auto"/>
            <w:u w:val="none"/>
          </w:rPr>
          <w:t>...</w:t>
        </w:r>
        <w:r w:rsidR="004F3522" w:rsidRPr="00957EBC">
          <w:rPr>
            <w:rStyle w:val="Hyperlink"/>
            <w:rFonts w:ascii="Arial" w:hAnsi="Arial" w:cs="Arial"/>
            <w:webHidden/>
            <w:color w:val="auto"/>
            <w:u w:val="none"/>
          </w:rPr>
          <w:t>……………</w:t>
        </w:r>
        <w:r w:rsidR="004F3522" w:rsidRPr="00957EBC">
          <w:rPr>
            <w:rStyle w:val="Hyperlink"/>
            <w:rFonts w:ascii="Arial" w:hAnsi="Arial" w:cs="Arial"/>
            <w:webHidden/>
            <w:color w:val="auto"/>
            <w:u w:val="none"/>
          </w:rPr>
          <w:fldChar w:fldCharType="begin"/>
        </w:r>
        <w:r w:rsidR="004F3522" w:rsidRPr="00957EBC">
          <w:rPr>
            <w:rStyle w:val="Hyperlink"/>
            <w:rFonts w:ascii="Arial" w:hAnsi="Arial" w:cs="Arial"/>
            <w:webHidden/>
            <w:color w:val="auto"/>
            <w:u w:val="none"/>
          </w:rPr>
          <w:instrText xml:space="preserve"> PAGEREF _Toc366672083 \h </w:instrText>
        </w:r>
        <w:r w:rsidR="004F3522" w:rsidRPr="00957EBC">
          <w:rPr>
            <w:rStyle w:val="Hyperlink"/>
            <w:rFonts w:ascii="Arial" w:hAnsi="Arial" w:cs="Arial"/>
            <w:webHidden/>
            <w:color w:val="auto"/>
            <w:u w:val="none"/>
          </w:rPr>
        </w:r>
        <w:r w:rsidR="004F3522" w:rsidRPr="00957EBC">
          <w:rPr>
            <w:rStyle w:val="Hyperlink"/>
            <w:rFonts w:ascii="Arial" w:hAnsi="Arial" w:cs="Arial"/>
            <w:webHidden/>
            <w:color w:val="auto"/>
            <w:u w:val="none"/>
          </w:rPr>
          <w:fldChar w:fldCharType="separate"/>
        </w:r>
        <w:r w:rsidR="004F3522" w:rsidRPr="00957EBC">
          <w:rPr>
            <w:rStyle w:val="Hyperlink"/>
            <w:rFonts w:ascii="Arial" w:hAnsi="Arial" w:cs="Arial"/>
            <w:webHidden/>
            <w:color w:val="auto"/>
            <w:u w:val="none"/>
          </w:rPr>
          <w:t>19</w:t>
        </w:r>
        <w:r w:rsidR="004F3522" w:rsidRPr="00957EBC">
          <w:rPr>
            <w:rStyle w:val="Hyperlink"/>
            <w:rFonts w:ascii="Arial" w:hAnsi="Arial" w:cs="Arial"/>
            <w:webHidden/>
            <w:color w:val="auto"/>
            <w:u w:val="none"/>
          </w:rPr>
          <w:fldChar w:fldCharType="end"/>
        </w:r>
      </w:hyperlink>
    </w:p>
    <w:p w:rsidR="004F3522" w:rsidRPr="00AD22A8" w:rsidRDefault="002059C1" w:rsidP="004F3522">
      <w:pPr>
        <w:rPr>
          <w:rFonts w:ascii="Arial" w:hAnsi="Arial" w:cs="Arial"/>
        </w:rPr>
      </w:pPr>
      <w:hyperlink w:anchor="_Toc366672084" w:history="1">
        <w:r w:rsidR="004F3522" w:rsidRPr="00AD22A8">
          <w:rPr>
            <w:rStyle w:val="Hyperlink"/>
            <w:rFonts w:ascii="Arial" w:hAnsi="Arial" w:cs="Arial"/>
            <w:color w:val="000000"/>
            <w:u w:val="none"/>
          </w:rPr>
          <w:t>Financial Statements</w:t>
        </w:r>
        <w:r w:rsidR="004F3522" w:rsidRPr="00957EBC">
          <w:rPr>
            <w:rStyle w:val="Hyperlink"/>
            <w:rFonts w:ascii="Arial" w:hAnsi="Arial" w:cs="Arial"/>
            <w:webHidden/>
            <w:color w:val="auto"/>
            <w:u w:val="none"/>
          </w:rPr>
          <w:t>…………………</w:t>
        </w:r>
        <w:r w:rsidR="004F3522">
          <w:rPr>
            <w:rStyle w:val="Hyperlink"/>
            <w:rFonts w:ascii="Arial" w:hAnsi="Arial" w:cs="Arial"/>
            <w:webHidden/>
            <w:color w:val="auto"/>
            <w:u w:val="none"/>
          </w:rPr>
          <w:t>...</w:t>
        </w:r>
        <w:r w:rsidR="004F3522" w:rsidRPr="00957EBC">
          <w:rPr>
            <w:rStyle w:val="Hyperlink"/>
            <w:rFonts w:ascii="Arial" w:hAnsi="Arial" w:cs="Arial"/>
            <w:webHidden/>
            <w:color w:val="auto"/>
            <w:u w:val="none"/>
          </w:rPr>
          <w:t>……………………………………….</w:t>
        </w:r>
        <w:r w:rsidR="004F3522" w:rsidRPr="00957EBC">
          <w:rPr>
            <w:rStyle w:val="Hyperlink"/>
            <w:rFonts w:ascii="Arial" w:hAnsi="Arial" w:cs="Arial"/>
            <w:webHidden/>
            <w:color w:val="auto"/>
            <w:u w:val="none"/>
          </w:rPr>
          <w:fldChar w:fldCharType="begin"/>
        </w:r>
        <w:r w:rsidR="004F3522" w:rsidRPr="00957EBC">
          <w:rPr>
            <w:rStyle w:val="Hyperlink"/>
            <w:rFonts w:ascii="Arial" w:hAnsi="Arial" w:cs="Arial"/>
            <w:webHidden/>
            <w:color w:val="auto"/>
            <w:u w:val="none"/>
          </w:rPr>
          <w:instrText xml:space="preserve"> PAGEREF _Toc366672084 \h </w:instrText>
        </w:r>
        <w:r w:rsidR="004F3522" w:rsidRPr="00957EBC">
          <w:rPr>
            <w:rStyle w:val="Hyperlink"/>
            <w:rFonts w:ascii="Arial" w:hAnsi="Arial" w:cs="Arial"/>
            <w:webHidden/>
            <w:color w:val="auto"/>
            <w:u w:val="none"/>
          </w:rPr>
        </w:r>
        <w:r w:rsidR="004F3522" w:rsidRPr="00957EBC">
          <w:rPr>
            <w:rStyle w:val="Hyperlink"/>
            <w:rFonts w:ascii="Arial" w:hAnsi="Arial" w:cs="Arial"/>
            <w:webHidden/>
            <w:color w:val="auto"/>
            <w:u w:val="none"/>
          </w:rPr>
          <w:fldChar w:fldCharType="separate"/>
        </w:r>
        <w:r w:rsidR="004F3522" w:rsidRPr="00957EBC">
          <w:rPr>
            <w:rStyle w:val="Hyperlink"/>
            <w:rFonts w:ascii="Arial" w:hAnsi="Arial" w:cs="Arial"/>
            <w:webHidden/>
            <w:color w:val="auto"/>
            <w:u w:val="none"/>
          </w:rPr>
          <w:t>40</w:t>
        </w:r>
        <w:r w:rsidR="004F3522" w:rsidRPr="00957EBC">
          <w:rPr>
            <w:rStyle w:val="Hyperlink"/>
            <w:rFonts w:ascii="Arial" w:hAnsi="Arial" w:cs="Arial"/>
            <w:webHidden/>
            <w:color w:val="auto"/>
            <w:u w:val="none"/>
          </w:rPr>
          <w:fldChar w:fldCharType="end"/>
        </w:r>
      </w:hyperlink>
    </w:p>
    <w:p w:rsidR="004F3522" w:rsidRPr="00957EBC" w:rsidRDefault="004F3522" w:rsidP="004F3522">
      <w:pPr>
        <w:rPr>
          <w:rFonts w:ascii="Arial" w:hAnsi="Arial" w:cs="Arial"/>
        </w:rPr>
      </w:pPr>
      <w:r w:rsidRPr="00957EBC">
        <w:rPr>
          <w:rFonts w:ascii="Arial" w:hAnsi="Arial" w:cs="Arial"/>
        </w:rPr>
        <w:t>Appendices………………………</w:t>
      </w:r>
      <w:r>
        <w:rPr>
          <w:rFonts w:ascii="Arial" w:hAnsi="Arial" w:cs="Arial"/>
        </w:rPr>
        <w:t>…………………………</w:t>
      </w:r>
      <w:r w:rsidRPr="00957EBC">
        <w:rPr>
          <w:rFonts w:ascii="Arial" w:hAnsi="Arial" w:cs="Arial"/>
        </w:rPr>
        <w:t>…………………112</w:t>
      </w:r>
    </w:p>
    <w:p w:rsidR="004F3522" w:rsidRDefault="004F3522" w:rsidP="004F3522">
      <w:pPr>
        <w:rPr>
          <w:rFonts w:ascii="Arial" w:hAnsi="Arial" w:cs="Arial"/>
        </w:rPr>
      </w:pPr>
    </w:p>
    <w:p w:rsidR="004F3522" w:rsidRPr="00957EBC" w:rsidRDefault="004F3522" w:rsidP="004F3522">
      <w:pPr>
        <w:rPr>
          <w:rFonts w:ascii="Arial" w:hAnsi="Arial" w:cs="Arial"/>
        </w:rPr>
      </w:pPr>
    </w:p>
    <w:p w:rsidR="004D3D5C" w:rsidRDefault="004D3D5C" w:rsidP="004F3522">
      <w:pPr>
        <w:pStyle w:val="TOC1"/>
        <w:rPr>
          <w:rStyle w:val="Hyperlink"/>
        </w:rPr>
      </w:pPr>
      <w:r>
        <w:rPr>
          <w:rStyle w:val="Hyperlink"/>
        </w:rPr>
        <w:br w:type="page"/>
      </w:r>
    </w:p>
    <w:p w:rsidR="004D3D5C" w:rsidRPr="00AD22A8" w:rsidRDefault="004D3D5C" w:rsidP="00DA50F4">
      <w:pPr>
        <w:pStyle w:val="TOC1"/>
      </w:pPr>
    </w:p>
    <w:p w:rsidR="004D3D5C" w:rsidRDefault="004D3D5C" w:rsidP="004D3D5C">
      <w:pPr>
        <w:rPr>
          <w:rFonts w:ascii="Arial" w:hAnsi="Arial" w:cs="Arial"/>
        </w:rPr>
      </w:pPr>
      <w:r>
        <w:rPr>
          <w:rFonts w:ascii="Arial" w:hAnsi="Arial" w:cs="Arial"/>
        </w:rPr>
        <w:fldChar w:fldCharType="end"/>
      </w: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 xml:space="preserve">Published by </w:t>
      </w:r>
    </w:p>
    <w:p w:rsidR="00781BF9" w:rsidRPr="00781BF9" w:rsidRDefault="00570960" w:rsidP="00781BF9">
      <w:pPr>
        <w:autoSpaceDE w:val="0"/>
        <w:autoSpaceDN w:val="0"/>
        <w:adjustRightInd w:val="0"/>
        <w:rPr>
          <w:rFonts w:ascii="Arial" w:hAnsi="Arial" w:cs="Arial"/>
          <w:sz w:val="22"/>
          <w:szCs w:val="22"/>
        </w:rPr>
      </w:pPr>
      <w:r>
        <w:rPr>
          <w:rFonts w:ascii="Arial" w:hAnsi="Arial" w:cs="Arial"/>
          <w:sz w:val="22"/>
          <w:szCs w:val="22"/>
        </w:rPr>
        <w:t>Public Transport Victoria</w:t>
      </w:r>
    </w:p>
    <w:p w:rsidR="00781BF9" w:rsidRPr="00781BF9" w:rsidRDefault="00570960" w:rsidP="00781BF9">
      <w:pPr>
        <w:autoSpaceDE w:val="0"/>
        <w:autoSpaceDN w:val="0"/>
        <w:adjustRightInd w:val="0"/>
        <w:rPr>
          <w:rFonts w:ascii="Arial" w:hAnsi="Arial" w:cs="Arial"/>
          <w:sz w:val="22"/>
          <w:szCs w:val="22"/>
        </w:rPr>
      </w:pPr>
      <w:r>
        <w:rPr>
          <w:rFonts w:ascii="Arial" w:hAnsi="Arial" w:cs="Arial"/>
          <w:sz w:val="22"/>
          <w:szCs w:val="22"/>
        </w:rPr>
        <w:t>750 Collins Street</w:t>
      </w: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Docklands VIC 3008.</w:t>
      </w:r>
    </w:p>
    <w:p w:rsidR="00781BF9" w:rsidRPr="00781BF9" w:rsidRDefault="00781BF9" w:rsidP="00781BF9">
      <w:pPr>
        <w:autoSpaceDE w:val="0"/>
        <w:autoSpaceDN w:val="0"/>
        <w:adjustRightInd w:val="0"/>
        <w:rPr>
          <w:rFonts w:ascii="Arial" w:hAnsi="Arial" w:cs="Arial"/>
          <w:b/>
          <w:bCs/>
          <w:sz w:val="22"/>
          <w:szCs w:val="22"/>
        </w:rPr>
      </w:pPr>
      <w:r w:rsidRPr="00781BF9">
        <w:rPr>
          <w:rFonts w:ascii="Arial" w:hAnsi="Arial" w:cs="Arial"/>
          <w:b/>
          <w:bCs/>
          <w:sz w:val="22"/>
          <w:szCs w:val="22"/>
        </w:rPr>
        <w:t>ptv.vic.gov.au</w:t>
      </w:r>
    </w:p>
    <w:p w:rsidR="00781BF9" w:rsidRPr="00781BF9" w:rsidRDefault="00781BF9" w:rsidP="00781BF9">
      <w:pPr>
        <w:autoSpaceDE w:val="0"/>
        <w:autoSpaceDN w:val="0"/>
        <w:adjustRightInd w:val="0"/>
        <w:rPr>
          <w:rFonts w:ascii="Arial" w:hAnsi="Arial" w:cs="Arial"/>
          <w:b/>
          <w:bCs/>
          <w:sz w:val="22"/>
          <w:szCs w:val="22"/>
        </w:rPr>
      </w:pP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 Public Transport Victoria 2013</w:t>
      </w:r>
    </w:p>
    <w:p w:rsidR="00781BF9" w:rsidRPr="00781BF9" w:rsidRDefault="00781BF9" w:rsidP="00781BF9">
      <w:pPr>
        <w:autoSpaceDE w:val="0"/>
        <w:autoSpaceDN w:val="0"/>
        <w:adjustRightInd w:val="0"/>
        <w:rPr>
          <w:rFonts w:ascii="Arial" w:hAnsi="Arial" w:cs="Arial"/>
          <w:sz w:val="22"/>
          <w:szCs w:val="22"/>
        </w:rPr>
      </w:pP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 xml:space="preserve">This publication is copyright. No part may be reproduced by any process except in accordance with the Provisions of the </w:t>
      </w:r>
      <w:r w:rsidRPr="00781BF9">
        <w:rPr>
          <w:rFonts w:ascii="Arial" w:hAnsi="Arial" w:cs="Arial"/>
          <w:i/>
          <w:iCs/>
          <w:sz w:val="22"/>
          <w:szCs w:val="22"/>
        </w:rPr>
        <w:t>Copyright Act 1968</w:t>
      </w:r>
      <w:r w:rsidRPr="00781BF9">
        <w:rPr>
          <w:rFonts w:ascii="Arial" w:hAnsi="Arial" w:cs="Arial"/>
          <w:sz w:val="22"/>
          <w:szCs w:val="22"/>
        </w:rPr>
        <w:t>.</w:t>
      </w:r>
    </w:p>
    <w:p w:rsidR="00781BF9" w:rsidRPr="00781BF9" w:rsidRDefault="00781BF9" w:rsidP="00781BF9">
      <w:pPr>
        <w:autoSpaceDE w:val="0"/>
        <w:autoSpaceDN w:val="0"/>
        <w:adjustRightInd w:val="0"/>
        <w:rPr>
          <w:rFonts w:ascii="Arial" w:hAnsi="Arial" w:cs="Arial"/>
          <w:sz w:val="22"/>
          <w:szCs w:val="22"/>
        </w:rPr>
      </w:pP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 xml:space="preserve">Authorised by </w:t>
      </w: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Public Transport Victoria,</w:t>
      </w: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 xml:space="preserve">750 Collins Street, </w:t>
      </w: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Docklands VIC 3008.</w:t>
      </w:r>
    </w:p>
    <w:p w:rsidR="00781BF9" w:rsidRPr="00781BF9" w:rsidRDefault="00781BF9" w:rsidP="00781BF9">
      <w:pPr>
        <w:autoSpaceDE w:val="0"/>
        <w:autoSpaceDN w:val="0"/>
        <w:adjustRightInd w:val="0"/>
        <w:rPr>
          <w:rFonts w:ascii="Arial" w:hAnsi="Arial" w:cs="Arial"/>
          <w:sz w:val="22"/>
          <w:szCs w:val="22"/>
        </w:rPr>
      </w:pP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ISSN 2202-5375</w:t>
      </w:r>
    </w:p>
    <w:p w:rsidR="00781BF9" w:rsidRPr="00781BF9" w:rsidRDefault="00781BF9" w:rsidP="00781BF9">
      <w:pPr>
        <w:autoSpaceDE w:val="0"/>
        <w:autoSpaceDN w:val="0"/>
        <w:adjustRightInd w:val="0"/>
        <w:rPr>
          <w:rFonts w:ascii="Arial" w:hAnsi="Arial" w:cs="Arial"/>
          <w:sz w:val="22"/>
          <w:szCs w:val="22"/>
        </w:rPr>
      </w:pP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Print managed by Finsbury Green,</w:t>
      </w: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 xml:space="preserve">Level 9, </w:t>
      </w: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124 Exhibition Street,</w:t>
      </w:r>
    </w:p>
    <w:p w:rsidR="00781BF9" w:rsidRPr="00781BF9" w:rsidRDefault="00781BF9" w:rsidP="00781BF9">
      <w:pPr>
        <w:autoSpaceDE w:val="0"/>
        <w:autoSpaceDN w:val="0"/>
        <w:adjustRightInd w:val="0"/>
        <w:rPr>
          <w:rFonts w:ascii="Arial" w:hAnsi="Arial" w:cs="Arial"/>
          <w:sz w:val="22"/>
          <w:szCs w:val="22"/>
        </w:rPr>
      </w:pPr>
      <w:r w:rsidRPr="00781BF9">
        <w:rPr>
          <w:rFonts w:ascii="Arial" w:hAnsi="Arial" w:cs="Arial"/>
          <w:sz w:val="22"/>
          <w:szCs w:val="22"/>
        </w:rPr>
        <w:t>Melbourne VIC 3000.</w:t>
      </w:r>
    </w:p>
    <w:p w:rsidR="00781BF9" w:rsidRPr="00781BF9" w:rsidRDefault="00781BF9" w:rsidP="00781BF9">
      <w:pPr>
        <w:autoSpaceDE w:val="0"/>
        <w:autoSpaceDN w:val="0"/>
        <w:adjustRightInd w:val="0"/>
        <w:rPr>
          <w:rFonts w:ascii="Arial" w:hAnsi="Arial" w:cs="Arial"/>
          <w:sz w:val="22"/>
          <w:szCs w:val="22"/>
        </w:rPr>
      </w:pPr>
    </w:p>
    <w:p w:rsidR="00781BF9" w:rsidRPr="00781BF9" w:rsidRDefault="00781BF9" w:rsidP="00781BF9">
      <w:pPr>
        <w:autoSpaceDE w:val="0"/>
        <w:autoSpaceDN w:val="0"/>
        <w:adjustRightInd w:val="0"/>
        <w:rPr>
          <w:rFonts w:ascii="Arial" w:hAnsi="Arial" w:cs="Arial"/>
          <w:b/>
          <w:iCs/>
          <w:sz w:val="22"/>
          <w:szCs w:val="22"/>
        </w:rPr>
      </w:pPr>
      <w:r w:rsidRPr="00781BF9">
        <w:rPr>
          <w:rFonts w:ascii="Arial" w:hAnsi="Arial" w:cs="Arial"/>
          <w:iCs/>
          <w:sz w:val="22"/>
          <w:szCs w:val="22"/>
        </w:rPr>
        <w:t xml:space="preserve">This document is available in an accessible format at </w:t>
      </w:r>
      <w:r w:rsidRPr="00781BF9">
        <w:rPr>
          <w:rFonts w:ascii="Arial" w:hAnsi="Arial" w:cs="Arial"/>
          <w:b/>
          <w:iCs/>
          <w:sz w:val="22"/>
          <w:szCs w:val="22"/>
        </w:rPr>
        <w:t>ptv.vic.gov.au.</w:t>
      </w:r>
    </w:p>
    <w:p w:rsidR="00781BF9" w:rsidRPr="00781BF9" w:rsidRDefault="00781BF9" w:rsidP="00781BF9">
      <w:pPr>
        <w:autoSpaceDE w:val="0"/>
        <w:autoSpaceDN w:val="0"/>
        <w:adjustRightInd w:val="0"/>
        <w:rPr>
          <w:rFonts w:ascii="Arial" w:hAnsi="Arial" w:cs="Arial"/>
          <w:b/>
          <w:i/>
          <w:iCs/>
          <w:sz w:val="22"/>
          <w:szCs w:val="22"/>
        </w:rPr>
      </w:pPr>
    </w:p>
    <w:p w:rsidR="00917258" w:rsidRPr="00781BF9" w:rsidRDefault="00781BF9" w:rsidP="00781BF9">
      <w:pPr>
        <w:autoSpaceDE w:val="0"/>
        <w:autoSpaceDN w:val="0"/>
        <w:adjustRightInd w:val="0"/>
        <w:rPr>
          <w:rFonts w:ascii="Arial" w:hAnsi="Arial" w:cs="Arial"/>
          <w:i/>
          <w:iCs/>
          <w:sz w:val="22"/>
          <w:szCs w:val="22"/>
        </w:rPr>
      </w:pPr>
      <w:r w:rsidRPr="00781BF9">
        <w:rPr>
          <w:rFonts w:ascii="Arial" w:hAnsi="Arial" w:cs="Arial"/>
          <w:sz w:val="22"/>
          <w:szCs w:val="22"/>
        </w:rPr>
        <w:t>Printed on environmentally friendly paper.</w:t>
      </w:r>
    </w:p>
    <w:p w:rsidR="00917258" w:rsidRPr="00781BF9" w:rsidRDefault="00917258" w:rsidP="00917258">
      <w:pPr>
        <w:autoSpaceDE w:val="0"/>
        <w:autoSpaceDN w:val="0"/>
        <w:adjustRightInd w:val="0"/>
        <w:rPr>
          <w:rFonts w:ascii="HelveticaNeue-LightItalic" w:hAnsi="HelveticaNeue-LightItalic" w:cs="HelveticaNeue-LightItalic"/>
          <w:i/>
          <w:iCs/>
          <w:sz w:val="48"/>
          <w:szCs w:val="48"/>
        </w:rPr>
      </w:pPr>
    </w:p>
    <w:p w:rsidR="00917258" w:rsidRDefault="00917258">
      <w:pPr>
        <w:rPr>
          <w:rFonts w:ascii="HelveticaNeue-LightItalic" w:hAnsi="HelveticaNeue-LightItalic" w:cs="HelveticaNeue-LightItalic"/>
          <w:i/>
          <w:iCs/>
          <w:color w:val="FF0D00"/>
          <w:sz w:val="48"/>
          <w:szCs w:val="48"/>
        </w:rPr>
      </w:pPr>
      <w:r>
        <w:rPr>
          <w:rFonts w:ascii="HelveticaNeue-LightItalic" w:hAnsi="HelveticaNeue-LightItalic" w:cs="HelveticaNeue-LightItalic"/>
          <w:i/>
          <w:iCs/>
          <w:color w:val="FF0D00"/>
          <w:sz w:val="48"/>
          <w:szCs w:val="48"/>
        </w:rPr>
        <w:br w:type="page"/>
      </w:r>
    </w:p>
    <w:p w:rsidR="00917258" w:rsidRPr="00CA287F" w:rsidRDefault="00917258">
      <w:pPr>
        <w:rPr>
          <w:rFonts w:ascii="Arial" w:hAnsi="Arial" w:cs="Arial"/>
          <w:color w:val="FF0D00"/>
        </w:rPr>
      </w:pPr>
    </w:p>
    <w:p w:rsidR="006D00BC" w:rsidRPr="00E246FA" w:rsidRDefault="006D00BC" w:rsidP="00625227">
      <w:pPr>
        <w:pStyle w:val="Heading10"/>
        <w:outlineLvl w:val="0"/>
      </w:pPr>
      <w:bookmarkStart w:id="1" w:name="_Toc365382494"/>
      <w:bookmarkStart w:id="2" w:name="_Toc366672077"/>
      <w:r w:rsidRPr="00E246FA">
        <w:t>2012-13 Annual Report Transmittal Letter</w:t>
      </w:r>
      <w:bookmarkEnd w:id="1"/>
      <w:bookmarkEnd w:id="2"/>
    </w:p>
    <w:p w:rsidR="006D00BC" w:rsidRPr="00CA287F" w:rsidRDefault="006D00BC" w:rsidP="006D00BC">
      <w:pPr>
        <w:rPr>
          <w:rFonts w:ascii="Arial" w:hAnsi="Arial" w:cs="Arial"/>
        </w:rPr>
      </w:pPr>
    </w:p>
    <w:p w:rsidR="006D00BC" w:rsidRPr="00CA287F" w:rsidRDefault="006D00BC" w:rsidP="006D00BC">
      <w:pPr>
        <w:rPr>
          <w:rFonts w:ascii="Arial" w:hAnsi="Arial" w:cs="Arial"/>
        </w:rPr>
      </w:pPr>
    </w:p>
    <w:p w:rsidR="006D00BC" w:rsidRPr="00CA287F" w:rsidRDefault="006D00BC" w:rsidP="006D00BC">
      <w:pPr>
        <w:rPr>
          <w:rFonts w:ascii="Arial" w:hAnsi="Arial" w:cs="Arial"/>
        </w:rPr>
      </w:pPr>
    </w:p>
    <w:p w:rsidR="006D00BC" w:rsidRPr="00CA287F" w:rsidRDefault="006D00BC" w:rsidP="006D00BC">
      <w:pPr>
        <w:rPr>
          <w:rFonts w:ascii="Arial" w:hAnsi="Arial" w:cs="Arial"/>
        </w:rPr>
      </w:pPr>
      <w:r w:rsidRPr="00CA287F">
        <w:rPr>
          <w:rFonts w:ascii="Arial" w:hAnsi="Arial" w:cs="Arial"/>
        </w:rPr>
        <w:t>1</w:t>
      </w:r>
      <w:r w:rsidR="003F3CA7" w:rsidRPr="00CA287F">
        <w:rPr>
          <w:rFonts w:ascii="Arial" w:hAnsi="Arial" w:cs="Arial"/>
        </w:rPr>
        <w:t>7</w:t>
      </w:r>
      <w:r w:rsidRPr="00CA287F">
        <w:rPr>
          <w:rFonts w:ascii="Arial" w:hAnsi="Arial" w:cs="Arial"/>
        </w:rPr>
        <w:t xml:space="preserve"> September 2013</w:t>
      </w:r>
    </w:p>
    <w:p w:rsidR="006D00BC" w:rsidRPr="00CA287F" w:rsidRDefault="006D00BC" w:rsidP="006D00BC">
      <w:pPr>
        <w:rPr>
          <w:rFonts w:ascii="Arial" w:hAnsi="Arial" w:cs="Arial"/>
        </w:rPr>
      </w:pPr>
    </w:p>
    <w:p w:rsidR="006D00BC" w:rsidRPr="00CA287F" w:rsidRDefault="006D00BC" w:rsidP="006D00BC">
      <w:pPr>
        <w:rPr>
          <w:rFonts w:ascii="Arial" w:hAnsi="Arial" w:cs="Arial"/>
        </w:rPr>
      </w:pPr>
      <w:r w:rsidRPr="00CA287F">
        <w:rPr>
          <w:rFonts w:ascii="Arial" w:hAnsi="Arial" w:cs="Arial"/>
        </w:rPr>
        <w:t>The Hon. Terry Mulder MP</w:t>
      </w:r>
    </w:p>
    <w:p w:rsidR="006D00BC" w:rsidRPr="00CA287F" w:rsidRDefault="006D00BC" w:rsidP="006D00BC">
      <w:pPr>
        <w:rPr>
          <w:rFonts w:ascii="Arial" w:hAnsi="Arial" w:cs="Arial"/>
        </w:rPr>
      </w:pPr>
      <w:r w:rsidRPr="00CA287F">
        <w:rPr>
          <w:rFonts w:ascii="Arial" w:hAnsi="Arial" w:cs="Arial"/>
        </w:rPr>
        <w:t xml:space="preserve">Minister for Public Transport </w:t>
      </w:r>
    </w:p>
    <w:p w:rsidR="006D00BC" w:rsidRPr="00CA287F" w:rsidRDefault="006D00BC" w:rsidP="006D00BC">
      <w:pPr>
        <w:rPr>
          <w:rFonts w:ascii="Arial" w:hAnsi="Arial" w:cs="Arial"/>
        </w:rPr>
      </w:pPr>
    </w:p>
    <w:p w:rsidR="006D00BC" w:rsidRPr="00CA287F" w:rsidRDefault="006D00BC" w:rsidP="006D00BC">
      <w:pPr>
        <w:rPr>
          <w:rFonts w:ascii="Arial" w:hAnsi="Arial" w:cs="Arial"/>
        </w:rPr>
      </w:pPr>
      <w:r w:rsidRPr="00CA287F">
        <w:rPr>
          <w:rFonts w:ascii="Arial" w:hAnsi="Arial" w:cs="Arial"/>
        </w:rPr>
        <w:t>121 Exhibition Street</w:t>
      </w:r>
    </w:p>
    <w:p w:rsidR="006D00BC" w:rsidRPr="00CA287F" w:rsidRDefault="006D00BC" w:rsidP="006D00BC">
      <w:pPr>
        <w:rPr>
          <w:rFonts w:ascii="Arial" w:hAnsi="Arial" w:cs="Arial"/>
        </w:rPr>
      </w:pPr>
      <w:r w:rsidRPr="00CA287F">
        <w:rPr>
          <w:rFonts w:ascii="Arial" w:hAnsi="Arial" w:cs="Arial"/>
        </w:rPr>
        <w:t>Melbourne VIC 3000</w:t>
      </w:r>
    </w:p>
    <w:p w:rsidR="006D00BC" w:rsidRPr="00CA287F" w:rsidRDefault="006D00BC" w:rsidP="006D00BC">
      <w:pPr>
        <w:rPr>
          <w:rFonts w:ascii="Arial" w:hAnsi="Arial" w:cs="Arial"/>
        </w:rPr>
      </w:pPr>
    </w:p>
    <w:p w:rsidR="006D00BC" w:rsidRPr="00CA287F" w:rsidRDefault="006D00BC" w:rsidP="006D00BC">
      <w:pPr>
        <w:rPr>
          <w:rFonts w:ascii="Arial" w:hAnsi="Arial" w:cs="Arial"/>
        </w:rPr>
      </w:pPr>
    </w:p>
    <w:p w:rsidR="006D00BC" w:rsidRPr="00CA287F" w:rsidRDefault="006D00BC" w:rsidP="006D00BC">
      <w:pPr>
        <w:rPr>
          <w:rFonts w:ascii="Arial" w:hAnsi="Arial" w:cs="Arial"/>
        </w:rPr>
      </w:pPr>
    </w:p>
    <w:p w:rsidR="006D00BC" w:rsidRPr="00CA287F" w:rsidRDefault="006D00BC" w:rsidP="006D00BC">
      <w:pPr>
        <w:rPr>
          <w:rFonts w:ascii="Arial" w:hAnsi="Arial" w:cs="Arial"/>
        </w:rPr>
      </w:pPr>
      <w:r w:rsidRPr="00CA287F">
        <w:rPr>
          <w:rFonts w:ascii="Arial" w:hAnsi="Arial" w:cs="Arial"/>
        </w:rPr>
        <w:t>Dear Minister</w:t>
      </w:r>
    </w:p>
    <w:p w:rsidR="006D00BC" w:rsidRPr="00CA287F" w:rsidRDefault="006D00BC" w:rsidP="006D00BC">
      <w:pPr>
        <w:rPr>
          <w:rFonts w:ascii="Arial" w:hAnsi="Arial" w:cs="Arial"/>
        </w:rPr>
      </w:pPr>
    </w:p>
    <w:p w:rsidR="006D00BC" w:rsidRPr="00CA287F" w:rsidRDefault="006D00BC" w:rsidP="006D00BC">
      <w:pPr>
        <w:rPr>
          <w:rFonts w:ascii="Arial" w:hAnsi="Arial" w:cs="Arial"/>
          <w:b/>
        </w:rPr>
      </w:pPr>
      <w:r w:rsidRPr="00CA287F">
        <w:rPr>
          <w:rFonts w:ascii="Arial" w:hAnsi="Arial" w:cs="Arial"/>
          <w:b/>
        </w:rPr>
        <w:t>Annual Report 2012-13</w:t>
      </w:r>
    </w:p>
    <w:p w:rsidR="006D00BC" w:rsidRPr="00CA287F" w:rsidRDefault="006D00BC" w:rsidP="006D00BC">
      <w:pPr>
        <w:rPr>
          <w:rFonts w:ascii="Arial" w:hAnsi="Arial" w:cs="Arial"/>
        </w:rPr>
      </w:pPr>
    </w:p>
    <w:p w:rsidR="006D00BC" w:rsidRPr="00CA287F" w:rsidRDefault="006D00BC" w:rsidP="006D00BC">
      <w:pPr>
        <w:rPr>
          <w:rFonts w:ascii="Arial" w:hAnsi="Arial" w:cs="Arial"/>
        </w:rPr>
      </w:pPr>
      <w:r w:rsidRPr="00CA287F">
        <w:rPr>
          <w:rFonts w:ascii="Arial" w:hAnsi="Arial" w:cs="Arial"/>
        </w:rPr>
        <w:t>In accordance with provisions of the Financial Management Act 1994, I am pleased to present the Public Transport Victoria Annual Report for the year ended 30 June 2013.</w:t>
      </w:r>
    </w:p>
    <w:p w:rsidR="006D00BC" w:rsidRPr="00CA287F" w:rsidRDefault="006D00BC" w:rsidP="006D00BC">
      <w:pPr>
        <w:rPr>
          <w:rFonts w:ascii="Arial" w:hAnsi="Arial" w:cs="Arial"/>
        </w:rPr>
      </w:pPr>
    </w:p>
    <w:p w:rsidR="006D00BC" w:rsidRPr="00CA287F" w:rsidRDefault="006D00BC" w:rsidP="006D00BC">
      <w:pPr>
        <w:rPr>
          <w:rFonts w:ascii="Arial" w:hAnsi="Arial" w:cs="Arial"/>
        </w:rPr>
      </w:pPr>
      <w:r w:rsidRPr="00CA287F">
        <w:rPr>
          <w:rFonts w:ascii="Arial" w:hAnsi="Arial" w:cs="Arial"/>
        </w:rPr>
        <w:t>Your</w:t>
      </w:r>
      <w:r w:rsidR="008A185A">
        <w:rPr>
          <w:rFonts w:ascii="Arial" w:hAnsi="Arial" w:cs="Arial"/>
        </w:rPr>
        <w:t>s</w:t>
      </w:r>
      <w:r w:rsidRPr="00CA287F">
        <w:rPr>
          <w:rFonts w:ascii="Arial" w:hAnsi="Arial" w:cs="Arial"/>
        </w:rPr>
        <w:t xml:space="preserve"> sincerely</w:t>
      </w:r>
    </w:p>
    <w:p w:rsidR="006D00BC" w:rsidRPr="00CA287F" w:rsidRDefault="006D00BC" w:rsidP="006D00BC">
      <w:pPr>
        <w:rPr>
          <w:rFonts w:ascii="Arial" w:hAnsi="Arial" w:cs="Arial"/>
        </w:rPr>
      </w:pPr>
    </w:p>
    <w:p w:rsidR="006D00BC" w:rsidRPr="00CA287F" w:rsidRDefault="003F3CA7" w:rsidP="006D00BC">
      <w:pPr>
        <w:rPr>
          <w:rFonts w:ascii="Arial" w:hAnsi="Arial" w:cs="Arial"/>
        </w:rPr>
      </w:pPr>
      <w:r w:rsidRPr="00CA287F">
        <w:rPr>
          <w:rFonts w:ascii="Arial" w:hAnsi="Arial" w:cs="Arial"/>
        </w:rPr>
        <w:t xml:space="preserve">[signature] </w:t>
      </w:r>
    </w:p>
    <w:p w:rsidR="003F3CA7" w:rsidRPr="00CA287F" w:rsidRDefault="003F3CA7" w:rsidP="006D00BC">
      <w:pPr>
        <w:rPr>
          <w:rFonts w:ascii="Arial" w:hAnsi="Arial" w:cs="Arial"/>
        </w:rPr>
      </w:pPr>
    </w:p>
    <w:p w:rsidR="006D00BC" w:rsidRPr="00CA287F" w:rsidRDefault="006D00BC" w:rsidP="006D00BC">
      <w:pPr>
        <w:rPr>
          <w:rFonts w:ascii="Arial" w:hAnsi="Arial" w:cs="Arial"/>
        </w:rPr>
      </w:pPr>
      <w:r w:rsidRPr="00CA287F">
        <w:rPr>
          <w:rFonts w:ascii="Arial" w:hAnsi="Arial" w:cs="Arial"/>
        </w:rPr>
        <w:t>Ian Dobbs</w:t>
      </w:r>
    </w:p>
    <w:p w:rsidR="006D00BC" w:rsidRPr="00CA287F" w:rsidRDefault="006D00BC" w:rsidP="006D00BC">
      <w:pPr>
        <w:rPr>
          <w:rFonts w:ascii="Arial" w:hAnsi="Arial" w:cs="Arial"/>
        </w:rPr>
      </w:pPr>
      <w:r w:rsidRPr="00CA287F">
        <w:rPr>
          <w:rFonts w:ascii="Arial" w:hAnsi="Arial" w:cs="Arial"/>
        </w:rPr>
        <w:t>Chair and Chief Executive</w:t>
      </w:r>
    </w:p>
    <w:p w:rsidR="006D00BC" w:rsidRPr="00CA287F" w:rsidRDefault="006D00BC" w:rsidP="006D00BC">
      <w:pPr>
        <w:rPr>
          <w:rFonts w:ascii="Arial" w:hAnsi="Arial" w:cs="Arial"/>
        </w:rPr>
      </w:pPr>
      <w:r w:rsidRPr="00CA287F">
        <w:rPr>
          <w:rFonts w:ascii="Arial" w:hAnsi="Arial" w:cs="Arial"/>
        </w:rPr>
        <w:t>Public Transport Victoria</w:t>
      </w:r>
    </w:p>
    <w:p w:rsidR="006D00BC" w:rsidRPr="00CA287F" w:rsidRDefault="006D00BC" w:rsidP="006D00BC">
      <w:pPr>
        <w:rPr>
          <w:rFonts w:ascii="Arial" w:hAnsi="Arial" w:cs="Arial"/>
        </w:rPr>
      </w:pPr>
    </w:p>
    <w:p w:rsidR="006D00BC" w:rsidRPr="00CA287F" w:rsidRDefault="006D00BC" w:rsidP="006D00BC">
      <w:pPr>
        <w:rPr>
          <w:rFonts w:ascii="Arial" w:hAnsi="Arial" w:cs="Arial"/>
        </w:rPr>
      </w:pPr>
    </w:p>
    <w:p w:rsidR="006D00BC" w:rsidRPr="00CA287F" w:rsidRDefault="006D00BC" w:rsidP="006D00BC">
      <w:pPr>
        <w:rPr>
          <w:rFonts w:ascii="Arial" w:hAnsi="Arial" w:cs="Arial"/>
        </w:rPr>
      </w:pPr>
    </w:p>
    <w:p w:rsidR="006D00BC" w:rsidRDefault="006D00BC" w:rsidP="006D00BC">
      <w:pPr>
        <w:rPr>
          <w:rFonts w:ascii="HelveticaNeue-Light" w:hAnsi="HelveticaNeue-Light" w:cs="HelveticaNeue-Light"/>
          <w:color w:val="FF0D00"/>
          <w:sz w:val="28"/>
          <w:szCs w:val="28"/>
        </w:rPr>
      </w:pPr>
      <w:r>
        <w:rPr>
          <w:rFonts w:ascii="HelveticaNeue-Light" w:hAnsi="HelveticaNeue-Light" w:cs="HelveticaNeue-Light"/>
          <w:color w:val="FF0D00"/>
          <w:sz w:val="28"/>
          <w:szCs w:val="28"/>
        </w:rPr>
        <w:br w:type="page"/>
      </w:r>
    </w:p>
    <w:p w:rsidR="00917258" w:rsidRPr="00E246FA" w:rsidRDefault="00917258" w:rsidP="00625227">
      <w:pPr>
        <w:pStyle w:val="Heading10"/>
        <w:outlineLvl w:val="0"/>
      </w:pPr>
      <w:bookmarkStart w:id="3" w:name="_Toc365382495"/>
      <w:bookmarkStart w:id="4" w:name="_Toc366672078"/>
      <w:r w:rsidRPr="00E246FA">
        <w:t>Abbreviations</w:t>
      </w:r>
      <w:bookmarkEnd w:id="3"/>
      <w:bookmarkEnd w:id="4"/>
    </w:p>
    <w:p w:rsidR="00917258" w:rsidRDefault="00917258">
      <w:pPr>
        <w:rPr>
          <w:rFonts w:ascii="HelveticaNeue-Light" w:hAnsi="HelveticaNeue-Light" w:cs="HelveticaNeue-Light"/>
          <w:color w:val="FF0D00"/>
          <w:sz w:val="28"/>
          <w:szCs w:val="28"/>
        </w:rPr>
      </w:pPr>
    </w:p>
    <w:p w:rsidR="0029126D" w:rsidRDefault="006C3D8F" w:rsidP="0029126D">
      <w:pPr>
        <w:tabs>
          <w:tab w:val="left" w:pos="1134"/>
        </w:tabs>
        <w:spacing w:after="80"/>
        <w:rPr>
          <w:rStyle w:val="Abbreviation"/>
          <w:rFonts w:ascii="Calibri" w:hAnsi="Calibri"/>
          <w:sz w:val="20"/>
          <w:szCs w:val="20"/>
        </w:rPr>
      </w:pPr>
      <w:r>
        <w:rPr>
          <w:rStyle w:val="Abbreviation"/>
          <w:rFonts w:ascii="Calibri" w:hAnsi="Calibri"/>
          <w:sz w:val="20"/>
          <w:szCs w:val="20"/>
        </w:rPr>
        <w:t>AAS</w:t>
      </w:r>
      <w:r>
        <w:rPr>
          <w:rStyle w:val="Abbreviation"/>
          <w:rFonts w:ascii="Calibri" w:hAnsi="Calibri"/>
          <w:sz w:val="20"/>
          <w:szCs w:val="20"/>
        </w:rPr>
        <w:tab/>
        <w:t>Australian Accounting Standards</w:t>
      </w:r>
    </w:p>
    <w:p w:rsidR="006C3D8F" w:rsidRDefault="006C3D8F" w:rsidP="0029126D">
      <w:pPr>
        <w:tabs>
          <w:tab w:val="left" w:pos="1134"/>
        </w:tabs>
        <w:spacing w:after="80"/>
        <w:rPr>
          <w:rStyle w:val="Abbreviation"/>
          <w:rFonts w:ascii="Calibri" w:hAnsi="Calibri"/>
          <w:sz w:val="20"/>
          <w:szCs w:val="20"/>
        </w:rPr>
      </w:pPr>
      <w:r>
        <w:rPr>
          <w:rStyle w:val="Abbreviation"/>
          <w:rFonts w:ascii="Calibri" w:hAnsi="Calibri"/>
          <w:sz w:val="20"/>
          <w:szCs w:val="20"/>
        </w:rPr>
        <w:t>AASB</w:t>
      </w:r>
      <w:r>
        <w:rPr>
          <w:rStyle w:val="Abbreviation"/>
          <w:rFonts w:ascii="Calibri" w:hAnsi="Calibri"/>
          <w:sz w:val="20"/>
          <w:szCs w:val="20"/>
        </w:rPr>
        <w:tab/>
        <w:t>Australian Accounting Standards Board</w:t>
      </w:r>
    </w:p>
    <w:p w:rsidR="006C3D8F" w:rsidRDefault="00E26A05" w:rsidP="0029126D">
      <w:pPr>
        <w:tabs>
          <w:tab w:val="left" w:pos="1134"/>
        </w:tabs>
        <w:spacing w:after="80"/>
        <w:rPr>
          <w:rStyle w:val="Abbreviation"/>
          <w:rFonts w:ascii="Calibri" w:hAnsi="Calibri"/>
          <w:sz w:val="20"/>
          <w:szCs w:val="20"/>
        </w:rPr>
      </w:pPr>
      <w:r>
        <w:rPr>
          <w:rStyle w:val="Abbreviation"/>
          <w:rFonts w:ascii="Calibri" w:hAnsi="Calibri"/>
          <w:sz w:val="20"/>
          <w:szCs w:val="20"/>
        </w:rPr>
        <w:t>AO</w:t>
      </w:r>
      <w:r>
        <w:rPr>
          <w:rStyle w:val="Abbreviation"/>
          <w:rFonts w:ascii="Calibri" w:hAnsi="Calibri"/>
          <w:sz w:val="20"/>
          <w:szCs w:val="20"/>
        </w:rPr>
        <w:tab/>
        <w:t>Order of Australia</w:t>
      </w:r>
    </w:p>
    <w:p w:rsidR="006C3D8F" w:rsidRDefault="006C3D8F" w:rsidP="0029126D">
      <w:pPr>
        <w:tabs>
          <w:tab w:val="left" w:pos="1134"/>
        </w:tabs>
        <w:spacing w:after="80"/>
        <w:rPr>
          <w:rStyle w:val="Abbreviation"/>
          <w:rFonts w:ascii="Calibri" w:hAnsi="Calibri"/>
          <w:sz w:val="20"/>
          <w:szCs w:val="20"/>
        </w:rPr>
      </w:pPr>
      <w:r>
        <w:rPr>
          <w:rStyle w:val="Abbreviation"/>
          <w:rFonts w:ascii="Calibri" w:hAnsi="Calibri"/>
          <w:sz w:val="20"/>
          <w:szCs w:val="20"/>
        </w:rPr>
        <w:t>ATO</w:t>
      </w:r>
      <w:r>
        <w:rPr>
          <w:rStyle w:val="Abbreviation"/>
          <w:rFonts w:ascii="Calibri" w:hAnsi="Calibri"/>
          <w:sz w:val="20"/>
          <w:szCs w:val="20"/>
        </w:rPr>
        <w:tab/>
        <w:t>Australian Taxation Office</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CEO</w:t>
      </w:r>
      <w:r w:rsidRPr="00EF13BC">
        <w:rPr>
          <w:rStyle w:val="Abbreviation"/>
          <w:rFonts w:ascii="Calibri" w:hAnsi="Calibri"/>
          <w:sz w:val="20"/>
          <w:szCs w:val="20"/>
        </w:rPr>
        <w:tab/>
        <w:t>Chief Executive Officer</w:t>
      </w:r>
    </w:p>
    <w:p w:rsidR="005F0F68" w:rsidRPr="00EF13BC" w:rsidRDefault="005F0F68" w:rsidP="0029126D">
      <w:pPr>
        <w:tabs>
          <w:tab w:val="left" w:pos="1134"/>
        </w:tabs>
        <w:spacing w:after="80"/>
        <w:rPr>
          <w:rStyle w:val="Abbreviation"/>
          <w:rFonts w:ascii="Calibri" w:hAnsi="Calibri"/>
          <w:sz w:val="20"/>
          <w:szCs w:val="20"/>
        </w:rPr>
      </w:pPr>
      <w:r>
        <w:rPr>
          <w:rStyle w:val="Abbreviation"/>
          <w:rFonts w:ascii="Calibri" w:hAnsi="Calibri"/>
          <w:sz w:val="20"/>
          <w:szCs w:val="20"/>
        </w:rPr>
        <w:t>CNPL</w:t>
      </w:r>
      <w:r>
        <w:rPr>
          <w:rStyle w:val="Abbreviation"/>
          <w:rFonts w:ascii="Calibri" w:hAnsi="Calibri"/>
          <w:sz w:val="20"/>
          <w:szCs w:val="20"/>
        </w:rPr>
        <w:tab/>
        <w:t>Civic Nexus Pty Ltd</w:t>
      </w:r>
    </w:p>
    <w:p w:rsidR="0029126D" w:rsidRPr="00EF13BC"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DDA</w:t>
      </w:r>
      <w:r w:rsidRPr="00EF13BC">
        <w:rPr>
          <w:rStyle w:val="Abbreviation"/>
          <w:rFonts w:ascii="Calibri" w:hAnsi="Calibri"/>
          <w:sz w:val="20"/>
          <w:szCs w:val="20"/>
        </w:rPr>
        <w:tab/>
        <w:t>Disability Discrimination Act 1992</w:t>
      </w:r>
    </w:p>
    <w:p w:rsidR="007231E9" w:rsidRDefault="007231E9" w:rsidP="0029126D">
      <w:pPr>
        <w:tabs>
          <w:tab w:val="left" w:pos="1134"/>
        </w:tabs>
        <w:spacing w:after="80"/>
        <w:rPr>
          <w:rStyle w:val="Abbreviation"/>
          <w:rFonts w:ascii="Calibri" w:hAnsi="Calibri"/>
          <w:sz w:val="20"/>
          <w:szCs w:val="20"/>
        </w:rPr>
      </w:pPr>
      <w:r>
        <w:rPr>
          <w:rStyle w:val="Abbreviation"/>
          <w:rFonts w:ascii="Calibri" w:hAnsi="Calibri"/>
          <w:sz w:val="20"/>
          <w:szCs w:val="20"/>
        </w:rPr>
        <w:t>DMS</w:t>
      </w:r>
      <w:r>
        <w:rPr>
          <w:rStyle w:val="Abbreviation"/>
          <w:rFonts w:ascii="Calibri" w:hAnsi="Calibri"/>
          <w:sz w:val="20"/>
          <w:szCs w:val="20"/>
        </w:rPr>
        <w:tab/>
        <w:t>Drawing Management System</w:t>
      </w:r>
    </w:p>
    <w:p w:rsidR="006C3D8F" w:rsidRPr="00EF13BC" w:rsidRDefault="006C3D8F" w:rsidP="006C3D8F">
      <w:pPr>
        <w:tabs>
          <w:tab w:val="left" w:pos="1134"/>
        </w:tabs>
        <w:spacing w:after="80"/>
        <w:rPr>
          <w:rStyle w:val="Abbreviation"/>
          <w:rFonts w:ascii="Calibri" w:hAnsi="Calibri"/>
          <w:sz w:val="20"/>
          <w:szCs w:val="20"/>
        </w:rPr>
      </w:pPr>
      <w:r w:rsidRPr="00EF13BC">
        <w:rPr>
          <w:rStyle w:val="Abbreviation"/>
          <w:rFonts w:ascii="Calibri" w:hAnsi="Calibri"/>
          <w:sz w:val="20"/>
          <w:szCs w:val="20"/>
        </w:rPr>
        <w:t>DTF</w:t>
      </w:r>
      <w:r w:rsidRPr="00EF13BC">
        <w:rPr>
          <w:rStyle w:val="Abbreviation"/>
          <w:rFonts w:ascii="Calibri" w:hAnsi="Calibri"/>
          <w:sz w:val="20"/>
          <w:szCs w:val="20"/>
        </w:rPr>
        <w:tab/>
        <w:t>Department of Treasury and Finance</w:t>
      </w:r>
    </w:p>
    <w:p w:rsidR="007D6B1D" w:rsidRDefault="007D6B1D" w:rsidP="0029126D">
      <w:pPr>
        <w:tabs>
          <w:tab w:val="left" w:pos="1134"/>
        </w:tabs>
        <w:spacing w:after="80"/>
        <w:rPr>
          <w:rStyle w:val="Abbreviation"/>
          <w:rFonts w:ascii="Calibri" w:hAnsi="Calibri"/>
          <w:sz w:val="20"/>
          <w:szCs w:val="20"/>
        </w:rPr>
      </w:pPr>
      <w:r>
        <w:rPr>
          <w:rStyle w:val="Abbreviation"/>
          <w:rFonts w:ascii="Calibri" w:hAnsi="Calibri"/>
          <w:sz w:val="20"/>
          <w:szCs w:val="20"/>
        </w:rPr>
        <w:t>DTPLI</w:t>
      </w:r>
      <w:r>
        <w:rPr>
          <w:rStyle w:val="Abbreviation"/>
          <w:rFonts w:ascii="Calibri" w:hAnsi="Calibri"/>
          <w:sz w:val="20"/>
          <w:szCs w:val="20"/>
        </w:rPr>
        <w:tab/>
        <w:t>Department of Transport, Planning and Local Infrastructure</w:t>
      </w:r>
    </w:p>
    <w:p w:rsidR="0029126D" w:rsidRDefault="0029126D" w:rsidP="0029126D">
      <w:pPr>
        <w:tabs>
          <w:tab w:val="left" w:pos="1134"/>
        </w:tabs>
        <w:spacing w:after="80"/>
        <w:rPr>
          <w:rStyle w:val="Abbreviation"/>
          <w:rFonts w:ascii="Calibri" w:hAnsi="Calibri"/>
          <w:sz w:val="20"/>
          <w:szCs w:val="20"/>
        </w:rPr>
      </w:pPr>
      <w:r>
        <w:rPr>
          <w:rStyle w:val="Abbreviation"/>
          <w:rFonts w:ascii="Calibri" w:hAnsi="Calibri"/>
          <w:sz w:val="20"/>
          <w:szCs w:val="20"/>
        </w:rPr>
        <w:t>DWG</w:t>
      </w:r>
      <w:r>
        <w:rPr>
          <w:rStyle w:val="Abbreviation"/>
          <w:rFonts w:ascii="Calibri" w:hAnsi="Calibri"/>
          <w:sz w:val="20"/>
          <w:szCs w:val="20"/>
        </w:rPr>
        <w:tab/>
        <w:t>designated working group</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FOI</w:t>
      </w:r>
      <w:r w:rsidRPr="00EF13BC">
        <w:rPr>
          <w:rStyle w:val="Abbreviation"/>
          <w:rFonts w:ascii="Calibri" w:hAnsi="Calibri"/>
          <w:sz w:val="20"/>
          <w:szCs w:val="20"/>
        </w:rPr>
        <w:tab/>
        <w:t>Freedom of Information</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FRD</w:t>
      </w:r>
      <w:r w:rsidRPr="00EF13BC">
        <w:rPr>
          <w:rStyle w:val="Abbreviation"/>
          <w:rFonts w:ascii="Calibri" w:hAnsi="Calibri"/>
          <w:sz w:val="20"/>
          <w:szCs w:val="20"/>
        </w:rPr>
        <w:tab/>
        <w:t>Finance Reporting Direction</w:t>
      </w:r>
    </w:p>
    <w:p w:rsidR="0029126D" w:rsidRDefault="00CA5BC0" w:rsidP="0029126D">
      <w:pPr>
        <w:tabs>
          <w:tab w:val="left" w:pos="1134"/>
        </w:tabs>
        <w:spacing w:after="80"/>
        <w:rPr>
          <w:rStyle w:val="Abbreviation"/>
          <w:rFonts w:ascii="Calibri" w:hAnsi="Calibri"/>
          <w:sz w:val="20"/>
          <w:szCs w:val="20"/>
        </w:rPr>
      </w:pPr>
      <w:r>
        <w:rPr>
          <w:rStyle w:val="Abbreviation"/>
          <w:rFonts w:ascii="Calibri" w:hAnsi="Calibri"/>
          <w:sz w:val="20"/>
          <w:szCs w:val="20"/>
        </w:rPr>
        <w:t>FTE</w:t>
      </w:r>
      <w:r>
        <w:rPr>
          <w:rStyle w:val="Abbreviation"/>
          <w:rFonts w:ascii="Calibri" w:hAnsi="Calibri"/>
          <w:sz w:val="20"/>
          <w:szCs w:val="20"/>
        </w:rPr>
        <w:tab/>
        <w:t xml:space="preserve">full </w:t>
      </w:r>
      <w:r w:rsidR="0029126D" w:rsidRPr="00EF13BC">
        <w:rPr>
          <w:rStyle w:val="Abbreviation"/>
          <w:rFonts w:ascii="Calibri" w:hAnsi="Calibri"/>
          <w:sz w:val="20"/>
          <w:szCs w:val="20"/>
        </w:rPr>
        <w:t>time equivalent</w:t>
      </w:r>
    </w:p>
    <w:p w:rsidR="006C3D8F" w:rsidRDefault="006C3D8F" w:rsidP="0029126D">
      <w:pPr>
        <w:tabs>
          <w:tab w:val="left" w:pos="1134"/>
        </w:tabs>
        <w:spacing w:after="80"/>
        <w:rPr>
          <w:rStyle w:val="Abbreviation"/>
          <w:rFonts w:ascii="Calibri" w:hAnsi="Calibri"/>
          <w:sz w:val="20"/>
          <w:szCs w:val="20"/>
        </w:rPr>
      </w:pPr>
      <w:r>
        <w:rPr>
          <w:rStyle w:val="Abbreviation"/>
          <w:rFonts w:ascii="Calibri" w:hAnsi="Calibri"/>
          <w:sz w:val="20"/>
          <w:szCs w:val="20"/>
        </w:rPr>
        <w:t>GFS</w:t>
      </w:r>
      <w:r>
        <w:rPr>
          <w:rStyle w:val="Abbreviation"/>
          <w:rFonts w:ascii="Calibri" w:hAnsi="Calibri"/>
          <w:sz w:val="20"/>
          <w:szCs w:val="20"/>
        </w:rPr>
        <w:tab/>
        <w:t>Government Finance Statistics</w:t>
      </w:r>
    </w:p>
    <w:p w:rsidR="006C3D8F" w:rsidRDefault="006C3D8F" w:rsidP="0029126D">
      <w:pPr>
        <w:tabs>
          <w:tab w:val="left" w:pos="1134"/>
        </w:tabs>
        <w:spacing w:after="80"/>
        <w:rPr>
          <w:rStyle w:val="Abbreviation"/>
          <w:rFonts w:ascii="Calibri" w:hAnsi="Calibri"/>
          <w:sz w:val="20"/>
          <w:szCs w:val="20"/>
        </w:rPr>
      </w:pPr>
      <w:r>
        <w:rPr>
          <w:rStyle w:val="Abbreviation"/>
          <w:rFonts w:ascii="Calibri" w:hAnsi="Calibri"/>
          <w:sz w:val="20"/>
          <w:szCs w:val="20"/>
        </w:rPr>
        <w:t>GST</w:t>
      </w:r>
      <w:r>
        <w:rPr>
          <w:rStyle w:val="Abbreviation"/>
          <w:rFonts w:ascii="Calibri" w:hAnsi="Calibri"/>
          <w:sz w:val="20"/>
          <w:szCs w:val="20"/>
        </w:rPr>
        <w:tab/>
        <w:t>Goods and Services Tax</w:t>
      </w:r>
    </w:p>
    <w:p w:rsidR="00446B49" w:rsidRDefault="00446B49" w:rsidP="0029126D">
      <w:pPr>
        <w:tabs>
          <w:tab w:val="left" w:pos="1134"/>
        </w:tabs>
        <w:spacing w:after="80"/>
        <w:rPr>
          <w:rStyle w:val="Abbreviation"/>
          <w:rFonts w:ascii="Calibri" w:hAnsi="Calibri"/>
          <w:sz w:val="20"/>
          <w:szCs w:val="20"/>
        </w:rPr>
      </w:pPr>
      <w:r>
        <w:rPr>
          <w:rStyle w:val="Abbreviation"/>
          <w:rFonts w:ascii="Calibri" w:hAnsi="Calibri"/>
          <w:sz w:val="20"/>
          <w:szCs w:val="20"/>
        </w:rPr>
        <w:t xml:space="preserve">HCS </w:t>
      </w:r>
      <w:r>
        <w:rPr>
          <w:rStyle w:val="Abbreviation"/>
          <w:rFonts w:ascii="Calibri" w:hAnsi="Calibri"/>
          <w:sz w:val="20"/>
          <w:szCs w:val="20"/>
        </w:rPr>
        <w:tab/>
        <w:t>High Capacity Signalling</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HSRs</w:t>
      </w:r>
      <w:r w:rsidRPr="00EF13BC">
        <w:rPr>
          <w:rStyle w:val="Abbreviation"/>
          <w:rFonts w:ascii="Calibri" w:hAnsi="Calibri"/>
          <w:sz w:val="20"/>
          <w:szCs w:val="20"/>
        </w:rPr>
        <w:tab/>
        <w:t>Health and Safety Representatives</w:t>
      </w:r>
    </w:p>
    <w:p w:rsidR="005F0F68" w:rsidRDefault="005F0F68" w:rsidP="0029126D">
      <w:pPr>
        <w:tabs>
          <w:tab w:val="left" w:pos="1134"/>
        </w:tabs>
        <w:spacing w:after="80"/>
        <w:rPr>
          <w:rStyle w:val="Abbreviation"/>
          <w:rFonts w:ascii="Calibri" w:hAnsi="Calibri"/>
          <w:sz w:val="20"/>
          <w:szCs w:val="20"/>
        </w:rPr>
      </w:pPr>
      <w:r w:rsidRPr="00F2023E">
        <w:rPr>
          <w:rStyle w:val="Abbreviation"/>
          <w:rFonts w:ascii="Calibri" w:hAnsi="Calibri"/>
          <w:sz w:val="20"/>
          <w:szCs w:val="20"/>
        </w:rPr>
        <w:t>IAS</w:t>
      </w:r>
      <w:r w:rsidRPr="00F2023E">
        <w:rPr>
          <w:rStyle w:val="Abbreviation"/>
          <w:rFonts w:ascii="Calibri" w:hAnsi="Calibri"/>
          <w:sz w:val="20"/>
          <w:szCs w:val="20"/>
        </w:rPr>
        <w:tab/>
        <w:t>International Accounting Standards</w:t>
      </w:r>
    </w:p>
    <w:p w:rsidR="005F0F68" w:rsidRDefault="005F0F68" w:rsidP="0029126D">
      <w:pPr>
        <w:tabs>
          <w:tab w:val="left" w:pos="1134"/>
        </w:tabs>
        <w:spacing w:after="80"/>
        <w:rPr>
          <w:rStyle w:val="Abbreviation"/>
          <w:rFonts w:ascii="Calibri" w:hAnsi="Calibri"/>
          <w:sz w:val="20"/>
          <w:szCs w:val="20"/>
        </w:rPr>
      </w:pPr>
      <w:r w:rsidRPr="00F2023E">
        <w:rPr>
          <w:rStyle w:val="Abbreviation"/>
          <w:rFonts w:ascii="Calibri" w:hAnsi="Calibri"/>
          <w:sz w:val="20"/>
          <w:szCs w:val="20"/>
        </w:rPr>
        <w:t>IASB</w:t>
      </w:r>
      <w:r w:rsidRPr="00F2023E">
        <w:rPr>
          <w:rStyle w:val="Abbreviation"/>
          <w:rFonts w:ascii="Calibri" w:hAnsi="Calibri"/>
          <w:sz w:val="20"/>
          <w:szCs w:val="20"/>
        </w:rPr>
        <w:tab/>
        <w:t>International Accounting Standards Board</w:t>
      </w:r>
    </w:p>
    <w:p w:rsidR="00DA42DD" w:rsidRDefault="00DA42DD" w:rsidP="0029126D">
      <w:pPr>
        <w:tabs>
          <w:tab w:val="left" w:pos="1134"/>
        </w:tabs>
        <w:spacing w:after="80"/>
        <w:rPr>
          <w:rStyle w:val="Abbreviation"/>
          <w:rFonts w:ascii="Calibri" w:hAnsi="Calibri"/>
          <w:sz w:val="20"/>
          <w:szCs w:val="20"/>
        </w:rPr>
      </w:pPr>
      <w:r w:rsidRPr="00870A1B">
        <w:rPr>
          <w:rStyle w:val="Abbreviation"/>
          <w:rFonts w:ascii="Calibri" w:hAnsi="Calibri"/>
          <w:sz w:val="20"/>
          <w:szCs w:val="20"/>
        </w:rPr>
        <w:t>IBAC</w:t>
      </w:r>
      <w:r w:rsidRPr="00870A1B">
        <w:rPr>
          <w:rStyle w:val="Abbreviation"/>
          <w:rFonts w:ascii="Calibri" w:hAnsi="Calibri"/>
          <w:sz w:val="20"/>
          <w:szCs w:val="20"/>
        </w:rPr>
        <w:tab/>
        <w:t>Independent Broad-Based Anti-Corruption Commission</w:t>
      </w:r>
    </w:p>
    <w:p w:rsidR="00DA42DD" w:rsidRDefault="003A3B4C" w:rsidP="0029126D">
      <w:pPr>
        <w:tabs>
          <w:tab w:val="left" w:pos="1134"/>
        </w:tabs>
        <w:spacing w:after="80"/>
        <w:rPr>
          <w:rStyle w:val="Abbreviation"/>
          <w:rFonts w:ascii="Calibri" w:hAnsi="Calibri"/>
          <w:sz w:val="20"/>
          <w:szCs w:val="20"/>
        </w:rPr>
      </w:pPr>
      <w:r>
        <w:rPr>
          <w:rStyle w:val="Abbreviation"/>
          <w:rFonts w:ascii="Calibri" w:hAnsi="Calibri"/>
          <w:sz w:val="20"/>
          <w:szCs w:val="20"/>
        </w:rPr>
        <w:t>IRP</w:t>
      </w:r>
      <w:r>
        <w:rPr>
          <w:rStyle w:val="Abbreviation"/>
          <w:rFonts w:ascii="Calibri" w:hAnsi="Calibri"/>
          <w:sz w:val="20"/>
          <w:szCs w:val="20"/>
        </w:rPr>
        <w:tab/>
        <w:t>issue resolution procedure</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km</w:t>
      </w:r>
      <w:r w:rsidRPr="00EF13BC">
        <w:rPr>
          <w:rStyle w:val="Abbreviation"/>
          <w:rFonts w:ascii="Calibri" w:hAnsi="Calibri"/>
          <w:sz w:val="20"/>
          <w:szCs w:val="20"/>
        </w:rPr>
        <w:tab/>
        <w:t>kilometre</w:t>
      </w:r>
    </w:p>
    <w:p w:rsidR="006C3D8F" w:rsidRDefault="006C3D8F" w:rsidP="0029126D">
      <w:pPr>
        <w:tabs>
          <w:tab w:val="left" w:pos="1134"/>
        </w:tabs>
        <w:spacing w:after="80"/>
        <w:rPr>
          <w:rStyle w:val="Abbreviation"/>
          <w:rFonts w:ascii="Calibri" w:hAnsi="Calibri"/>
          <w:sz w:val="20"/>
          <w:szCs w:val="20"/>
        </w:rPr>
      </w:pPr>
      <w:r>
        <w:rPr>
          <w:rStyle w:val="Abbreviation"/>
          <w:rFonts w:ascii="Calibri" w:hAnsi="Calibri"/>
          <w:sz w:val="20"/>
          <w:szCs w:val="20"/>
        </w:rPr>
        <w:t>LSL</w:t>
      </w:r>
      <w:r>
        <w:rPr>
          <w:rStyle w:val="Abbreviation"/>
          <w:rFonts w:ascii="Calibri" w:hAnsi="Calibri"/>
          <w:sz w:val="20"/>
          <w:szCs w:val="20"/>
        </w:rPr>
        <w:tab/>
        <w:t>Long Service Leave</w:t>
      </w:r>
    </w:p>
    <w:p w:rsidR="00DA42DD" w:rsidRDefault="00DA42DD" w:rsidP="00DA42DD">
      <w:pPr>
        <w:tabs>
          <w:tab w:val="left" w:pos="1134"/>
        </w:tabs>
        <w:spacing w:after="80"/>
        <w:rPr>
          <w:rStyle w:val="Abbreviation"/>
          <w:rFonts w:ascii="Calibri" w:hAnsi="Calibri"/>
          <w:sz w:val="20"/>
          <w:szCs w:val="20"/>
        </w:rPr>
      </w:pPr>
      <w:r w:rsidRPr="00EF13BC">
        <w:rPr>
          <w:rStyle w:val="Abbreviation"/>
          <w:rFonts w:ascii="Calibri" w:hAnsi="Calibri"/>
          <w:sz w:val="20"/>
          <w:szCs w:val="20"/>
        </w:rPr>
        <w:t>m</w:t>
      </w:r>
      <w:r w:rsidRPr="00EF13BC">
        <w:rPr>
          <w:rStyle w:val="Abbreviation"/>
          <w:rFonts w:ascii="Calibri" w:hAnsi="Calibri"/>
          <w:sz w:val="20"/>
          <w:szCs w:val="20"/>
        </w:rPr>
        <w:tab/>
        <w:t>metre</w:t>
      </w:r>
    </w:p>
    <w:p w:rsidR="00026C75" w:rsidRDefault="00026C75" w:rsidP="00DA42DD">
      <w:pPr>
        <w:tabs>
          <w:tab w:val="left" w:pos="1134"/>
        </w:tabs>
        <w:spacing w:after="80"/>
        <w:rPr>
          <w:rStyle w:val="Abbreviation"/>
          <w:rFonts w:ascii="Calibri" w:hAnsi="Calibri"/>
          <w:sz w:val="20"/>
          <w:szCs w:val="20"/>
        </w:rPr>
      </w:pPr>
      <w:r>
        <w:rPr>
          <w:rStyle w:val="Abbreviation"/>
          <w:rFonts w:ascii="Calibri" w:hAnsi="Calibri"/>
          <w:sz w:val="20"/>
          <w:szCs w:val="20"/>
        </w:rPr>
        <w:t>Metlink</w:t>
      </w:r>
      <w:r>
        <w:rPr>
          <w:rStyle w:val="Abbreviation"/>
          <w:rFonts w:ascii="Calibri" w:hAnsi="Calibri"/>
          <w:sz w:val="20"/>
          <w:szCs w:val="20"/>
        </w:rPr>
        <w:tab/>
      </w:r>
      <w:r w:rsidRPr="005F55A7">
        <w:rPr>
          <w:rStyle w:val="Abbreviation"/>
          <w:rFonts w:ascii="Calibri" w:hAnsi="Calibri"/>
          <w:sz w:val="20"/>
          <w:szCs w:val="20"/>
        </w:rPr>
        <w:t>Metlink Victoria Pty Ltd</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MP</w:t>
      </w:r>
      <w:r w:rsidRPr="00EF13BC">
        <w:rPr>
          <w:rStyle w:val="Abbreviation"/>
          <w:rFonts w:ascii="Calibri" w:hAnsi="Calibri"/>
          <w:sz w:val="20"/>
          <w:szCs w:val="20"/>
        </w:rPr>
        <w:tab/>
        <w:t>Member of Parliament</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MTM</w:t>
      </w:r>
      <w:r w:rsidRPr="00EF13BC">
        <w:rPr>
          <w:rStyle w:val="Abbreviation"/>
          <w:rFonts w:ascii="Calibri" w:hAnsi="Calibri"/>
          <w:sz w:val="20"/>
          <w:szCs w:val="20"/>
        </w:rPr>
        <w:tab/>
        <w:t>Metro Trains Melbourne</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na</w:t>
      </w:r>
      <w:r w:rsidRPr="00EF13BC">
        <w:rPr>
          <w:rStyle w:val="Abbreviation"/>
          <w:rFonts w:ascii="Calibri" w:hAnsi="Calibri"/>
          <w:sz w:val="20"/>
          <w:szCs w:val="20"/>
        </w:rPr>
        <w:tab/>
        <w:t>not applicable</w:t>
      </w:r>
    </w:p>
    <w:p w:rsidR="005F0F68" w:rsidRDefault="005F0F68" w:rsidP="0029126D">
      <w:pPr>
        <w:tabs>
          <w:tab w:val="left" w:pos="1134"/>
        </w:tabs>
        <w:spacing w:after="80"/>
        <w:rPr>
          <w:rStyle w:val="Abbreviation"/>
          <w:rFonts w:ascii="Calibri" w:hAnsi="Calibri"/>
          <w:sz w:val="20"/>
          <w:szCs w:val="20"/>
        </w:rPr>
      </w:pPr>
      <w:r>
        <w:rPr>
          <w:rStyle w:val="Abbreviation"/>
          <w:rFonts w:ascii="Calibri" w:hAnsi="Calibri"/>
          <w:sz w:val="20"/>
          <w:szCs w:val="20"/>
        </w:rPr>
        <w:t>NPV</w:t>
      </w:r>
      <w:r>
        <w:rPr>
          <w:rStyle w:val="Abbreviation"/>
          <w:rFonts w:ascii="Calibri" w:hAnsi="Calibri"/>
          <w:sz w:val="20"/>
          <w:szCs w:val="20"/>
        </w:rPr>
        <w:tab/>
        <w:t>Net Present Value</w:t>
      </w:r>
    </w:p>
    <w:p w:rsidR="0029126D" w:rsidRDefault="0029126D" w:rsidP="0029126D">
      <w:pPr>
        <w:tabs>
          <w:tab w:val="left" w:pos="1134"/>
        </w:tabs>
        <w:spacing w:after="80"/>
        <w:rPr>
          <w:rStyle w:val="Abbreviation"/>
          <w:rFonts w:ascii="Calibri" w:hAnsi="Calibri"/>
          <w:sz w:val="20"/>
          <w:szCs w:val="20"/>
        </w:rPr>
      </w:pPr>
      <w:r>
        <w:rPr>
          <w:rStyle w:val="Abbreviation"/>
          <w:rFonts w:ascii="Calibri" w:hAnsi="Calibri"/>
          <w:sz w:val="20"/>
          <w:szCs w:val="20"/>
        </w:rPr>
        <w:t>OH</w:t>
      </w:r>
      <w:r w:rsidRPr="00EF13BC">
        <w:rPr>
          <w:rStyle w:val="Abbreviation"/>
          <w:rFonts w:ascii="Calibri" w:hAnsi="Calibri"/>
          <w:sz w:val="20"/>
          <w:szCs w:val="20"/>
        </w:rPr>
        <w:t>S</w:t>
      </w:r>
      <w:r w:rsidRPr="00EF13BC">
        <w:rPr>
          <w:rStyle w:val="Abbreviation"/>
          <w:rFonts w:ascii="Calibri" w:hAnsi="Calibri"/>
          <w:sz w:val="20"/>
          <w:szCs w:val="20"/>
        </w:rPr>
        <w:tab/>
        <w:t>Occupational Health and Safety</w:t>
      </w:r>
    </w:p>
    <w:p w:rsidR="003A3B4C" w:rsidRDefault="003A3B4C" w:rsidP="0029126D">
      <w:pPr>
        <w:tabs>
          <w:tab w:val="left" w:pos="1134"/>
        </w:tabs>
        <w:spacing w:after="80"/>
        <w:rPr>
          <w:rStyle w:val="Abbreviation"/>
          <w:rFonts w:ascii="Calibri" w:hAnsi="Calibri"/>
          <w:sz w:val="20"/>
          <w:szCs w:val="20"/>
        </w:rPr>
      </w:pPr>
      <w:r>
        <w:rPr>
          <w:rStyle w:val="Abbreviation"/>
          <w:rFonts w:ascii="Calibri" w:hAnsi="Calibri"/>
          <w:sz w:val="20"/>
          <w:szCs w:val="20"/>
        </w:rPr>
        <w:t>PIN</w:t>
      </w:r>
      <w:r>
        <w:rPr>
          <w:rStyle w:val="Abbreviation"/>
          <w:rFonts w:ascii="Calibri" w:hAnsi="Calibri"/>
          <w:sz w:val="20"/>
          <w:szCs w:val="20"/>
        </w:rPr>
        <w:tab/>
        <w:t>provisional improvement notice</w:t>
      </w:r>
    </w:p>
    <w:p w:rsidR="005F0F68" w:rsidRDefault="005F0F68" w:rsidP="0029126D">
      <w:pPr>
        <w:tabs>
          <w:tab w:val="left" w:pos="1134"/>
        </w:tabs>
        <w:spacing w:after="80"/>
        <w:rPr>
          <w:rStyle w:val="Abbreviation"/>
          <w:rFonts w:ascii="Calibri" w:hAnsi="Calibri"/>
          <w:sz w:val="20"/>
          <w:szCs w:val="20"/>
        </w:rPr>
      </w:pPr>
      <w:r>
        <w:rPr>
          <w:rStyle w:val="Abbreviation"/>
          <w:rFonts w:ascii="Calibri" w:hAnsi="Calibri"/>
          <w:sz w:val="20"/>
          <w:szCs w:val="20"/>
        </w:rPr>
        <w:t>PPP</w:t>
      </w:r>
      <w:r>
        <w:rPr>
          <w:rStyle w:val="Abbreviation"/>
          <w:rFonts w:ascii="Calibri" w:hAnsi="Calibri"/>
          <w:sz w:val="20"/>
          <w:szCs w:val="20"/>
        </w:rPr>
        <w:tab/>
        <w:t>Public Private Partnership</w:t>
      </w:r>
    </w:p>
    <w:p w:rsidR="0029126D" w:rsidRDefault="0029126D" w:rsidP="0029126D">
      <w:pPr>
        <w:tabs>
          <w:tab w:val="left" w:pos="1134"/>
        </w:tabs>
        <w:spacing w:after="80"/>
        <w:rPr>
          <w:rStyle w:val="Abbreviation"/>
          <w:rFonts w:ascii="Calibri" w:hAnsi="Calibri"/>
          <w:sz w:val="20"/>
          <w:szCs w:val="20"/>
        </w:rPr>
      </w:pPr>
      <w:r>
        <w:rPr>
          <w:rStyle w:val="Abbreviation"/>
          <w:rFonts w:ascii="Calibri" w:hAnsi="Calibri"/>
          <w:sz w:val="20"/>
          <w:szCs w:val="20"/>
        </w:rPr>
        <w:t>PSO</w:t>
      </w:r>
      <w:r>
        <w:rPr>
          <w:rStyle w:val="Abbreviation"/>
          <w:rFonts w:ascii="Calibri" w:hAnsi="Calibri"/>
          <w:sz w:val="20"/>
          <w:szCs w:val="20"/>
        </w:rPr>
        <w:tab/>
        <w:t>P</w:t>
      </w:r>
      <w:r w:rsidRPr="00EF13BC">
        <w:rPr>
          <w:rStyle w:val="Abbreviation"/>
          <w:rFonts w:ascii="Calibri" w:hAnsi="Calibri"/>
          <w:sz w:val="20"/>
          <w:szCs w:val="20"/>
        </w:rPr>
        <w:t xml:space="preserve">rotective </w:t>
      </w:r>
      <w:r>
        <w:rPr>
          <w:rStyle w:val="Abbreviation"/>
          <w:rFonts w:ascii="Calibri" w:hAnsi="Calibri"/>
          <w:sz w:val="20"/>
          <w:szCs w:val="20"/>
        </w:rPr>
        <w:t>S</w:t>
      </w:r>
      <w:r w:rsidRPr="00EF13BC">
        <w:rPr>
          <w:rStyle w:val="Abbreviation"/>
          <w:rFonts w:ascii="Calibri" w:hAnsi="Calibri"/>
          <w:sz w:val="20"/>
          <w:szCs w:val="20"/>
        </w:rPr>
        <w:t>ervice</w:t>
      </w:r>
      <w:r>
        <w:rPr>
          <w:rStyle w:val="Abbreviation"/>
          <w:rFonts w:ascii="Calibri" w:hAnsi="Calibri"/>
          <w:sz w:val="20"/>
          <w:szCs w:val="20"/>
        </w:rPr>
        <w:t>s</w:t>
      </w:r>
      <w:r w:rsidRPr="00EF13BC">
        <w:rPr>
          <w:rStyle w:val="Abbreviation"/>
          <w:rFonts w:ascii="Calibri" w:hAnsi="Calibri"/>
          <w:sz w:val="20"/>
          <w:szCs w:val="20"/>
        </w:rPr>
        <w:t xml:space="preserve"> </w:t>
      </w:r>
      <w:r>
        <w:rPr>
          <w:rStyle w:val="Abbreviation"/>
          <w:rFonts w:ascii="Calibri" w:hAnsi="Calibri"/>
          <w:sz w:val="20"/>
          <w:szCs w:val="20"/>
        </w:rPr>
        <w:t>O</w:t>
      </w:r>
      <w:r w:rsidRPr="00EF13BC">
        <w:rPr>
          <w:rStyle w:val="Abbreviation"/>
          <w:rFonts w:ascii="Calibri" w:hAnsi="Calibri"/>
          <w:sz w:val="20"/>
          <w:szCs w:val="20"/>
        </w:rPr>
        <w:t>fficer</w:t>
      </w:r>
    </w:p>
    <w:p w:rsidR="0029126D" w:rsidRDefault="0029126D" w:rsidP="0029126D">
      <w:pPr>
        <w:tabs>
          <w:tab w:val="left" w:pos="1134"/>
        </w:tabs>
        <w:spacing w:after="80"/>
        <w:rPr>
          <w:rStyle w:val="Abbreviation"/>
          <w:rFonts w:ascii="Calibri" w:hAnsi="Calibri"/>
          <w:sz w:val="20"/>
          <w:szCs w:val="20"/>
        </w:rPr>
      </w:pPr>
      <w:r>
        <w:rPr>
          <w:rStyle w:val="Abbreviation"/>
          <w:rFonts w:ascii="Calibri" w:hAnsi="Calibri"/>
          <w:sz w:val="20"/>
          <w:szCs w:val="20"/>
        </w:rPr>
        <w:t>PTO</w:t>
      </w:r>
      <w:r>
        <w:rPr>
          <w:rStyle w:val="Abbreviation"/>
          <w:rFonts w:ascii="Calibri" w:hAnsi="Calibri"/>
          <w:sz w:val="20"/>
          <w:szCs w:val="20"/>
        </w:rPr>
        <w:tab/>
        <w:t>Public Transport Ombudsman</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PTV</w:t>
      </w:r>
      <w:r w:rsidRPr="00EF13BC">
        <w:rPr>
          <w:rStyle w:val="Abbreviation"/>
          <w:rFonts w:ascii="Calibri" w:hAnsi="Calibri"/>
          <w:sz w:val="20"/>
          <w:szCs w:val="20"/>
        </w:rPr>
        <w:tab/>
        <w:t>Public Transport Victoria</w:t>
      </w:r>
    </w:p>
    <w:p w:rsidR="006C3D8F" w:rsidRDefault="006C3D8F" w:rsidP="0029126D">
      <w:pPr>
        <w:tabs>
          <w:tab w:val="left" w:pos="1134"/>
        </w:tabs>
        <w:spacing w:after="80"/>
        <w:rPr>
          <w:rStyle w:val="Abbreviation"/>
          <w:rFonts w:ascii="Calibri" w:hAnsi="Calibri"/>
          <w:sz w:val="20"/>
          <w:szCs w:val="20"/>
        </w:rPr>
      </w:pPr>
      <w:r>
        <w:rPr>
          <w:rStyle w:val="Abbreviation"/>
          <w:rFonts w:ascii="Calibri" w:hAnsi="Calibri"/>
          <w:sz w:val="20"/>
          <w:szCs w:val="20"/>
        </w:rPr>
        <w:t>RDR</w:t>
      </w:r>
      <w:r>
        <w:rPr>
          <w:rStyle w:val="Abbreviation"/>
          <w:rFonts w:ascii="Calibri" w:hAnsi="Calibri"/>
          <w:sz w:val="20"/>
          <w:szCs w:val="20"/>
        </w:rPr>
        <w:tab/>
        <w:t>Reduced Disclosure Requirement</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RRL</w:t>
      </w:r>
      <w:r w:rsidRPr="00EF13BC">
        <w:rPr>
          <w:rStyle w:val="Abbreviation"/>
          <w:rFonts w:ascii="Calibri" w:hAnsi="Calibri"/>
          <w:sz w:val="20"/>
          <w:szCs w:val="20"/>
        </w:rPr>
        <w:tab/>
        <w:t>Regional Rail Link</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RRLA</w:t>
      </w:r>
      <w:r w:rsidRPr="00EF13BC">
        <w:rPr>
          <w:rStyle w:val="Abbreviation"/>
          <w:rFonts w:ascii="Calibri" w:hAnsi="Calibri"/>
          <w:sz w:val="20"/>
          <w:szCs w:val="20"/>
        </w:rPr>
        <w:tab/>
        <w:t>Regional Rail Link Authority</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RTW</w:t>
      </w:r>
      <w:r w:rsidRPr="00EF13BC">
        <w:rPr>
          <w:rStyle w:val="Abbreviation"/>
          <w:rFonts w:ascii="Calibri" w:hAnsi="Calibri"/>
          <w:sz w:val="20"/>
          <w:szCs w:val="20"/>
        </w:rPr>
        <w:tab/>
        <w:t>return to work</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SCOTI</w:t>
      </w:r>
      <w:r w:rsidRPr="00EF13BC">
        <w:rPr>
          <w:rStyle w:val="Abbreviation"/>
          <w:rFonts w:ascii="Calibri" w:hAnsi="Calibri"/>
          <w:sz w:val="20"/>
          <w:szCs w:val="20"/>
        </w:rPr>
        <w:tab/>
        <w:t>Standing Council on Transport and Infrastructure</w:t>
      </w:r>
    </w:p>
    <w:p w:rsidR="005F0F68" w:rsidRDefault="005F0F68" w:rsidP="0029126D">
      <w:pPr>
        <w:tabs>
          <w:tab w:val="left" w:pos="1134"/>
        </w:tabs>
        <w:spacing w:after="80"/>
        <w:rPr>
          <w:rStyle w:val="Abbreviation"/>
          <w:rFonts w:ascii="Calibri" w:hAnsi="Calibri"/>
          <w:sz w:val="20"/>
          <w:szCs w:val="20"/>
        </w:rPr>
      </w:pPr>
      <w:r>
        <w:rPr>
          <w:rStyle w:val="Abbreviation"/>
          <w:rFonts w:ascii="Calibri" w:hAnsi="Calibri"/>
          <w:sz w:val="20"/>
          <w:szCs w:val="20"/>
        </w:rPr>
        <w:t>SDA</w:t>
      </w:r>
      <w:r>
        <w:rPr>
          <w:rStyle w:val="Abbreviation"/>
          <w:rFonts w:ascii="Calibri" w:hAnsi="Calibri"/>
          <w:sz w:val="20"/>
          <w:szCs w:val="20"/>
        </w:rPr>
        <w:tab/>
        <w:t>Services and Development Agreement</w:t>
      </w:r>
    </w:p>
    <w:p w:rsidR="007D6B1D" w:rsidRDefault="007D6B1D" w:rsidP="0029126D">
      <w:pPr>
        <w:tabs>
          <w:tab w:val="left" w:pos="1134"/>
        </w:tabs>
        <w:spacing w:after="80"/>
        <w:rPr>
          <w:rStyle w:val="Abbreviation"/>
          <w:rFonts w:ascii="Calibri" w:hAnsi="Calibri"/>
          <w:sz w:val="20"/>
          <w:szCs w:val="20"/>
        </w:rPr>
      </w:pPr>
      <w:r>
        <w:rPr>
          <w:rStyle w:val="Abbreviation"/>
          <w:rFonts w:ascii="Calibri" w:hAnsi="Calibri"/>
          <w:sz w:val="20"/>
          <w:szCs w:val="20"/>
        </w:rPr>
        <w:t>sqm</w:t>
      </w:r>
      <w:r>
        <w:rPr>
          <w:rStyle w:val="Abbreviation"/>
          <w:rFonts w:ascii="Calibri" w:hAnsi="Calibri"/>
          <w:sz w:val="20"/>
          <w:szCs w:val="20"/>
        </w:rPr>
        <w:tab/>
        <w:t>square metre</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TIA</w:t>
      </w:r>
      <w:r w:rsidRPr="00EF13BC">
        <w:rPr>
          <w:rStyle w:val="Abbreviation"/>
          <w:rFonts w:ascii="Calibri" w:hAnsi="Calibri"/>
          <w:sz w:val="20"/>
          <w:szCs w:val="20"/>
        </w:rPr>
        <w:tab/>
        <w:t>Transport Integration Act 2010</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TSV</w:t>
      </w:r>
      <w:r w:rsidRPr="00EF13BC">
        <w:rPr>
          <w:rStyle w:val="Abbreviation"/>
          <w:rFonts w:ascii="Calibri" w:hAnsi="Calibri"/>
          <w:sz w:val="20"/>
          <w:szCs w:val="20"/>
        </w:rPr>
        <w:tab/>
        <w:t>Transport Safety Victoria</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TTA</w:t>
      </w:r>
      <w:r w:rsidRPr="00EF13BC">
        <w:rPr>
          <w:rStyle w:val="Abbreviation"/>
          <w:rFonts w:ascii="Calibri" w:hAnsi="Calibri"/>
          <w:sz w:val="20"/>
          <w:szCs w:val="20"/>
        </w:rPr>
        <w:tab/>
        <w:t>Transport Ticketing Authority</w:t>
      </w:r>
    </w:p>
    <w:p w:rsidR="007D6B1D" w:rsidRDefault="007D6B1D" w:rsidP="0029126D">
      <w:pPr>
        <w:tabs>
          <w:tab w:val="left" w:pos="1134"/>
        </w:tabs>
        <w:spacing w:after="80"/>
        <w:rPr>
          <w:rStyle w:val="Abbreviation"/>
          <w:rFonts w:ascii="Calibri" w:hAnsi="Calibri"/>
          <w:sz w:val="20"/>
          <w:szCs w:val="20"/>
        </w:rPr>
      </w:pPr>
      <w:r>
        <w:rPr>
          <w:rStyle w:val="Abbreviation"/>
          <w:rFonts w:ascii="Calibri" w:hAnsi="Calibri"/>
          <w:sz w:val="20"/>
          <w:szCs w:val="20"/>
        </w:rPr>
        <w:t>VicFleet</w:t>
      </w:r>
      <w:r>
        <w:rPr>
          <w:rStyle w:val="Abbreviation"/>
          <w:rFonts w:ascii="Calibri" w:hAnsi="Calibri"/>
          <w:sz w:val="20"/>
          <w:szCs w:val="20"/>
        </w:rPr>
        <w:tab/>
        <w:t xml:space="preserve">Victorian </w:t>
      </w:r>
      <w:r w:rsidRPr="00AD22A8">
        <w:rPr>
          <w:rFonts w:ascii="Calibri" w:hAnsi="Calibri" w:cs="Calibri"/>
          <w:sz w:val="20"/>
          <w:szCs w:val="20"/>
        </w:rPr>
        <w:t>State Government vehicle pool</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VicRoads</w:t>
      </w:r>
      <w:r w:rsidRPr="00EF13BC">
        <w:rPr>
          <w:rStyle w:val="Abbreviation"/>
          <w:rFonts w:ascii="Calibri" w:hAnsi="Calibri"/>
          <w:sz w:val="20"/>
          <w:szCs w:val="20"/>
        </w:rPr>
        <w:tab/>
        <w:t>Roads Corporation of Victoria</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VicTrack</w:t>
      </w:r>
      <w:r w:rsidRPr="00EF13BC">
        <w:rPr>
          <w:rStyle w:val="Abbreviation"/>
          <w:rFonts w:ascii="Calibri" w:hAnsi="Calibri"/>
          <w:sz w:val="20"/>
          <w:szCs w:val="20"/>
        </w:rPr>
        <w:tab/>
        <w:t>Victorian Rail Track Corporation</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VIPP</w:t>
      </w:r>
      <w:r w:rsidRPr="00EF13BC">
        <w:rPr>
          <w:rStyle w:val="Abbreviation"/>
          <w:rFonts w:ascii="Calibri" w:hAnsi="Calibri"/>
          <w:sz w:val="20"/>
          <w:szCs w:val="20"/>
        </w:rPr>
        <w:tab/>
        <w:t>Victorian Industry Participation Policy</w:t>
      </w:r>
    </w:p>
    <w:p w:rsidR="0029126D" w:rsidRDefault="0029126D" w:rsidP="0029126D">
      <w:pPr>
        <w:tabs>
          <w:tab w:val="left" w:pos="1134"/>
        </w:tabs>
        <w:spacing w:after="80"/>
        <w:rPr>
          <w:rStyle w:val="Abbreviation"/>
          <w:rFonts w:ascii="Calibri" w:hAnsi="Calibri"/>
          <w:sz w:val="20"/>
          <w:szCs w:val="20"/>
        </w:rPr>
      </w:pPr>
      <w:r w:rsidRPr="00EF13BC">
        <w:rPr>
          <w:rStyle w:val="Abbreviation"/>
          <w:rFonts w:ascii="Calibri" w:hAnsi="Calibri"/>
          <w:sz w:val="20"/>
          <w:szCs w:val="20"/>
        </w:rPr>
        <w:t>V/Line</w:t>
      </w:r>
      <w:r w:rsidRPr="00EF13BC">
        <w:rPr>
          <w:rStyle w:val="Abbreviation"/>
          <w:rFonts w:ascii="Calibri" w:hAnsi="Calibri"/>
          <w:sz w:val="20"/>
          <w:szCs w:val="20"/>
        </w:rPr>
        <w:tab/>
        <w:t>V/Line Corporation</w:t>
      </w:r>
    </w:p>
    <w:p w:rsidR="00B14260" w:rsidRDefault="00B14260" w:rsidP="0029126D">
      <w:pPr>
        <w:tabs>
          <w:tab w:val="left" w:pos="1134"/>
        </w:tabs>
        <w:spacing w:after="80"/>
        <w:rPr>
          <w:rStyle w:val="Abbreviation"/>
          <w:rFonts w:ascii="Calibri" w:hAnsi="Calibri"/>
          <w:sz w:val="20"/>
          <w:szCs w:val="20"/>
        </w:rPr>
      </w:pPr>
      <w:r>
        <w:rPr>
          <w:rStyle w:val="Abbreviation"/>
          <w:rFonts w:ascii="Calibri" w:hAnsi="Calibri"/>
          <w:sz w:val="20"/>
          <w:szCs w:val="20"/>
        </w:rPr>
        <w:t>VMIA</w:t>
      </w:r>
      <w:r>
        <w:rPr>
          <w:rStyle w:val="Abbreviation"/>
          <w:rFonts w:ascii="Calibri" w:hAnsi="Calibri"/>
          <w:sz w:val="20"/>
          <w:szCs w:val="20"/>
        </w:rPr>
        <w:tab/>
      </w:r>
      <w:r w:rsidRPr="006B1498">
        <w:rPr>
          <w:rStyle w:val="Abbreviation"/>
          <w:rFonts w:ascii="Calibri" w:hAnsi="Calibri"/>
          <w:sz w:val="20"/>
          <w:szCs w:val="20"/>
        </w:rPr>
        <w:t xml:space="preserve">Victorian Managed Insurance Authority </w:t>
      </w:r>
    </w:p>
    <w:p w:rsidR="006B65A9" w:rsidRDefault="006B65A9" w:rsidP="0029126D">
      <w:pPr>
        <w:tabs>
          <w:tab w:val="left" w:pos="1134"/>
        </w:tabs>
        <w:spacing w:after="80"/>
        <w:rPr>
          <w:rStyle w:val="Abbreviation"/>
          <w:rFonts w:ascii="Calibri" w:hAnsi="Calibri"/>
          <w:sz w:val="20"/>
          <w:szCs w:val="20"/>
        </w:rPr>
      </w:pPr>
      <w:r>
        <w:rPr>
          <w:rStyle w:val="Abbreviation"/>
          <w:rFonts w:ascii="Calibri" w:hAnsi="Calibri"/>
          <w:sz w:val="20"/>
          <w:szCs w:val="20"/>
        </w:rPr>
        <w:t>VPS</w:t>
      </w:r>
      <w:r>
        <w:rPr>
          <w:rStyle w:val="Abbreviation"/>
          <w:rFonts w:ascii="Calibri" w:hAnsi="Calibri"/>
          <w:sz w:val="20"/>
          <w:szCs w:val="20"/>
        </w:rPr>
        <w:tab/>
        <w:t>Victorian Public Service</w:t>
      </w:r>
    </w:p>
    <w:p w:rsidR="003A3B4C" w:rsidRPr="00EF13BC" w:rsidRDefault="003A3B4C" w:rsidP="0029126D">
      <w:pPr>
        <w:tabs>
          <w:tab w:val="left" w:pos="1134"/>
        </w:tabs>
        <w:spacing w:after="80"/>
        <w:rPr>
          <w:rStyle w:val="Abbreviation"/>
          <w:rFonts w:ascii="Calibri" w:hAnsi="Calibri"/>
          <w:sz w:val="20"/>
          <w:szCs w:val="20"/>
        </w:rPr>
      </w:pPr>
      <w:r>
        <w:rPr>
          <w:rStyle w:val="Abbreviation"/>
          <w:rFonts w:ascii="Calibri" w:hAnsi="Calibri"/>
          <w:sz w:val="20"/>
          <w:szCs w:val="20"/>
        </w:rPr>
        <w:t>VWA</w:t>
      </w:r>
      <w:r>
        <w:rPr>
          <w:rStyle w:val="Abbreviation"/>
          <w:rFonts w:ascii="Calibri" w:hAnsi="Calibri"/>
          <w:sz w:val="20"/>
          <w:szCs w:val="20"/>
        </w:rPr>
        <w:tab/>
        <w:t>Victorian WorkCover Authority</w:t>
      </w:r>
    </w:p>
    <w:p w:rsidR="00917258" w:rsidRDefault="0029126D">
      <w:pPr>
        <w:rPr>
          <w:rFonts w:ascii="HelveticaNeue-Light" w:hAnsi="HelveticaNeue-Light" w:cs="HelveticaNeue-Light"/>
          <w:color w:val="FF0D00"/>
          <w:sz w:val="28"/>
          <w:szCs w:val="28"/>
        </w:rPr>
      </w:pPr>
      <w:r w:rsidDel="0029126D">
        <w:rPr>
          <w:rFonts w:ascii="HelveticaNeue-Light" w:hAnsi="HelveticaNeue-Light" w:cs="HelveticaNeue-Light"/>
          <w:color w:val="FF0D00"/>
          <w:sz w:val="28"/>
          <w:szCs w:val="28"/>
        </w:rPr>
        <w:t xml:space="preserve"> </w:t>
      </w:r>
    </w:p>
    <w:p w:rsidR="00917258" w:rsidRDefault="00917258">
      <w:pPr>
        <w:rPr>
          <w:rFonts w:ascii="HelveticaNeue-Light" w:hAnsi="HelveticaNeue-Light" w:cs="HelveticaNeue-Light"/>
          <w:color w:val="FF0D00"/>
          <w:sz w:val="28"/>
          <w:szCs w:val="28"/>
        </w:rPr>
      </w:pPr>
      <w:r>
        <w:rPr>
          <w:rFonts w:ascii="HelveticaNeue-Light" w:hAnsi="HelveticaNeue-Light" w:cs="HelveticaNeue-Light"/>
          <w:color w:val="FF0D00"/>
          <w:sz w:val="28"/>
          <w:szCs w:val="28"/>
        </w:rPr>
        <w:br w:type="page"/>
      </w:r>
    </w:p>
    <w:p w:rsidR="00917258" w:rsidRPr="00E246FA" w:rsidRDefault="00917258" w:rsidP="00625227">
      <w:pPr>
        <w:pStyle w:val="Heading10"/>
        <w:outlineLvl w:val="0"/>
      </w:pPr>
      <w:bookmarkStart w:id="5" w:name="_Toc365382496"/>
      <w:bookmarkStart w:id="6" w:name="_Toc366672079"/>
      <w:r w:rsidRPr="00E246FA">
        <w:t>Chair and Chief Executive’s foreword</w:t>
      </w:r>
      <w:bookmarkEnd w:id="5"/>
      <w:bookmarkEnd w:id="6"/>
    </w:p>
    <w:p w:rsidR="00917258" w:rsidRPr="00E246FA" w:rsidRDefault="00917258" w:rsidP="00917258">
      <w:pPr>
        <w:autoSpaceDE w:val="0"/>
        <w:autoSpaceDN w:val="0"/>
        <w:adjustRightInd w:val="0"/>
        <w:rPr>
          <w:rFonts w:ascii="Arial" w:hAnsi="Arial" w:cs="Arial"/>
          <w:color w:val="000000"/>
          <w:sz w:val="22"/>
          <w:szCs w:val="22"/>
        </w:rPr>
      </w:pPr>
    </w:p>
    <w:p w:rsidR="00917258" w:rsidRPr="00E246FA" w:rsidRDefault="00917258" w:rsidP="00917258">
      <w:pPr>
        <w:autoSpaceDE w:val="0"/>
        <w:autoSpaceDN w:val="0"/>
        <w:adjustRightInd w:val="0"/>
        <w:rPr>
          <w:rFonts w:ascii="Arial" w:hAnsi="Arial" w:cs="Arial"/>
          <w:color w:val="000000"/>
          <w:sz w:val="22"/>
          <w:szCs w:val="22"/>
        </w:rPr>
      </w:pPr>
      <w:r w:rsidRPr="00E246FA">
        <w:rPr>
          <w:rFonts w:ascii="Arial" w:hAnsi="Arial" w:cs="Arial"/>
          <w:color w:val="000000"/>
          <w:sz w:val="22"/>
          <w:szCs w:val="22"/>
        </w:rPr>
        <w:t>I am pleased to present Public Transport Victoria’s 2012-13 Annual Report</w:t>
      </w:r>
    </w:p>
    <w:p w:rsidR="00917258" w:rsidRPr="00E246FA" w:rsidRDefault="00917258" w:rsidP="00917258">
      <w:pPr>
        <w:autoSpaceDE w:val="0"/>
        <w:autoSpaceDN w:val="0"/>
        <w:adjustRightInd w:val="0"/>
        <w:rPr>
          <w:rFonts w:ascii="Arial" w:hAnsi="Arial" w:cs="Arial"/>
          <w:color w:val="000000"/>
          <w:sz w:val="22"/>
          <w:szCs w:val="22"/>
        </w:rPr>
      </w:pPr>
    </w:p>
    <w:p w:rsidR="00204582" w:rsidRPr="00E246FA" w:rsidRDefault="00B651D5" w:rsidP="00917258">
      <w:pPr>
        <w:autoSpaceDE w:val="0"/>
        <w:autoSpaceDN w:val="0"/>
        <w:adjustRightInd w:val="0"/>
        <w:rPr>
          <w:rFonts w:ascii="Arial" w:hAnsi="Arial" w:cs="Arial"/>
          <w:sz w:val="22"/>
          <w:szCs w:val="22"/>
        </w:rPr>
      </w:pPr>
      <w:r w:rsidRPr="00E246FA">
        <w:rPr>
          <w:rFonts w:ascii="Arial" w:hAnsi="Arial" w:cs="Arial"/>
          <w:color w:val="000000"/>
          <w:sz w:val="22"/>
          <w:szCs w:val="22"/>
        </w:rPr>
        <w:t xml:space="preserve">For </w:t>
      </w:r>
      <w:r w:rsidR="00250971" w:rsidRPr="00E246FA">
        <w:rPr>
          <w:rFonts w:ascii="Arial" w:hAnsi="Arial" w:cs="Arial"/>
          <w:color w:val="000000"/>
          <w:sz w:val="22"/>
          <w:szCs w:val="22"/>
        </w:rPr>
        <w:t xml:space="preserve">Public Transport Victoria (PTV) the year has </w:t>
      </w:r>
      <w:r w:rsidR="00514FB8" w:rsidRPr="00E246FA">
        <w:rPr>
          <w:rFonts w:ascii="Arial" w:hAnsi="Arial" w:cs="Arial"/>
          <w:color w:val="000000"/>
          <w:sz w:val="22"/>
          <w:szCs w:val="22"/>
        </w:rPr>
        <w:t>seen us go through man</w:t>
      </w:r>
      <w:r w:rsidR="00E009A0" w:rsidRPr="00E246FA">
        <w:rPr>
          <w:rFonts w:ascii="Arial" w:hAnsi="Arial" w:cs="Arial"/>
          <w:color w:val="000000"/>
          <w:sz w:val="22"/>
          <w:szCs w:val="22"/>
        </w:rPr>
        <w:t>y changes. We have restructured</w:t>
      </w:r>
      <w:r w:rsidR="00FF414D" w:rsidRPr="00E246FA">
        <w:rPr>
          <w:rFonts w:ascii="Arial" w:hAnsi="Arial" w:cs="Arial"/>
          <w:color w:val="000000"/>
          <w:sz w:val="22"/>
          <w:szCs w:val="22"/>
        </w:rPr>
        <w:t xml:space="preserve"> our organisation internally</w:t>
      </w:r>
      <w:r w:rsidR="00514FB8" w:rsidRPr="00E246FA">
        <w:rPr>
          <w:rFonts w:ascii="Arial" w:hAnsi="Arial" w:cs="Arial"/>
          <w:color w:val="000000"/>
          <w:sz w:val="22"/>
          <w:szCs w:val="22"/>
        </w:rPr>
        <w:t xml:space="preserve">, </w:t>
      </w:r>
      <w:r w:rsidR="001D59F3" w:rsidRPr="00E246FA">
        <w:rPr>
          <w:rFonts w:ascii="Arial" w:hAnsi="Arial" w:cs="Arial"/>
          <w:sz w:val="22"/>
          <w:szCs w:val="22"/>
        </w:rPr>
        <w:t>reached</w:t>
      </w:r>
      <w:r w:rsidR="00917258" w:rsidRPr="00E246FA">
        <w:rPr>
          <w:rFonts w:ascii="Arial" w:hAnsi="Arial" w:cs="Arial"/>
          <w:sz w:val="22"/>
          <w:szCs w:val="22"/>
        </w:rPr>
        <w:t xml:space="preserve"> a new enterprise agreement with staff</w:t>
      </w:r>
      <w:r w:rsidR="001D59F3" w:rsidRPr="00E246FA">
        <w:rPr>
          <w:rFonts w:ascii="Arial" w:hAnsi="Arial" w:cs="Arial"/>
          <w:sz w:val="22"/>
          <w:szCs w:val="22"/>
        </w:rPr>
        <w:t>, and relocated from four different sites to bring all staff together under one roof at 750 Collins Street</w:t>
      </w:r>
      <w:r w:rsidR="00917258" w:rsidRPr="00E246FA">
        <w:rPr>
          <w:rFonts w:ascii="Arial" w:hAnsi="Arial" w:cs="Arial"/>
          <w:sz w:val="22"/>
          <w:szCs w:val="22"/>
        </w:rPr>
        <w:t>.</w:t>
      </w:r>
      <w:r w:rsidR="00846530" w:rsidRPr="00E246FA">
        <w:rPr>
          <w:rFonts w:ascii="Arial" w:hAnsi="Arial" w:cs="Arial"/>
          <w:sz w:val="22"/>
          <w:szCs w:val="22"/>
        </w:rPr>
        <w:t xml:space="preserve"> </w:t>
      </w:r>
    </w:p>
    <w:p w:rsidR="00204582" w:rsidRPr="00E246FA" w:rsidRDefault="00204582" w:rsidP="00917258">
      <w:pPr>
        <w:autoSpaceDE w:val="0"/>
        <w:autoSpaceDN w:val="0"/>
        <w:adjustRightInd w:val="0"/>
        <w:rPr>
          <w:rFonts w:ascii="Arial" w:hAnsi="Arial" w:cs="Arial"/>
          <w:sz w:val="22"/>
          <w:szCs w:val="22"/>
        </w:rPr>
      </w:pPr>
    </w:p>
    <w:p w:rsidR="001A4E7E" w:rsidRPr="00E246FA" w:rsidRDefault="001A4E7E" w:rsidP="00917258">
      <w:pPr>
        <w:autoSpaceDE w:val="0"/>
        <w:autoSpaceDN w:val="0"/>
        <w:adjustRightInd w:val="0"/>
        <w:rPr>
          <w:rFonts w:ascii="Arial" w:hAnsi="Arial" w:cs="Arial"/>
          <w:bCs/>
          <w:sz w:val="22"/>
          <w:szCs w:val="22"/>
        </w:rPr>
      </w:pPr>
      <w:r w:rsidRPr="00E246FA">
        <w:rPr>
          <w:rFonts w:ascii="Arial" w:hAnsi="Arial" w:cs="Arial"/>
          <w:bCs/>
          <w:sz w:val="22"/>
          <w:szCs w:val="22"/>
        </w:rPr>
        <w:t xml:space="preserve">On 1 January 2013, responsibility for the rollout of myki was assumed by </w:t>
      </w:r>
      <w:r w:rsidR="006D00BC" w:rsidRPr="00E246FA">
        <w:rPr>
          <w:rFonts w:ascii="Arial" w:hAnsi="Arial" w:cs="Arial"/>
          <w:bCs/>
          <w:sz w:val="22"/>
          <w:szCs w:val="22"/>
        </w:rPr>
        <w:t>PTV</w:t>
      </w:r>
      <w:r w:rsidR="00846530" w:rsidRPr="00E246FA">
        <w:rPr>
          <w:rFonts w:ascii="Arial" w:hAnsi="Arial" w:cs="Arial"/>
          <w:bCs/>
          <w:sz w:val="22"/>
          <w:szCs w:val="22"/>
        </w:rPr>
        <w:t>.</w:t>
      </w:r>
    </w:p>
    <w:p w:rsidR="001A4E7E" w:rsidRPr="00E246FA" w:rsidRDefault="001A4E7E" w:rsidP="00917258">
      <w:pPr>
        <w:autoSpaceDE w:val="0"/>
        <w:autoSpaceDN w:val="0"/>
        <w:adjustRightInd w:val="0"/>
        <w:rPr>
          <w:rFonts w:ascii="Arial" w:hAnsi="Arial" w:cs="Arial"/>
          <w:sz w:val="22"/>
          <w:szCs w:val="22"/>
        </w:rPr>
      </w:pPr>
    </w:p>
    <w:p w:rsidR="00204582" w:rsidRPr="00E246FA" w:rsidRDefault="001F6C6A" w:rsidP="00917258">
      <w:pPr>
        <w:autoSpaceDE w:val="0"/>
        <w:autoSpaceDN w:val="0"/>
        <w:adjustRightInd w:val="0"/>
        <w:rPr>
          <w:rFonts w:ascii="Arial" w:hAnsi="Arial" w:cs="Arial"/>
          <w:sz w:val="22"/>
          <w:szCs w:val="22"/>
        </w:rPr>
      </w:pPr>
      <w:r w:rsidRPr="00E246FA">
        <w:rPr>
          <w:rFonts w:ascii="Arial" w:hAnsi="Arial" w:cs="Arial"/>
          <w:sz w:val="22"/>
          <w:szCs w:val="22"/>
        </w:rPr>
        <w:t xml:space="preserve">While consolidation and development have been taking place at an </w:t>
      </w:r>
      <w:r w:rsidR="00514FB8" w:rsidRPr="00E246FA">
        <w:rPr>
          <w:rFonts w:ascii="Arial" w:hAnsi="Arial" w:cs="Arial"/>
          <w:sz w:val="22"/>
          <w:szCs w:val="22"/>
        </w:rPr>
        <w:t>organisational</w:t>
      </w:r>
      <w:r w:rsidRPr="00E246FA">
        <w:rPr>
          <w:rFonts w:ascii="Arial" w:hAnsi="Arial" w:cs="Arial"/>
          <w:sz w:val="22"/>
          <w:szCs w:val="22"/>
        </w:rPr>
        <w:t xml:space="preserve"> level, our work </w:t>
      </w:r>
      <w:r w:rsidR="00514FB8" w:rsidRPr="00E246FA">
        <w:rPr>
          <w:rFonts w:ascii="Arial" w:hAnsi="Arial" w:cs="Arial"/>
          <w:sz w:val="22"/>
          <w:szCs w:val="22"/>
        </w:rPr>
        <w:t xml:space="preserve">to maintain, operate and develop </w:t>
      </w:r>
      <w:r w:rsidRPr="00E246FA">
        <w:rPr>
          <w:rFonts w:ascii="Arial" w:hAnsi="Arial" w:cs="Arial"/>
          <w:sz w:val="22"/>
          <w:szCs w:val="22"/>
        </w:rPr>
        <w:t xml:space="preserve">the </w:t>
      </w:r>
      <w:r w:rsidR="00514FB8" w:rsidRPr="00E246FA">
        <w:rPr>
          <w:rFonts w:ascii="Arial" w:hAnsi="Arial" w:cs="Arial"/>
          <w:sz w:val="22"/>
          <w:szCs w:val="22"/>
        </w:rPr>
        <w:t xml:space="preserve">public transport </w:t>
      </w:r>
      <w:r w:rsidRPr="00E246FA">
        <w:rPr>
          <w:rFonts w:ascii="Arial" w:hAnsi="Arial" w:cs="Arial"/>
          <w:sz w:val="22"/>
          <w:szCs w:val="22"/>
        </w:rPr>
        <w:t xml:space="preserve">network has not slowed, in fact </w:t>
      </w:r>
      <w:r w:rsidR="00E009A0" w:rsidRPr="00E246FA">
        <w:rPr>
          <w:rFonts w:ascii="Arial" w:hAnsi="Arial" w:cs="Arial"/>
          <w:sz w:val="22"/>
          <w:szCs w:val="22"/>
        </w:rPr>
        <w:t xml:space="preserve">we’ve done </w:t>
      </w:r>
      <w:r w:rsidRPr="00E246FA">
        <w:rPr>
          <w:rFonts w:ascii="Arial" w:hAnsi="Arial" w:cs="Arial"/>
          <w:sz w:val="22"/>
          <w:szCs w:val="22"/>
        </w:rPr>
        <w:t xml:space="preserve">the opposite. </w:t>
      </w:r>
    </w:p>
    <w:p w:rsidR="00204582" w:rsidRPr="00E246FA" w:rsidRDefault="00204582" w:rsidP="00917258">
      <w:pPr>
        <w:autoSpaceDE w:val="0"/>
        <w:autoSpaceDN w:val="0"/>
        <w:adjustRightInd w:val="0"/>
        <w:rPr>
          <w:rFonts w:ascii="Arial" w:hAnsi="Arial" w:cs="Arial"/>
          <w:sz w:val="22"/>
          <w:szCs w:val="22"/>
        </w:rPr>
      </w:pPr>
    </w:p>
    <w:p w:rsidR="00250971" w:rsidRPr="00E246FA" w:rsidRDefault="001A4E7E" w:rsidP="00917258">
      <w:pPr>
        <w:autoSpaceDE w:val="0"/>
        <w:autoSpaceDN w:val="0"/>
        <w:adjustRightInd w:val="0"/>
        <w:rPr>
          <w:rFonts w:ascii="Arial" w:hAnsi="Arial" w:cs="Arial"/>
          <w:color w:val="000000"/>
          <w:sz w:val="22"/>
          <w:szCs w:val="22"/>
        </w:rPr>
      </w:pPr>
      <w:r w:rsidRPr="00E246FA">
        <w:rPr>
          <w:rFonts w:ascii="Arial" w:hAnsi="Arial" w:cs="Arial"/>
          <w:color w:val="000000"/>
          <w:sz w:val="22"/>
          <w:szCs w:val="22"/>
        </w:rPr>
        <w:t xml:space="preserve">PTV </w:t>
      </w:r>
      <w:r w:rsidR="00FF414D" w:rsidRPr="00E246FA">
        <w:rPr>
          <w:rFonts w:ascii="Arial" w:hAnsi="Arial" w:cs="Arial"/>
          <w:color w:val="000000"/>
          <w:sz w:val="22"/>
          <w:szCs w:val="22"/>
        </w:rPr>
        <w:t xml:space="preserve">completed the delivery of </w:t>
      </w:r>
      <w:r w:rsidRPr="00E246FA">
        <w:rPr>
          <w:rFonts w:ascii="Arial" w:hAnsi="Arial" w:cs="Arial"/>
          <w:color w:val="000000"/>
          <w:sz w:val="22"/>
          <w:szCs w:val="22"/>
        </w:rPr>
        <w:t>major pieces of infrastructure</w:t>
      </w:r>
      <w:r w:rsidR="00204582" w:rsidRPr="00E246FA">
        <w:rPr>
          <w:rFonts w:ascii="Arial" w:hAnsi="Arial" w:cs="Arial"/>
          <w:color w:val="000000"/>
          <w:sz w:val="22"/>
          <w:szCs w:val="22"/>
        </w:rPr>
        <w:t xml:space="preserve"> this year</w:t>
      </w:r>
      <w:r w:rsidRPr="00E246FA">
        <w:rPr>
          <w:rFonts w:ascii="Arial" w:hAnsi="Arial" w:cs="Arial"/>
          <w:color w:val="000000"/>
          <w:sz w:val="22"/>
          <w:szCs w:val="22"/>
        </w:rPr>
        <w:t xml:space="preserve">, such as the Sunbury </w:t>
      </w:r>
      <w:r w:rsidR="00FF414D" w:rsidRPr="00E246FA">
        <w:rPr>
          <w:rFonts w:ascii="Arial" w:hAnsi="Arial" w:cs="Arial"/>
          <w:color w:val="000000"/>
          <w:sz w:val="22"/>
          <w:szCs w:val="22"/>
        </w:rPr>
        <w:t>E</w:t>
      </w:r>
      <w:r w:rsidRPr="00E246FA">
        <w:rPr>
          <w:rFonts w:ascii="Arial" w:hAnsi="Arial" w:cs="Arial"/>
          <w:color w:val="000000"/>
          <w:sz w:val="22"/>
          <w:szCs w:val="22"/>
        </w:rPr>
        <w:t xml:space="preserve">lectrification </w:t>
      </w:r>
      <w:r w:rsidR="00FF414D" w:rsidRPr="00E246FA">
        <w:rPr>
          <w:rFonts w:ascii="Arial" w:hAnsi="Arial" w:cs="Arial"/>
          <w:color w:val="000000"/>
          <w:sz w:val="22"/>
          <w:szCs w:val="22"/>
        </w:rPr>
        <w:t xml:space="preserve">Project </w:t>
      </w:r>
      <w:r w:rsidRPr="00E246FA">
        <w:rPr>
          <w:rFonts w:ascii="Arial" w:hAnsi="Arial" w:cs="Arial"/>
          <w:color w:val="000000"/>
          <w:sz w:val="22"/>
          <w:szCs w:val="22"/>
        </w:rPr>
        <w:t>and Williams Landing Station</w:t>
      </w:r>
      <w:r w:rsidR="001D59F3" w:rsidRPr="00E246FA">
        <w:rPr>
          <w:rFonts w:ascii="Arial" w:hAnsi="Arial" w:cs="Arial"/>
          <w:color w:val="000000"/>
          <w:sz w:val="22"/>
          <w:szCs w:val="22"/>
        </w:rPr>
        <w:t>.</w:t>
      </w:r>
      <w:r w:rsidRPr="00E246FA">
        <w:rPr>
          <w:rFonts w:ascii="Arial" w:hAnsi="Arial" w:cs="Arial"/>
          <w:color w:val="000000"/>
          <w:sz w:val="22"/>
          <w:szCs w:val="22"/>
        </w:rPr>
        <w:t xml:space="preserve"> </w:t>
      </w:r>
    </w:p>
    <w:p w:rsidR="00250971" w:rsidRPr="00E246FA" w:rsidRDefault="00250971" w:rsidP="00917258">
      <w:pPr>
        <w:autoSpaceDE w:val="0"/>
        <w:autoSpaceDN w:val="0"/>
        <w:adjustRightInd w:val="0"/>
        <w:rPr>
          <w:rFonts w:ascii="Arial" w:hAnsi="Arial" w:cs="Arial"/>
          <w:color w:val="000000"/>
          <w:sz w:val="22"/>
          <w:szCs w:val="22"/>
        </w:rPr>
      </w:pPr>
    </w:p>
    <w:p w:rsidR="001F6C6A" w:rsidRPr="00E246FA" w:rsidRDefault="001A4E7E" w:rsidP="00917258">
      <w:pPr>
        <w:autoSpaceDE w:val="0"/>
        <w:autoSpaceDN w:val="0"/>
        <w:adjustRightInd w:val="0"/>
        <w:rPr>
          <w:rFonts w:ascii="Arial" w:hAnsi="Arial" w:cs="Arial"/>
          <w:color w:val="000000"/>
          <w:sz w:val="22"/>
          <w:szCs w:val="22"/>
        </w:rPr>
      </w:pPr>
      <w:r w:rsidRPr="00E246FA">
        <w:rPr>
          <w:rFonts w:ascii="Arial" w:hAnsi="Arial" w:cs="Arial"/>
          <w:color w:val="000000"/>
          <w:sz w:val="22"/>
          <w:szCs w:val="22"/>
        </w:rPr>
        <w:t xml:space="preserve">We </w:t>
      </w:r>
      <w:r w:rsidR="00250971" w:rsidRPr="00E246FA">
        <w:rPr>
          <w:rFonts w:ascii="Arial" w:hAnsi="Arial" w:cs="Arial"/>
          <w:color w:val="000000"/>
          <w:sz w:val="22"/>
          <w:szCs w:val="22"/>
        </w:rPr>
        <w:t>re</w:t>
      </w:r>
      <w:r w:rsidRPr="00E246FA">
        <w:rPr>
          <w:rFonts w:ascii="Arial" w:hAnsi="Arial" w:cs="Arial"/>
          <w:color w:val="000000"/>
          <w:sz w:val="22"/>
          <w:szCs w:val="22"/>
        </w:rPr>
        <w:t xml:space="preserve">structured bus networks to </w:t>
      </w:r>
      <w:r w:rsidR="001F6C6A" w:rsidRPr="00E246FA">
        <w:rPr>
          <w:rFonts w:ascii="Arial" w:hAnsi="Arial" w:cs="Arial"/>
          <w:color w:val="000000"/>
          <w:sz w:val="22"/>
          <w:szCs w:val="22"/>
        </w:rPr>
        <w:t xml:space="preserve">better </w:t>
      </w:r>
      <w:r w:rsidR="000408AA" w:rsidRPr="00E246FA">
        <w:rPr>
          <w:rFonts w:ascii="Arial" w:hAnsi="Arial" w:cs="Arial"/>
          <w:color w:val="000000"/>
          <w:sz w:val="22"/>
          <w:szCs w:val="22"/>
        </w:rPr>
        <w:t xml:space="preserve">connect </w:t>
      </w:r>
      <w:r w:rsidRPr="00E246FA">
        <w:rPr>
          <w:rFonts w:ascii="Arial" w:hAnsi="Arial" w:cs="Arial"/>
          <w:color w:val="000000"/>
          <w:sz w:val="22"/>
          <w:szCs w:val="22"/>
        </w:rPr>
        <w:t xml:space="preserve">with trains, and </w:t>
      </w:r>
      <w:r w:rsidR="00F72773" w:rsidRPr="00E246FA">
        <w:rPr>
          <w:rFonts w:ascii="Arial" w:hAnsi="Arial" w:cs="Arial"/>
          <w:color w:val="000000"/>
          <w:sz w:val="22"/>
          <w:szCs w:val="22"/>
        </w:rPr>
        <w:t xml:space="preserve">coordinated </w:t>
      </w:r>
      <w:r w:rsidRPr="00E246FA">
        <w:rPr>
          <w:rFonts w:ascii="Arial" w:hAnsi="Arial" w:cs="Arial"/>
          <w:color w:val="000000"/>
          <w:sz w:val="22"/>
          <w:szCs w:val="22"/>
        </w:rPr>
        <w:t xml:space="preserve">orders for metropolitan trains and trams as well as regional carriages. </w:t>
      </w:r>
    </w:p>
    <w:p w:rsidR="001F6C6A" w:rsidRPr="00E246FA" w:rsidRDefault="001F6C6A" w:rsidP="00917258">
      <w:pPr>
        <w:autoSpaceDE w:val="0"/>
        <w:autoSpaceDN w:val="0"/>
        <w:adjustRightInd w:val="0"/>
        <w:rPr>
          <w:rFonts w:ascii="Arial" w:hAnsi="Arial" w:cs="Arial"/>
          <w:color w:val="000000"/>
          <w:sz w:val="22"/>
          <w:szCs w:val="22"/>
        </w:rPr>
      </w:pPr>
    </w:p>
    <w:p w:rsidR="001A4E7E" w:rsidRPr="00E246FA" w:rsidRDefault="001F6C6A" w:rsidP="00917258">
      <w:pPr>
        <w:autoSpaceDE w:val="0"/>
        <w:autoSpaceDN w:val="0"/>
        <w:adjustRightInd w:val="0"/>
        <w:rPr>
          <w:rFonts w:ascii="Arial" w:hAnsi="Arial" w:cs="Arial"/>
          <w:color w:val="000000"/>
          <w:sz w:val="22"/>
          <w:szCs w:val="22"/>
        </w:rPr>
      </w:pPr>
      <w:r w:rsidRPr="00E246FA">
        <w:rPr>
          <w:rFonts w:ascii="Arial" w:hAnsi="Arial" w:cs="Arial"/>
          <w:color w:val="000000"/>
          <w:sz w:val="22"/>
          <w:szCs w:val="22"/>
        </w:rPr>
        <w:t>Our focus ha</w:t>
      </w:r>
      <w:r w:rsidR="001A4E7E" w:rsidRPr="00E246FA">
        <w:rPr>
          <w:rFonts w:ascii="Arial" w:hAnsi="Arial" w:cs="Arial"/>
          <w:color w:val="000000"/>
          <w:sz w:val="22"/>
          <w:szCs w:val="22"/>
        </w:rPr>
        <w:t xml:space="preserve">s </w:t>
      </w:r>
      <w:r w:rsidRPr="00E246FA">
        <w:rPr>
          <w:rFonts w:ascii="Arial" w:hAnsi="Arial" w:cs="Arial"/>
          <w:color w:val="000000"/>
          <w:sz w:val="22"/>
          <w:szCs w:val="22"/>
        </w:rPr>
        <w:t xml:space="preserve">been </w:t>
      </w:r>
      <w:r w:rsidR="001A4E7E" w:rsidRPr="00E246FA">
        <w:rPr>
          <w:rFonts w:ascii="Arial" w:hAnsi="Arial" w:cs="Arial"/>
          <w:color w:val="000000"/>
          <w:sz w:val="22"/>
          <w:szCs w:val="22"/>
        </w:rPr>
        <w:t xml:space="preserve">broad, </w:t>
      </w:r>
      <w:r w:rsidR="00225D99" w:rsidRPr="00E246FA">
        <w:rPr>
          <w:rFonts w:ascii="Arial" w:hAnsi="Arial" w:cs="Arial"/>
          <w:color w:val="000000"/>
          <w:sz w:val="22"/>
          <w:szCs w:val="22"/>
        </w:rPr>
        <w:t xml:space="preserve">taking into account </w:t>
      </w:r>
      <w:r w:rsidR="001A4E7E" w:rsidRPr="00E246FA">
        <w:rPr>
          <w:rFonts w:ascii="Arial" w:hAnsi="Arial" w:cs="Arial"/>
          <w:color w:val="000000"/>
          <w:sz w:val="22"/>
          <w:szCs w:val="22"/>
        </w:rPr>
        <w:t xml:space="preserve">how the entire metropolitan and regional networks operate, and </w:t>
      </w:r>
      <w:r w:rsidR="00204582" w:rsidRPr="00E246FA">
        <w:rPr>
          <w:rFonts w:ascii="Arial" w:hAnsi="Arial" w:cs="Arial"/>
          <w:color w:val="000000"/>
          <w:sz w:val="22"/>
          <w:szCs w:val="22"/>
        </w:rPr>
        <w:t>precise</w:t>
      </w:r>
      <w:r w:rsidR="001A4E7E" w:rsidRPr="00E246FA">
        <w:rPr>
          <w:rFonts w:ascii="Arial" w:hAnsi="Arial" w:cs="Arial"/>
          <w:color w:val="000000"/>
          <w:sz w:val="22"/>
          <w:szCs w:val="22"/>
        </w:rPr>
        <w:t xml:space="preserve">, looking at how the </w:t>
      </w:r>
      <w:r w:rsidR="00FF414D" w:rsidRPr="00E246FA">
        <w:rPr>
          <w:rFonts w:ascii="Arial" w:hAnsi="Arial" w:cs="Arial"/>
          <w:color w:val="000000"/>
          <w:sz w:val="22"/>
          <w:szCs w:val="22"/>
        </w:rPr>
        <w:t xml:space="preserve">smallest </w:t>
      </w:r>
      <w:r w:rsidR="001A4E7E" w:rsidRPr="00E246FA">
        <w:rPr>
          <w:rFonts w:ascii="Arial" w:hAnsi="Arial" w:cs="Arial"/>
          <w:color w:val="000000"/>
          <w:sz w:val="22"/>
          <w:szCs w:val="22"/>
        </w:rPr>
        <w:t>improvement can benefit the individual passenger.</w:t>
      </w:r>
    </w:p>
    <w:p w:rsidR="001A4E7E" w:rsidRPr="00E246FA" w:rsidRDefault="001A4E7E" w:rsidP="00917258">
      <w:pPr>
        <w:autoSpaceDE w:val="0"/>
        <w:autoSpaceDN w:val="0"/>
        <w:adjustRightInd w:val="0"/>
        <w:rPr>
          <w:rFonts w:ascii="Arial" w:hAnsi="Arial" w:cs="Arial"/>
          <w:color w:val="000000"/>
          <w:sz w:val="22"/>
          <w:szCs w:val="22"/>
        </w:rPr>
      </w:pPr>
    </w:p>
    <w:p w:rsidR="001D59F3" w:rsidRPr="00E246FA" w:rsidRDefault="001D59F3" w:rsidP="00917258">
      <w:pPr>
        <w:autoSpaceDE w:val="0"/>
        <w:autoSpaceDN w:val="0"/>
        <w:adjustRightInd w:val="0"/>
        <w:rPr>
          <w:rFonts w:ascii="Arial" w:hAnsi="Arial" w:cs="Arial"/>
          <w:color w:val="000000"/>
          <w:sz w:val="22"/>
          <w:szCs w:val="22"/>
        </w:rPr>
      </w:pPr>
      <w:r w:rsidRPr="00E246FA">
        <w:rPr>
          <w:rFonts w:ascii="Arial" w:hAnsi="Arial" w:cs="Arial"/>
          <w:color w:val="000000"/>
          <w:sz w:val="22"/>
          <w:szCs w:val="22"/>
        </w:rPr>
        <w:t xml:space="preserve">We have worked hard to improve customer service, opening the new PTV Hub at Southern Cross Station which attracts around </w:t>
      </w:r>
      <w:r w:rsidR="00FF414D" w:rsidRPr="00E246FA">
        <w:rPr>
          <w:rFonts w:ascii="Arial" w:hAnsi="Arial" w:cs="Arial"/>
          <w:color w:val="000000"/>
          <w:sz w:val="22"/>
          <w:szCs w:val="22"/>
        </w:rPr>
        <w:t xml:space="preserve">1400 </w:t>
      </w:r>
      <w:r w:rsidRPr="00E246FA">
        <w:rPr>
          <w:rFonts w:ascii="Arial" w:hAnsi="Arial" w:cs="Arial"/>
          <w:color w:val="000000"/>
          <w:sz w:val="22"/>
          <w:szCs w:val="22"/>
        </w:rPr>
        <w:t xml:space="preserve">public transport users a </w:t>
      </w:r>
      <w:r w:rsidR="00FF414D" w:rsidRPr="00E246FA">
        <w:rPr>
          <w:rFonts w:ascii="Arial" w:hAnsi="Arial" w:cs="Arial"/>
          <w:color w:val="000000"/>
          <w:sz w:val="22"/>
          <w:szCs w:val="22"/>
        </w:rPr>
        <w:t>day</w:t>
      </w:r>
      <w:r w:rsidRPr="00E246FA">
        <w:rPr>
          <w:rFonts w:ascii="Arial" w:hAnsi="Arial" w:cs="Arial"/>
          <w:color w:val="000000"/>
          <w:sz w:val="22"/>
          <w:szCs w:val="22"/>
        </w:rPr>
        <w:t>, as well as establishing pop</w:t>
      </w:r>
      <w:r w:rsidR="004E18F5" w:rsidRPr="00E246FA">
        <w:rPr>
          <w:rFonts w:ascii="Arial" w:hAnsi="Arial" w:cs="Arial"/>
          <w:color w:val="000000"/>
          <w:sz w:val="22"/>
          <w:szCs w:val="22"/>
        </w:rPr>
        <w:t xml:space="preserve"> </w:t>
      </w:r>
      <w:r w:rsidRPr="00E246FA">
        <w:rPr>
          <w:rFonts w:ascii="Arial" w:hAnsi="Arial" w:cs="Arial"/>
          <w:color w:val="000000"/>
          <w:sz w:val="22"/>
          <w:szCs w:val="22"/>
        </w:rPr>
        <w:t>up hubs to cater for the huge travel demand around major events such as the Australian Open and Grand Prix.</w:t>
      </w:r>
    </w:p>
    <w:p w:rsidR="001D59F3" w:rsidRPr="00E246FA" w:rsidRDefault="001D59F3" w:rsidP="00917258">
      <w:pPr>
        <w:autoSpaceDE w:val="0"/>
        <w:autoSpaceDN w:val="0"/>
        <w:adjustRightInd w:val="0"/>
        <w:rPr>
          <w:rFonts w:ascii="Arial" w:hAnsi="Arial" w:cs="Arial"/>
          <w:color w:val="000000"/>
          <w:sz w:val="22"/>
          <w:szCs w:val="22"/>
        </w:rPr>
      </w:pPr>
    </w:p>
    <w:p w:rsidR="001A4E7E" w:rsidRPr="00E246FA" w:rsidRDefault="001A4E7E" w:rsidP="00917258">
      <w:pPr>
        <w:autoSpaceDE w:val="0"/>
        <w:autoSpaceDN w:val="0"/>
        <w:adjustRightInd w:val="0"/>
        <w:rPr>
          <w:rFonts w:ascii="Arial" w:hAnsi="Arial" w:cs="Arial"/>
          <w:color w:val="000000"/>
          <w:sz w:val="22"/>
          <w:szCs w:val="22"/>
        </w:rPr>
      </w:pPr>
      <w:r w:rsidRPr="00E246FA">
        <w:rPr>
          <w:rFonts w:ascii="Arial" w:hAnsi="Arial" w:cs="Arial"/>
          <w:color w:val="000000"/>
          <w:sz w:val="22"/>
          <w:szCs w:val="22"/>
        </w:rPr>
        <w:t xml:space="preserve">A </w:t>
      </w:r>
      <w:r w:rsidR="00B30C3B" w:rsidRPr="00E246FA">
        <w:rPr>
          <w:rFonts w:ascii="Arial" w:hAnsi="Arial" w:cs="Arial"/>
          <w:color w:val="000000"/>
          <w:sz w:val="22"/>
          <w:szCs w:val="22"/>
        </w:rPr>
        <w:t>key</w:t>
      </w:r>
      <w:r w:rsidRPr="00E246FA">
        <w:rPr>
          <w:rFonts w:ascii="Arial" w:hAnsi="Arial" w:cs="Arial"/>
          <w:color w:val="000000"/>
          <w:sz w:val="22"/>
          <w:szCs w:val="22"/>
        </w:rPr>
        <w:t xml:space="preserve"> achievement this year was the PTV Network Development Plan for Metropolitan Rail. </w:t>
      </w:r>
      <w:r w:rsidR="006E1F98" w:rsidRPr="00E246FA">
        <w:rPr>
          <w:rFonts w:ascii="Arial" w:hAnsi="Arial" w:cs="Arial"/>
          <w:color w:val="000000"/>
          <w:sz w:val="22"/>
          <w:szCs w:val="22"/>
        </w:rPr>
        <w:t xml:space="preserve"> This 30 year vision for our metropolitan rail system will form the basis for our advice to government moving forward. </w:t>
      </w:r>
      <w:r w:rsidR="00225D99" w:rsidRPr="00E246FA">
        <w:rPr>
          <w:rFonts w:ascii="Arial" w:hAnsi="Arial" w:cs="Arial"/>
          <w:color w:val="000000"/>
          <w:sz w:val="22"/>
          <w:szCs w:val="22"/>
        </w:rPr>
        <w:t xml:space="preserve">This </w:t>
      </w:r>
      <w:r w:rsidR="00514FB8" w:rsidRPr="00E246FA">
        <w:rPr>
          <w:rFonts w:ascii="Arial" w:hAnsi="Arial" w:cs="Arial"/>
          <w:color w:val="000000"/>
          <w:sz w:val="22"/>
          <w:szCs w:val="22"/>
        </w:rPr>
        <w:t>piece</w:t>
      </w:r>
      <w:r w:rsidR="00225D99" w:rsidRPr="00E246FA">
        <w:rPr>
          <w:rFonts w:ascii="Arial" w:hAnsi="Arial" w:cs="Arial"/>
          <w:color w:val="000000"/>
          <w:sz w:val="22"/>
          <w:szCs w:val="22"/>
        </w:rPr>
        <w:t xml:space="preserve"> of </w:t>
      </w:r>
      <w:r w:rsidRPr="00E246FA">
        <w:rPr>
          <w:rFonts w:ascii="Arial" w:hAnsi="Arial" w:cs="Arial"/>
          <w:color w:val="000000"/>
          <w:sz w:val="22"/>
          <w:szCs w:val="22"/>
        </w:rPr>
        <w:t xml:space="preserve">work </w:t>
      </w:r>
      <w:r w:rsidR="00514FB8" w:rsidRPr="00E246FA">
        <w:rPr>
          <w:rFonts w:ascii="Arial" w:hAnsi="Arial" w:cs="Arial"/>
          <w:color w:val="000000"/>
          <w:sz w:val="22"/>
          <w:szCs w:val="22"/>
        </w:rPr>
        <w:t>represents the best of PTV</w:t>
      </w:r>
      <w:r w:rsidR="006E1F98" w:rsidRPr="00E246FA">
        <w:rPr>
          <w:rFonts w:ascii="Arial" w:hAnsi="Arial" w:cs="Arial"/>
          <w:color w:val="000000"/>
          <w:sz w:val="22"/>
          <w:szCs w:val="22"/>
        </w:rPr>
        <w:t>.</w:t>
      </w:r>
    </w:p>
    <w:p w:rsidR="00917258" w:rsidRPr="00E246FA" w:rsidRDefault="00917258" w:rsidP="00870A1B">
      <w:pPr>
        <w:autoSpaceDE w:val="0"/>
        <w:autoSpaceDN w:val="0"/>
        <w:adjustRightInd w:val="0"/>
        <w:rPr>
          <w:rFonts w:ascii="Arial" w:hAnsi="Arial" w:cs="Arial"/>
          <w:color w:val="000000"/>
          <w:sz w:val="22"/>
          <w:szCs w:val="22"/>
        </w:rPr>
      </w:pPr>
      <w:r w:rsidRPr="00E246FA">
        <w:rPr>
          <w:rFonts w:ascii="Arial" w:hAnsi="Arial" w:cs="Arial"/>
          <w:color w:val="000000"/>
          <w:sz w:val="22"/>
          <w:szCs w:val="22"/>
        </w:rPr>
        <w:t>The public transport network also saw significant changes and some notable improvements</w:t>
      </w:r>
      <w:r w:rsidR="00E26A05" w:rsidRPr="00E246FA">
        <w:rPr>
          <w:rFonts w:ascii="Arial" w:hAnsi="Arial" w:cs="Arial"/>
          <w:color w:val="000000"/>
          <w:sz w:val="22"/>
          <w:szCs w:val="22"/>
        </w:rPr>
        <w:t>. T</w:t>
      </w:r>
      <w:r w:rsidRPr="00E246FA">
        <w:rPr>
          <w:rFonts w:ascii="Arial" w:hAnsi="Arial" w:cs="Arial"/>
          <w:color w:val="000000"/>
          <w:sz w:val="22"/>
          <w:szCs w:val="22"/>
        </w:rPr>
        <w:t xml:space="preserve">he </w:t>
      </w:r>
      <w:r w:rsidR="00FF414D" w:rsidRPr="00E246FA">
        <w:rPr>
          <w:rFonts w:ascii="Arial" w:hAnsi="Arial" w:cs="Arial"/>
          <w:color w:val="000000"/>
          <w:sz w:val="22"/>
          <w:szCs w:val="22"/>
        </w:rPr>
        <w:t xml:space="preserve">average annual </w:t>
      </w:r>
      <w:r w:rsidRPr="00E246FA">
        <w:rPr>
          <w:rFonts w:ascii="Arial" w:hAnsi="Arial" w:cs="Arial"/>
          <w:color w:val="000000"/>
          <w:sz w:val="22"/>
          <w:szCs w:val="22"/>
        </w:rPr>
        <w:t xml:space="preserve">on-time running of metropolitan train services improved dramatically and is now at its highest level in </w:t>
      </w:r>
      <w:r w:rsidR="00DE7CD3" w:rsidRPr="00E246FA">
        <w:rPr>
          <w:rFonts w:ascii="Arial" w:hAnsi="Arial" w:cs="Arial"/>
          <w:color w:val="000000"/>
          <w:sz w:val="22"/>
          <w:szCs w:val="22"/>
        </w:rPr>
        <w:t xml:space="preserve">nine </w:t>
      </w:r>
      <w:r w:rsidRPr="00E246FA">
        <w:rPr>
          <w:rFonts w:ascii="Arial" w:hAnsi="Arial" w:cs="Arial"/>
          <w:color w:val="000000"/>
          <w:sz w:val="22"/>
          <w:szCs w:val="22"/>
        </w:rPr>
        <w:t>years</w:t>
      </w:r>
      <w:r w:rsidR="00E26A05" w:rsidRPr="00E246FA">
        <w:rPr>
          <w:rFonts w:ascii="Arial" w:hAnsi="Arial" w:cs="Arial"/>
          <w:color w:val="000000"/>
          <w:sz w:val="22"/>
          <w:szCs w:val="22"/>
        </w:rPr>
        <w:t xml:space="preserve">, and </w:t>
      </w:r>
      <w:r w:rsidRPr="00E246FA">
        <w:rPr>
          <w:rFonts w:ascii="Arial" w:hAnsi="Arial" w:cs="Arial"/>
          <w:color w:val="000000"/>
          <w:sz w:val="22"/>
          <w:szCs w:val="22"/>
        </w:rPr>
        <w:t xml:space="preserve">the myki ticketing system </w:t>
      </w:r>
      <w:r w:rsidR="00E26A05" w:rsidRPr="00E246FA">
        <w:rPr>
          <w:rFonts w:ascii="Arial" w:hAnsi="Arial" w:cs="Arial"/>
          <w:color w:val="000000"/>
          <w:sz w:val="22"/>
          <w:szCs w:val="22"/>
        </w:rPr>
        <w:t xml:space="preserve">has been </w:t>
      </w:r>
      <w:r w:rsidRPr="00E246FA">
        <w:rPr>
          <w:rFonts w:ascii="Arial" w:hAnsi="Arial" w:cs="Arial"/>
          <w:color w:val="000000"/>
          <w:sz w:val="22"/>
          <w:szCs w:val="22"/>
        </w:rPr>
        <w:t xml:space="preserve">successfully implemented </w:t>
      </w:r>
      <w:r w:rsidR="006E1F98" w:rsidRPr="00E246FA">
        <w:rPr>
          <w:rFonts w:ascii="Arial" w:hAnsi="Arial" w:cs="Arial"/>
          <w:color w:val="000000"/>
          <w:sz w:val="22"/>
          <w:szCs w:val="22"/>
        </w:rPr>
        <w:t xml:space="preserve">throughout </w:t>
      </w:r>
      <w:r w:rsidRPr="00E246FA">
        <w:rPr>
          <w:rFonts w:ascii="Arial" w:hAnsi="Arial" w:cs="Arial"/>
          <w:color w:val="000000"/>
          <w:sz w:val="22"/>
          <w:szCs w:val="22"/>
        </w:rPr>
        <w:t>metropolitan Melbourne.</w:t>
      </w:r>
    </w:p>
    <w:p w:rsidR="00250971" w:rsidRPr="00E246FA" w:rsidRDefault="00250971" w:rsidP="00917258">
      <w:pPr>
        <w:autoSpaceDE w:val="0"/>
        <w:autoSpaceDN w:val="0"/>
        <w:adjustRightInd w:val="0"/>
        <w:rPr>
          <w:rFonts w:ascii="Arial" w:hAnsi="Arial" w:cs="Arial"/>
          <w:color w:val="000000"/>
          <w:sz w:val="22"/>
          <w:szCs w:val="22"/>
        </w:rPr>
      </w:pPr>
    </w:p>
    <w:p w:rsidR="00250971" w:rsidRPr="00E246FA" w:rsidRDefault="00225D99" w:rsidP="00250971">
      <w:pPr>
        <w:autoSpaceDE w:val="0"/>
        <w:autoSpaceDN w:val="0"/>
        <w:adjustRightInd w:val="0"/>
        <w:rPr>
          <w:rFonts w:ascii="Arial" w:hAnsi="Arial" w:cs="Arial"/>
          <w:color w:val="000000"/>
          <w:sz w:val="22"/>
          <w:szCs w:val="22"/>
        </w:rPr>
      </w:pPr>
      <w:r w:rsidRPr="00E246FA">
        <w:rPr>
          <w:rFonts w:ascii="Arial" w:hAnsi="Arial" w:cs="Arial"/>
          <w:color w:val="000000"/>
          <w:sz w:val="22"/>
          <w:szCs w:val="22"/>
        </w:rPr>
        <w:t xml:space="preserve">Looking ahead, </w:t>
      </w:r>
      <w:r w:rsidR="001D59F3" w:rsidRPr="00E246FA">
        <w:rPr>
          <w:rFonts w:ascii="Arial" w:hAnsi="Arial" w:cs="Arial"/>
          <w:color w:val="000000"/>
          <w:sz w:val="22"/>
          <w:szCs w:val="22"/>
        </w:rPr>
        <w:t xml:space="preserve">the number of people using </w:t>
      </w:r>
      <w:r w:rsidR="004A6979" w:rsidRPr="00E246FA">
        <w:rPr>
          <w:rFonts w:ascii="Arial" w:hAnsi="Arial" w:cs="Arial"/>
          <w:color w:val="000000"/>
          <w:sz w:val="22"/>
          <w:szCs w:val="22"/>
        </w:rPr>
        <w:t xml:space="preserve">metropolitan </w:t>
      </w:r>
      <w:r w:rsidR="001D59F3" w:rsidRPr="00E246FA">
        <w:rPr>
          <w:rFonts w:ascii="Arial" w:hAnsi="Arial" w:cs="Arial"/>
          <w:color w:val="000000"/>
          <w:sz w:val="22"/>
          <w:szCs w:val="22"/>
        </w:rPr>
        <w:t>public transport</w:t>
      </w:r>
      <w:r w:rsidR="00250971" w:rsidRPr="00E246FA">
        <w:rPr>
          <w:rFonts w:ascii="Arial" w:hAnsi="Arial" w:cs="Arial"/>
          <w:color w:val="000000"/>
          <w:sz w:val="22"/>
          <w:szCs w:val="22"/>
        </w:rPr>
        <w:t xml:space="preserve"> </w:t>
      </w:r>
      <w:r w:rsidR="004A6979" w:rsidRPr="00E246FA">
        <w:rPr>
          <w:rFonts w:ascii="Arial" w:hAnsi="Arial" w:cs="Arial"/>
          <w:color w:val="000000"/>
          <w:sz w:val="22"/>
          <w:szCs w:val="22"/>
        </w:rPr>
        <w:t xml:space="preserve">alone </w:t>
      </w:r>
      <w:r w:rsidR="00250971" w:rsidRPr="00E246FA">
        <w:rPr>
          <w:rFonts w:ascii="Arial" w:hAnsi="Arial" w:cs="Arial"/>
          <w:color w:val="000000"/>
          <w:sz w:val="22"/>
          <w:szCs w:val="22"/>
        </w:rPr>
        <w:t xml:space="preserve">is forecast to grow from </w:t>
      </w:r>
      <w:r w:rsidR="004A6979" w:rsidRPr="00E246FA">
        <w:rPr>
          <w:rFonts w:ascii="Arial" w:hAnsi="Arial" w:cs="Arial"/>
          <w:color w:val="000000"/>
          <w:sz w:val="22"/>
          <w:szCs w:val="22"/>
        </w:rPr>
        <w:t xml:space="preserve">almost 524 </w:t>
      </w:r>
      <w:r w:rsidR="00250971" w:rsidRPr="00E246FA">
        <w:rPr>
          <w:rFonts w:ascii="Arial" w:hAnsi="Arial" w:cs="Arial"/>
          <w:color w:val="000000"/>
          <w:sz w:val="22"/>
          <w:szCs w:val="22"/>
        </w:rPr>
        <w:t xml:space="preserve">million passengers in </w:t>
      </w:r>
      <w:r w:rsidR="00B30C3B" w:rsidRPr="00E246FA">
        <w:rPr>
          <w:rFonts w:ascii="Arial" w:hAnsi="Arial" w:cs="Arial"/>
          <w:color w:val="000000"/>
          <w:sz w:val="22"/>
          <w:szCs w:val="22"/>
        </w:rPr>
        <w:t xml:space="preserve">2012-13 </w:t>
      </w:r>
      <w:r w:rsidR="00250971" w:rsidRPr="00E246FA">
        <w:rPr>
          <w:rFonts w:ascii="Arial" w:hAnsi="Arial" w:cs="Arial"/>
          <w:color w:val="000000"/>
          <w:sz w:val="22"/>
          <w:szCs w:val="22"/>
        </w:rPr>
        <w:t>to more than one billion passengers in 2031.</w:t>
      </w:r>
    </w:p>
    <w:p w:rsidR="00250971" w:rsidRPr="00E246FA" w:rsidRDefault="00250971" w:rsidP="00917258">
      <w:pPr>
        <w:autoSpaceDE w:val="0"/>
        <w:autoSpaceDN w:val="0"/>
        <w:adjustRightInd w:val="0"/>
        <w:rPr>
          <w:rFonts w:ascii="Arial" w:hAnsi="Arial" w:cs="Arial"/>
          <w:color w:val="000000"/>
          <w:sz w:val="22"/>
          <w:szCs w:val="22"/>
        </w:rPr>
      </w:pPr>
    </w:p>
    <w:p w:rsidR="00846530" w:rsidRPr="00E246FA" w:rsidRDefault="00846530" w:rsidP="00514FB8">
      <w:pPr>
        <w:autoSpaceDE w:val="0"/>
        <w:autoSpaceDN w:val="0"/>
        <w:adjustRightInd w:val="0"/>
        <w:rPr>
          <w:rFonts w:ascii="Arial" w:hAnsi="Arial" w:cs="Arial"/>
          <w:color w:val="000000"/>
          <w:sz w:val="22"/>
          <w:szCs w:val="22"/>
        </w:rPr>
      </w:pPr>
      <w:r w:rsidRPr="00E246FA">
        <w:rPr>
          <w:rFonts w:ascii="Arial" w:hAnsi="Arial" w:cs="Arial"/>
          <w:color w:val="000000"/>
          <w:sz w:val="22"/>
          <w:szCs w:val="22"/>
        </w:rPr>
        <w:t xml:space="preserve">PTV’s task for </w:t>
      </w:r>
      <w:r w:rsidR="001D59F3" w:rsidRPr="00E246FA">
        <w:rPr>
          <w:rFonts w:ascii="Arial" w:hAnsi="Arial" w:cs="Arial"/>
          <w:color w:val="000000"/>
          <w:sz w:val="22"/>
          <w:szCs w:val="22"/>
        </w:rPr>
        <w:t>2013-</w:t>
      </w:r>
      <w:r w:rsidRPr="00E246FA">
        <w:rPr>
          <w:rFonts w:ascii="Arial" w:hAnsi="Arial" w:cs="Arial"/>
          <w:color w:val="000000"/>
          <w:sz w:val="22"/>
          <w:szCs w:val="22"/>
        </w:rPr>
        <w:t>14</w:t>
      </w:r>
      <w:r w:rsidR="001D59F3" w:rsidRPr="00E246FA">
        <w:rPr>
          <w:rFonts w:ascii="Arial" w:hAnsi="Arial" w:cs="Arial"/>
          <w:color w:val="000000"/>
          <w:sz w:val="22"/>
          <w:szCs w:val="22"/>
        </w:rPr>
        <w:t>, and beyond,</w:t>
      </w:r>
      <w:r w:rsidRPr="00E246FA">
        <w:rPr>
          <w:rFonts w:ascii="Arial" w:hAnsi="Arial" w:cs="Arial"/>
          <w:color w:val="000000"/>
          <w:sz w:val="22"/>
          <w:szCs w:val="22"/>
        </w:rPr>
        <w:t xml:space="preserve"> will be to </w:t>
      </w:r>
      <w:r w:rsidR="00514FB8" w:rsidRPr="00E246FA">
        <w:rPr>
          <w:rFonts w:ascii="Arial" w:hAnsi="Arial" w:cs="Arial"/>
          <w:color w:val="000000"/>
          <w:sz w:val="22"/>
          <w:szCs w:val="22"/>
        </w:rPr>
        <w:t>build upon the</w:t>
      </w:r>
      <w:r w:rsidRPr="00E246FA">
        <w:rPr>
          <w:rFonts w:ascii="Arial" w:hAnsi="Arial" w:cs="Arial"/>
          <w:color w:val="000000"/>
          <w:sz w:val="22"/>
          <w:szCs w:val="22"/>
        </w:rPr>
        <w:t xml:space="preserve"> </w:t>
      </w:r>
      <w:r w:rsidR="00225D99" w:rsidRPr="00E246FA">
        <w:rPr>
          <w:rFonts w:ascii="Arial" w:hAnsi="Arial" w:cs="Arial"/>
          <w:color w:val="000000"/>
          <w:sz w:val="22"/>
          <w:szCs w:val="22"/>
        </w:rPr>
        <w:t>public transport</w:t>
      </w:r>
      <w:r w:rsidRPr="00E246FA">
        <w:rPr>
          <w:rFonts w:ascii="Arial" w:hAnsi="Arial" w:cs="Arial"/>
          <w:color w:val="000000"/>
          <w:sz w:val="22"/>
          <w:szCs w:val="22"/>
        </w:rPr>
        <w:t xml:space="preserve"> improvements achieved to date</w:t>
      </w:r>
      <w:r w:rsidR="00514FB8" w:rsidRPr="00E246FA">
        <w:rPr>
          <w:rFonts w:ascii="Arial" w:hAnsi="Arial" w:cs="Arial"/>
          <w:color w:val="000000"/>
          <w:sz w:val="22"/>
          <w:szCs w:val="22"/>
        </w:rPr>
        <w:t xml:space="preserve"> and </w:t>
      </w:r>
      <w:r w:rsidR="000F6CCA" w:rsidRPr="00E246FA">
        <w:rPr>
          <w:rFonts w:ascii="Arial" w:hAnsi="Arial" w:cs="Arial"/>
          <w:color w:val="000000"/>
          <w:sz w:val="22"/>
          <w:szCs w:val="22"/>
        </w:rPr>
        <w:t>ensure we are ready to meet the travel needs of a growing, vibrant State</w:t>
      </w:r>
      <w:r w:rsidR="00514FB8" w:rsidRPr="00E246FA">
        <w:rPr>
          <w:rFonts w:ascii="Arial" w:hAnsi="Arial" w:cs="Arial"/>
          <w:color w:val="000000"/>
          <w:sz w:val="22"/>
          <w:szCs w:val="22"/>
        </w:rPr>
        <w:t>.</w:t>
      </w:r>
      <w:r w:rsidRPr="00E246FA">
        <w:rPr>
          <w:rFonts w:ascii="Arial" w:hAnsi="Arial" w:cs="Arial"/>
          <w:color w:val="000000"/>
          <w:sz w:val="22"/>
          <w:szCs w:val="22"/>
        </w:rPr>
        <w:t xml:space="preserve"> </w:t>
      </w:r>
    </w:p>
    <w:p w:rsidR="00AE6AD2" w:rsidRPr="00E246FA" w:rsidRDefault="00AE6AD2" w:rsidP="00917258">
      <w:pPr>
        <w:autoSpaceDE w:val="0"/>
        <w:autoSpaceDN w:val="0"/>
        <w:adjustRightInd w:val="0"/>
        <w:rPr>
          <w:rFonts w:ascii="Arial" w:hAnsi="Arial" w:cs="Arial"/>
          <w:color w:val="000000"/>
          <w:sz w:val="22"/>
          <w:szCs w:val="22"/>
        </w:rPr>
      </w:pPr>
    </w:p>
    <w:p w:rsidR="00917258" w:rsidRPr="00E246FA" w:rsidRDefault="00917258" w:rsidP="00917258">
      <w:pPr>
        <w:autoSpaceDE w:val="0"/>
        <w:autoSpaceDN w:val="0"/>
        <w:adjustRightInd w:val="0"/>
        <w:rPr>
          <w:rFonts w:ascii="Arial" w:hAnsi="Arial" w:cs="Arial"/>
          <w:color w:val="000000"/>
          <w:sz w:val="22"/>
          <w:szCs w:val="22"/>
        </w:rPr>
      </w:pPr>
      <w:r w:rsidRPr="00E246FA">
        <w:rPr>
          <w:rFonts w:ascii="Arial" w:hAnsi="Arial" w:cs="Arial"/>
          <w:color w:val="000000"/>
          <w:sz w:val="22"/>
          <w:szCs w:val="22"/>
        </w:rPr>
        <w:t>Ian Dobbs</w:t>
      </w:r>
    </w:p>
    <w:p w:rsidR="00917258" w:rsidRPr="00E246FA" w:rsidRDefault="00917258" w:rsidP="00917258">
      <w:pPr>
        <w:autoSpaceDE w:val="0"/>
        <w:autoSpaceDN w:val="0"/>
        <w:adjustRightInd w:val="0"/>
        <w:rPr>
          <w:rFonts w:ascii="Arial" w:hAnsi="Arial" w:cs="Arial"/>
          <w:color w:val="000000"/>
          <w:sz w:val="22"/>
          <w:szCs w:val="22"/>
        </w:rPr>
      </w:pPr>
      <w:r w:rsidRPr="00E246FA">
        <w:rPr>
          <w:rFonts w:ascii="Arial" w:hAnsi="Arial" w:cs="Arial"/>
          <w:color w:val="000000"/>
          <w:sz w:val="22"/>
          <w:szCs w:val="22"/>
        </w:rPr>
        <w:t>Chair and Chief Executive</w:t>
      </w:r>
    </w:p>
    <w:p w:rsidR="000F6CCA" w:rsidRDefault="000F6CCA" w:rsidP="00917258">
      <w:pPr>
        <w:autoSpaceDE w:val="0"/>
        <w:autoSpaceDN w:val="0"/>
        <w:adjustRightInd w:val="0"/>
        <w:rPr>
          <w:rFonts w:ascii="Arial" w:hAnsi="Arial" w:cs="Arial"/>
          <w:color w:val="000000"/>
        </w:rPr>
      </w:pPr>
      <w:r>
        <w:rPr>
          <w:rFonts w:ascii="Arial" w:hAnsi="Arial" w:cs="Arial"/>
          <w:color w:val="000000"/>
        </w:rPr>
        <w:br w:type="page"/>
      </w:r>
    </w:p>
    <w:p w:rsidR="00514FB8" w:rsidRPr="001A4E7E" w:rsidRDefault="00514FB8" w:rsidP="00917258">
      <w:pPr>
        <w:autoSpaceDE w:val="0"/>
        <w:autoSpaceDN w:val="0"/>
        <w:adjustRightInd w:val="0"/>
        <w:rPr>
          <w:rFonts w:ascii="Arial" w:hAnsi="Arial" w:cs="Arial"/>
          <w:color w:val="000000"/>
        </w:rPr>
      </w:pPr>
    </w:p>
    <w:p w:rsidR="00F65640" w:rsidRPr="00C46511" w:rsidRDefault="00DD5014" w:rsidP="00625227">
      <w:pPr>
        <w:pStyle w:val="Title1"/>
        <w:outlineLvl w:val="0"/>
      </w:pPr>
      <w:bookmarkStart w:id="7" w:name="_Toc365382497"/>
      <w:bookmarkStart w:id="8" w:name="_Toc366672080"/>
      <w:r w:rsidRPr="00C46511">
        <w:t xml:space="preserve">PTV </w:t>
      </w:r>
      <w:r>
        <w:t>Structure a</w:t>
      </w:r>
      <w:r w:rsidRPr="00C46511">
        <w:t>nd Governance</w:t>
      </w:r>
      <w:bookmarkEnd w:id="7"/>
      <w:bookmarkEnd w:id="8"/>
      <w:r w:rsidR="00F65640" w:rsidRPr="00C46511">
        <w:br w:type="page"/>
      </w:r>
    </w:p>
    <w:p w:rsidR="00C46511" w:rsidRPr="00E246FA" w:rsidRDefault="00C46511" w:rsidP="00E246FA">
      <w:pPr>
        <w:pStyle w:val="Heading10"/>
      </w:pPr>
      <w:r w:rsidRPr="00E246FA">
        <w:t>PTV establishment and functions</w:t>
      </w:r>
    </w:p>
    <w:p w:rsidR="00B40948" w:rsidRPr="00204582" w:rsidRDefault="00B40948" w:rsidP="00C46511">
      <w:pPr>
        <w:autoSpaceDE w:val="0"/>
        <w:autoSpaceDN w:val="0"/>
        <w:adjustRightInd w:val="0"/>
        <w:rPr>
          <w:rFonts w:ascii="Arial" w:hAnsi="Arial" w:cs="Arial"/>
          <w:b/>
        </w:rPr>
      </w:pPr>
    </w:p>
    <w:p w:rsidR="00C46511" w:rsidRPr="00B40948" w:rsidRDefault="00C46511" w:rsidP="00C46511">
      <w:pPr>
        <w:autoSpaceDE w:val="0"/>
        <w:autoSpaceDN w:val="0"/>
        <w:adjustRightInd w:val="0"/>
        <w:rPr>
          <w:rFonts w:ascii="Arial" w:hAnsi="Arial" w:cs="Arial"/>
          <w:color w:val="000000"/>
        </w:rPr>
      </w:pPr>
      <w:r w:rsidRPr="00B40948">
        <w:rPr>
          <w:rFonts w:ascii="Arial" w:hAnsi="Arial" w:cs="Arial"/>
          <w:color w:val="000000"/>
        </w:rPr>
        <w:t>High quality transport options are of vital importance for improving liveability, encouraging economic activity and catering for population growth.</w:t>
      </w:r>
    </w:p>
    <w:p w:rsidR="00C46511" w:rsidRPr="00B40948" w:rsidRDefault="00C46511" w:rsidP="00C46511">
      <w:pPr>
        <w:autoSpaceDE w:val="0"/>
        <w:autoSpaceDN w:val="0"/>
        <w:adjustRightInd w:val="0"/>
        <w:rPr>
          <w:rFonts w:ascii="Arial" w:hAnsi="Arial" w:cs="Arial"/>
          <w:color w:val="000000"/>
        </w:rPr>
      </w:pPr>
    </w:p>
    <w:p w:rsidR="00C46511" w:rsidRDefault="00C46511" w:rsidP="00C46511">
      <w:pPr>
        <w:autoSpaceDE w:val="0"/>
        <w:autoSpaceDN w:val="0"/>
        <w:adjustRightInd w:val="0"/>
        <w:rPr>
          <w:rFonts w:ascii="Arial" w:hAnsi="Arial" w:cs="Arial"/>
          <w:color w:val="000000"/>
        </w:rPr>
      </w:pPr>
      <w:r w:rsidRPr="00B40948">
        <w:rPr>
          <w:rFonts w:ascii="Arial" w:hAnsi="Arial" w:cs="Arial"/>
          <w:color w:val="000000"/>
        </w:rPr>
        <w:t>The Public Transport Development Authority was established in late 2011 as a single coordinating statutory authority to be responsible and accountable for the public transport system in Victoria.</w:t>
      </w:r>
    </w:p>
    <w:p w:rsidR="00514FB8" w:rsidRPr="00B40948" w:rsidRDefault="00514FB8" w:rsidP="00C46511">
      <w:pPr>
        <w:autoSpaceDE w:val="0"/>
        <w:autoSpaceDN w:val="0"/>
        <w:adjustRightInd w:val="0"/>
        <w:rPr>
          <w:rFonts w:ascii="Arial" w:hAnsi="Arial" w:cs="Arial"/>
          <w:color w:val="000000"/>
        </w:rPr>
      </w:pPr>
    </w:p>
    <w:p w:rsidR="00C46511" w:rsidRDefault="00C46511" w:rsidP="00C46511">
      <w:pPr>
        <w:autoSpaceDE w:val="0"/>
        <w:autoSpaceDN w:val="0"/>
        <w:adjustRightInd w:val="0"/>
        <w:rPr>
          <w:rFonts w:ascii="Arial" w:hAnsi="Arial" w:cs="Arial"/>
          <w:color w:val="000000"/>
        </w:rPr>
      </w:pPr>
      <w:r w:rsidRPr="00B40948">
        <w:rPr>
          <w:rFonts w:ascii="Arial" w:hAnsi="Arial" w:cs="Arial"/>
          <w:color w:val="000000"/>
        </w:rPr>
        <w:t>The authority commenced operations on 2 April 2012 operating as Public Transport Victoria</w:t>
      </w:r>
      <w:r w:rsidR="00514FB8">
        <w:rPr>
          <w:rFonts w:ascii="Arial" w:hAnsi="Arial" w:cs="Arial"/>
          <w:color w:val="000000"/>
        </w:rPr>
        <w:t xml:space="preserve"> (PTV)</w:t>
      </w:r>
      <w:r w:rsidRPr="00B40948">
        <w:rPr>
          <w:rFonts w:ascii="Arial" w:hAnsi="Arial" w:cs="Arial"/>
          <w:color w:val="000000"/>
        </w:rPr>
        <w:t>.</w:t>
      </w:r>
    </w:p>
    <w:p w:rsidR="00514FB8" w:rsidRPr="00B40948" w:rsidRDefault="00514FB8" w:rsidP="00C46511">
      <w:pPr>
        <w:autoSpaceDE w:val="0"/>
        <w:autoSpaceDN w:val="0"/>
        <w:adjustRightInd w:val="0"/>
        <w:rPr>
          <w:rFonts w:ascii="Arial" w:hAnsi="Arial" w:cs="Arial"/>
          <w:color w:val="000000"/>
        </w:rPr>
      </w:pPr>
    </w:p>
    <w:p w:rsidR="00C46511" w:rsidRPr="00B40948" w:rsidRDefault="00C46511" w:rsidP="00C46511">
      <w:pPr>
        <w:autoSpaceDE w:val="0"/>
        <w:autoSpaceDN w:val="0"/>
        <w:adjustRightInd w:val="0"/>
        <w:rPr>
          <w:rFonts w:ascii="Arial" w:hAnsi="Arial" w:cs="Arial"/>
          <w:color w:val="000000"/>
        </w:rPr>
      </w:pPr>
      <w:r w:rsidRPr="00B40948">
        <w:rPr>
          <w:rFonts w:ascii="Arial" w:hAnsi="Arial" w:cs="Arial"/>
          <w:color w:val="000000"/>
        </w:rPr>
        <w:t xml:space="preserve">The primary object of PTV under the </w:t>
      </w:r>
      <w:r w:rsidRPr="00B40948">
        <w:rPr>
          <w:rFonts w:ascii="Arial" w:hAnsi="Arial" w:cs="Arial"/>
          <w:i/>
          <w:iCs/>
          <w:color w:val="000000"/>
        </w:rPr>
        <w:t xml:space="preserve">Transport Integration Act 2010 </w:t>
      </w:r>
      <w:r w:rsidRPr="00B40948">
        <w:rPr>
          <w:rFonts w:ascii="Arial" w:hAnsi="Arial" w:cs="Arial"/>
          <w:color w:val="000000"/>
        </w:rPr>
        <w:t>is:</w:t>
      </w:r>
    </w:p>
    <w:p w:rsidR="00C46511" w:rsidRPr="00BC43F4" w:rsidRDefault="00C46511" w:rsidP="00C46511">
      <w:pPr>
        <w:autoSpaceDE w:val="0"/>
        <w:autoSpaceDN w:val="0"/>
        <w:adjustRightInd w:val="0"/>
        <w:rPr>
          <w:rFonts w:ascii="Arial" w:hAnsi="Arial" w:cs="Arial"/>
          <w:i/>
          <w:iCs/>
        </w:rPr>
      </w:pPr>
    </w:p>
    <w:p w:rsidR="00C46511" w:rsidRPr="00BC43F4" w:rsidRDefault="00C46511" w:rsidP="00C46511">
      <w:pPr>
        <w:autoSpaceDE w:val="0"/>
        <w:autoSpaceDN w:val="0"/>
        <w:adjustRightInd w:val="0"/>
        <w:rPr>
          <w:rFonts w:ascii="Arial" w:hAnsi="Arial" w:cs="Arial"/>
          <w:i/>
          <w:iCs/>
        </w:rPr>
      </w:pPr>
      <w:r w:rsidRPr="00BC43F4">
        <w:rPr>
          <w:rFonts w:ascii="Arial" w:hAnsi="Arial" w:cs="Arial"/>
          <w:i/>
          <w:iCs/>
        </w:rPr>
        <w:t>To plan, coordinate, provide, operate and maintain a safe, punctual, reliable and clean public transport system consistent with the vision statement and transport system objectives contained in the Transport Integration Act.</w:t>
      </w:r>
    </w:p>
    <w:p w:rsidR="00C46511" w:rsidRPr="00BC43F4" w:rsidRDefault="00C46511" w:rsidP="00C46511">
      <w:pPr>
        <w:autoSpaceDE w:val="0"/>
        <w:autoSpaceDN w:val="0"/>
        <w:adjustRightInd w:val="0"/>
        <w:rPr>
          <w:rFonts w:ascii="Arial" w:hAnsi="Arial" w:cs="Arial"/>
        </w:rPr>
      </w:pPr>
    </w:p>
    <w:p w:rsidR="00C46511" w:rsidRPr="00B40948" w:rsidRDefault="00C46511" w:rsidP="00C46511">
      <w:pPr>
        <w:autoSpaceDE w:val="0"/>
        <w:autoSpaceDN w:val="0"/>
        <w:adjustRightInd w:val="0"/>
        <w:rPr>
          <w:rFonts w:ascii="Arial" w:hAnsi="Arial" w:cs="Arial"/>
          <w:color w:val="000000"/>
        </w:rPr>
      </w:pPr>
      <w:r w:rsidRPr="00B40948">
        <w:rPr>
          <w:rFonts w:ascii="Arial" w:hAnsi="Arial" w:cs="Arial"/>
          <w:color w:val="000000"/>
        </w:rPr>
        <w:t>In seeking to meet its legislative object, PTV's core functions include:</w:t>
      </w:r>
    </w:p>
    <w:p w:rsidR="00C46511" w:rsidRPr="00B40948" w:rsidRDefault="00C46511" w:rsidP="002D77DA">
      <w:pPr>
        <w:pStyle w:val="ListParagraph"/>
        <w:numPr>
          <w:ilvl w:val="0"/>
          <w:numId w:val="3"/>
        </w:numPr>
        <w:autoSpaceDE w:val="0"/>
        <w:autoSpaceDN w:val="0"/>
        <w:adjustRightInd w:val="0"/>
        <w:rPr>
          <w:rFonts w:ascii="Arial" w:hAnsi="Arial" w:cs="Arial"/>
          <w:color w:val="000000"/>
        </w:rPr>
      </w:pPr>
      <w:r w:rsidRPr="00B40948">
        <w:rPr>
          <w:rFonts w:ascii="Arial" w:hAnsi="Arial" w:cs="Arial"/>
          <w:color w:val="000000"/>
        </w:rPr>
        <w:t>managing the public transport network in a way which strives to achieve the highest levels of safety and service delivery</w:t>
      </w:r>
    </w:p>
    <w:p w:rsidR="00C46511" w:rsidRPr="00B40948" w:rsidRDefault="00C46511" w:rsidP="002D77DA">
      <w:pPr>
        <w:pStyle w:val="ListParagraph"/>
        <w:numPr>
          <w:ilvl w:val="0"/>
          <w:numId w:val="3"/>
        </w:numPr>
        <w:autoSpaceDE w:val="0"/>
        <w:autoSpaceDN w:val="0"/>
        <w:adjustRightInd w:val="0"/>
        <w:rPr>
          <w:rFonts w:ascii="Arial" w:hAnsi="Arial" w:cs="Arial"/>
          <w:color w:val="000000"/>
        </w:rPr>
      </w:pPr>
      <w:r w:rsidRPr="00B40948">
        <w:rPr>
          <w:rFonts w:ascii="Arial" w:hAnsi="Arial" w:cs="Arial"/>
          <w:color w:val="000000"/>
        </w:rPr>
        <w:t>acting as the public face of the public transport network and an advocate for public transport users</w:t>
      </w:r>
    </w:p>
    <w:p w:rsidR="00C46511" w:rsidRPr="00B40948" w:rsidRDefault="00C46511" w:rsidP="002D77DA">
      <w:pPr>
        <w:pStyle w:val="ListParagraph"/>
        <w:numPr>
          <w:ilvl w:val="0"/>
          <w:numId w:val="3"/>
        </w:numPr>
        <w:autoSpaceDE w:val="0"/>
        <w:autoSpaceDN w:val="0"/>
        <w:adjustRightInd w:val="0"/>
        <w:rPr>
          <w:rFonts w:ascii="Arial" w:hAnsi="Arial" w:cs="Arial"/>
          <w:color w:val="000000"/>
        </w:rPr>
      </w:pPr>
      <w:r w:rsidRPr="00B40948">
        <w:rPr>
          <w:rFonts w:ascii="Arial" w:hAnsi="Arial" w:cs="Arial"/>
          <w:color w:val="000000"/>
        </w:rPr>
        <w:t>interacting directly with customers through the PTV call centre, PTV Hubs and information technology platforms</w:t>
      </w:r>
    </w:p>
    <w:p w:rsidR="00C46511" w:rsidRPr="00B40948" w:rsidRDefault="00C46511" w:rsidP="002D77DA">
      <w:pPr>
        <w:pStyle w:val="ListParagraph"/>
        <w:numPr>
          <w:ilvl w:val="0"/>
          <w:numId w:val="3"/>
        </w:numPr>
        <w:autoSpaceDE w:val="0"/>
        <w:autoSpaceDN w:val="0"/>
        <w:adjustRightInd w:val="0"/>
        <w:rPr>
          <w:rFonts w:ascii="Arial" w:hAnsi="Arial" w:cs="Arial"/>
          <w:color w:val="000000"/>
        </w:rPr>
      </w:pPr>
      <w:r w:rsidRPr="00B40948">
        <w:rPr>
          <w:rFonts w:ascii="Arial" w:hAnsi="Arial" w:cs="Arial"/>
          <w:color w:val="000000"/>
        </w:rPr>
        <w:t>managing ongoing improvements to the network, for example through new rolling stock procurement and infrastructure delivery</w:t>
      </w:r>
    </w:p>
    <w:p w:rsidR="00C46511" w:rsidRPr="00B40948" w:rsidRDefault="00C46511" w:rsidP="002D77DA">
      <w:pPr>
        <w:pStyle w:val="ListParagraph"/>
        <w:numPr>
          <w:ilvl w:val="0"/>
          <w:numId w:val="3"/>
        </w:numPr>
        <w:autoSpaceDE w:val="0"/>
        <w:autoSpaceDN w:val="0"/>
        <w:adjustRightInd w:val="0"/>
        <w:rPr>
          <w:rFonts w:ascii="Arial" w:hAnsi="Arial" w:cs="Arial"/>
          <w:color w:val="000000"/>
        </w:rPr>
      </w:pPr>
      <w:r w:rsidRPr="00B40948">
        <w:rPr>
          <w:rFonts w:ascii="Arial" w:hAnsi="Arial" w:cs="Arial"/>
          <w:color w:val="000000"/>
        </w:rPr>
        <w:t>planning for the public transport needs of future generations</w:t>
      </w:r>
    </w:p>
    <w:p w:rsidR="00C46511" w:rsidRDefault="00C46511" w:rsidP="002D77DA">
      <w:pPr>
        <w:pStyle w:val="ListParagraph"/>
        <w:numPr>
          <w:ilvl w:val="0"/>
          <w:numId w:val="3"/>
        </w:numPr>
        <w:autoSpaceDE w:val="0"/>
        <w:autoSpaceDN w:val="0"/>
        <w:adjustRightInd w:val="0"/>
        <w:rPr>
          <w:rFonts w:ascii="Arial" w:hAnsi="Arial" w:cs="Arial"/>
          <w:color w:val="000000"/>
        </w:rPr>
      </w:pPr>
      <w:r w:rsidRPr="00B40948">
        <w:rPr>
          <w:rFonts w:ascii="Arial" w:hAnsi="Arial" w:cs="Arial"/>
          <w:color w:val="000000"/>
        </w:rPr>
        <w:t>ensuring that valuable public funds are spent prudently and efficiently.</w:t>
      </w:r>
    </w:p>
    <w:p w:rsidR="006B1498" w:rsidRDefault="006B1498" w:rsidP="00215296">
      <w:pPr>
        <w:autoSpaceDE w:val="0"/>
        <w:autoSpaceDN w:val="0"/>
        <w:adjustRightInd w:val="0"/>
        <w:rPr>
          <w:rFonts w:ascii="Arial" w:hAnsi="Arial" w:cs="Arial"/>
          <w:color w:val="000000"/>
        </w:rPr>
      </w:pPr>
    </w:p>
    <w:p w:rsidR="006B1498" w:rsidRPr="00CB2689" w:rsidRDefault="006B1498" w:rsidP="006B1498">
      <w:pPr>
        <w:autoSpaceDE w:val="0"/>
        <w:autoSpaceDN w:val="0"/>
        <w:adjustRightInd w:val="0"/>
        <w:rPr>
          <w:rFonts w:ascii="Arial" w:hAnsi="Arial" w:cs="Arial"/>
          <w:color w:val="000000"/>
        </w:rPr>
      </w:pPr>
      <w:r w:rsidRPr="00CB2689">
        <w:rPr>
          <w:rFonts w:ascii="Arial" w:hAnsi="Arial" w:cs="Arial"/>
          <w:color w:val="000000"/>
        </w:rPr>
        <w:t>PTV supports the Minister for Public Transport, Hon. Terry Mulder MP.</w:t>
      </w:r>
    </w:p>
    <w:p w:rsidR="006B1498" w:rsidRPr="00CB2689" w:rsidRDefault="006B1498" w:rsidP="006B1498">
      <w:pPr>
        <w:autoSpaceDE w:val="0"/>
        <w:autoSpaceDN w:val="0"/>
        <w:adjustRightInd w:val="0"/>
        <w:rPr>
          <w:rFonts w:ascii="Arial" w:hAnsi="Arial" w:cs="Arial"/>
          <w:color w:val="000000"/>
        </w:rPr>
      </w:pPr>
    </w:p>
    <w:p w:rsidR="006B1498" w:rsidRPr="00215296" w:rsidRDefault="006B1498" w:rsidP="00215296">
      <w:pPr>
        <w:autoSpaceDE w:val="0"/>
        <w:autoSpaceDN w:val="0"/>
        <w:adjustRightInd w:val="0"/>
        <w:rPr>
          <w:rFonts w:ascii="Arial" w:hAnsi="Arial" w:cs="Arial"/>
          <w:color w:val="000000"/>
        </w:rPr>
      </w:pPr>
      <w:r w:rsidRPr="00CB2689">
        <w:rPr>
          <w:rFonts w:ascii="Arial" w:hAnsi="Arial" w:cs="Arial"/>
          <w:color w:val="000000"/>
        </w:rPr>
        <w:t>It also supports the Parliamentary Secretary for Transport, Mr Gary Blackwood MP</w:t>
      </w:r>
      <w:r w:rsidR="00AE259B">
        <w:rPr>
          <w:rFonts w:ascii="Arial" w:hAnsi="Arial" w:cs="Arial"/>
          <w:color w:val="000000"/>
        </w:rPr>
        <w:t>.</w:t>
      </w:r>
    </w:p>
    <w:p w:rsidR="00B40948" w:rsidRDefault="00B40948">
      <w:pPr>
        <w:rPr>
          <w:rFonts w:ascii="HelveticaNeue-Medium" w:hAnsi="HelveticaNeue-Medium" w:cs="HelveticaNeue-Medium"/>
          <w:color w:val="000000"/>
        </w:rPr>
      </w:pPr>
      <w:r>
        <w:rPr>
          <w:rFonts w:ascii="HelveticaNeue-Medium" w:hAnsi="HelveticaNeue-Medium" w:cs="HelveticaNeue-Medium"/>
          <w:color w:val="000000"/>
        </w:rPr>
        <w:br w:type="page"/>
      </w:r>
    </w:p>
    <w:p w:rsidR="00C46511" w:rsidRPr="00B40948" w:rsidRDefault="00C46511" w:rsidP="00E246FA">
      <w:pPr>
        <w:pStyle w:val="Heading10"/>
      </w:pPr>
      <w:r w:rsidRPr="00B40948">
        <w:t>PTV Statement of Expectations</w:t>
      </w:r>
    </w:p>
    <w:p w:rsidR="00C46511" w:rsidRPr="00B40948" w:rsidRDefault="00C46511" w:rsidP="00C46511">
      <w:pPr>
        <w:autoSpaceDE w:val="0"/>
        <w:autoSpaceDN w:val="0"/>
        <w:adjustRightInd w:val="0"/>
        <w:rPr>
          <w:rFonts w:ascii="Arial" w:hAnsi="Arial" w:cs="Arial"/>
          <w:color w:val="000000"/>
        </w:rPr>
      </w:pPr>
    </w:p>
    <w:p w:rsidR="00C46511" w:rsidRPr="00B40948" w:rsidRDefault="00C46511" w:rsidP="00C46511">
      <w:pPr>
        <w:autoSpaceDE w:val="0"/>
        <w:autoSpaceDN w:val="0"/>
        <w:adjustRightInd w:val="0"/>
        <w:rPr>
          <w:rFonts w:ascii="Arial" w:hAnsi="Arial" w:cs="Arial"/>
          <w:color w:val="000000"/>
        </w:rPr>
      </w:pPr>
      <w:r w:rsidRPr="00B40948">
        <w:rPr>
          <w:rFonts w:ascii="Arial" w:hAnsi="Arial" w:cs="Arial"/>
          <w:color w:val="000000"/>
        </w:rPr>
        <w:t xml:space="preserve">PTV has been provided with a direction from the Minister for Public Transport under section 79O(1)(a) of the </w:t>
      </w:r>
      <w:r w:rsidRPr="00B40948">
        <w:rPr>
          <w:rFonts w:ascii="Arial" w:hAnsi="Arial" w:cs="Arial"/>
          <w:i/>
          <w:iCs/>
          <w:color w:val="000000"/>
        </w:rPr>
        <w:t xml:space="preserve">Transport Integration Act 2010 </w:t>
      </w:r>
      <w:r w:rsidRPr="00B40948">
        <w:rPr>
          <w:rFonts w:ascii="Arial" w:hAnsi="Arial" w:cs="Arial"/>
          <w:color w:val="000000"/>
        </w:rPr>
        <w:t>which constitutes a binding Statement of Expectations.</w:t>
      </w:r>
    </w:p>
    <w:p w:rsidR="00C46511" w:rsidRPr="00B40948" w:rsidRDefault="00C46511" w:rsidP="00C46511">
      <w:pPr>
        <w:autoSpaceDE w:val="0"/>
        <w:autoSpaceDN w:val="0"/>
        <w:adjustRightInd w:val="0"/>
        <w:rPr>
          <w:rFonts w:ascii="Arial" w:hAnsi="Arial" w:cs="Arial"/>
          <w:color w:val="000000"/>
        </w:rPr>
      </w:pPr>
    </w:p>
    <w:p w:rsidR="00C46511" w:rsidRPr="00B40948" w:rsidRDefault="00C46511" w:rsidP="00C46511">
      <w:pPr>
        <w:autoSpaceDE w:val="0"/>
        <w:autoSpaceDN w:val="0"/>
        <w:adjustRightInd w:val="0"/>
        <w:rPr>
          <w:rFonts w:ascii="Arial" w:hAnsi="Arial" w:cs="Arial"/>
          <w:color w:val="000000"/>
        </w:rPr>
      </w:pPr>
      <w:r w:rsidRPr="00B40948">
        <w:rPr>
          <w:rFonts w:ascii="Arial" w:hAnsi="Arial" w:cs="Arial"/>
          <w:color w:val="000000"/>
        </w:rPr>
        <w:t>In addition to assisting to define how PTV will intersect with other areas of government, the Statement of Expectations requires PTV to have a strong focus on:</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excellence in the delivery of public transport services to the Victorian public</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building constructive partnerships with transport operators in which those operators are appropriately held to account for the quality of service and value for money they provide to the Victorian public</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delivering innovation and continuous improvement in public transport planning and service delivery</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 xml:space="preserve">ensuring that public transport services are properly coordinated </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providing a “one stop shop” for the users of public transport and for key stakeholders who wish to access information about public transport in Victoria</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ensuring accuracy and transparency in public reporting about the performance of Victoria’s public transport system</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providing high levels of safety and personal security for public transport users</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securing good value for money in the use of public funds</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collaboration and partnership with other government agencies, particularly the Department of Transport, Planning and Local Infrastructure and VicRoads, to deliver integrated and coordinated transport outcomes</w:t>
      </w:r>
    </w:p>
    <w:p w:rsidR="00C46511" w:rsidRPr="00B40948" w:rsidRDefault="00C46511" w:rsidP="002D77DA">
      <w:pPr>
        <w:pStyle w:val="ListParagraph"/>
        <w:numPr>
          <w:ilvl w:val="0"/>
          <w:numId w:val="2"/>
        </w:numPr>
        <w:autoSpaceDE w:val="0"/>
        <w:autoSpaceDN w:val="0"/>
        <w:adjustRightInd w:val="0"/>
        <w:rPr>
          <w:rFonts w:ascii="Arial" w:hAnsi="Arial" w:cs="Arial"/>
          <w:color w:val="000000"/>
        </w:rPr>
      </w:pPr>
      <w:r w:rsidRPr="00B40948">
        <w:rPr>
          <w:rFonts w:ascii="Arial" w:hAnsi="Arial" w:cs="Arial"/>
          <w:color w:val="000000"/>
        </w:rPr>
        <w:t>supporting the needs of freight users of the transport network.</w:t>
      </w:r>
    </w:p>
    <w:p w:rsidR="00C46511" w:rsidRPr="00B40948" w:rsidRDefault="00C46511" w:rsidP="00C46511">
      <w:pPr>
        <w:autoSpaceDE w:val="0"/>
        <w:autoSpaceDN w:val="0"/>
        <w:adjustRightInd w:val="0"/>
        <w:rPr>
          <w:rFonts w:ascii="Arial" w:hAnsi="Arial" w:cs="Arial"/>
          <w:color w:val="FF0D00"/>
        </w:rPr>
      </w:pPr>
    </w:p>
    <w:p w:rsidR="00C46511" w:rsidRDefault="00C46511" w:rsidP="00251158">
      <w:pPr>
        <w:rPr>
          <w:rFonts w:ascii="HelveticaNeue-Light" w:hAnsi="HelveticaNeue-Light" w:cs="HelveticaNeue-Light"/>
          <w:color w:val="FF0D00"/>
          <w:sz w:val="28"/>
          <w:szCs w:val="28"/>
        </w:rPr>
      </w:pPr>
      <w:r>
        <w:rPr>
          <w:rFonts w:ascii="HelveticaNeue-Light" w:hAnsi="HelveticaNeue-Light" w:cs="HelveticaNeue-Light"/>
          <w:color w:val="FF0D00"/>
          <w:sz w:val="28"/>
          <w:szCs w:val="28"/>
        </w:rPr>
        <w:br w:type="page"/>
      </w:r>
    </w:p>
    <w:p w:rsidR="00917258" w:rsidRPr="00E246FA" w:rsidRDefault="00917258" w:rsidP="00E246FA">
      <w:pPr>
        <w:pStyle w:val="Heading10"/>
        <w:outlineLvl w:val="0"/>
      </w:pPr>
      <w:bookmarkStart w:id="9" w:name="_Toc365382498"/>
      <w:bookmarkStart w:id="10" w:name="_Toc366672081"/>
      <w:r w:rsidRPr="00E246FA">
        <w:t>Organisational structure</w:t>
      </w:r>
      <w:bookmarkEnd w:id="9"/>
      <w:bookmarkEnd w:id="10"/>
    </w:p>
    <w:p w:rsidR="00921D26" w:rsidRPr="00E246FA" w:rsidRDefault="00921D26" w:rsidP="00917258">
      <w:pPr>
        <w:autoSpaceDE w:val="0"/>
        <w:autoSpaceDN w:val="0"/>
        <w:adjustRightInd w:val="0"/>
        <w:rPr>
          <w:rFonts w:ascii="Arial" w:hAnsi="Arial" w:cs="Arial"/>
        </w:rPr>
      </w:pPr>
    </w:p>
    <w:p w:rsidR="00917258" w:rsidRPr="00E246FA" w:rsidRDefault="00917258" w:rsidP="00917258">
      <w:pPr>
        <w:autoSpaceDE w:val="0"/>
        <w:autoSpaceDN w:val="0"/>
        <w:adjustRightInd w:val="0"/>
        <w:rPr>
          <w:rFonts w:ascii="Arial" w:hAnsi="Arial" w:cs="Arial"/>
        </w:rPr>
      </w:pPr>
    </w:p>
    <w:p w:rsidR="00917258" w:rsidRPr="00E246FA" w:rsidRDefault="00917258" w:rsidP="00917258">
      <w:pPr>
        <w:autoSpaceDE w:val="0"/>
        <w:autoSpaceDN w:val="0"/>
        <w:adjustRightInd w:val="0"/>
        <w:rPr>
          <w:rFonts w:ascii="Arial" w:hAnsi="Arial" w:cs="Arial"/>
        </w:rPr>
      </w:pPr>
      <w:r w:rsidRPr="00E246FA">
        <w:rPr>
          <w:rFonts w:ascii="Arial" w:hAnsi="Arial" w:cs="Arial"/>
        </w:rPr>
        <w:t xml:space="preserve">The functions of the Transport Ticketing Authority (TTA) were incorporated into PTV’s operations on 1 January 2013. </w:t>
      </w:r>
    </w:p>
    <w:p w:rsidR="00917258" w:rsidRPr="00E246FA" w:rsidRDefault="00917258" w:rsidP="00917258">
      <w:pPr>
        <w:autoSpaceDE w:val="0"/>
        <w:autoSpaceDN w:val="0"/>
        <w:adjustRightInd w:val="0"/>
        <w:rPr>
          <w:rFonts w:ascii="Arial" w:hAnsi="Arial" w:cs="Arial"/>
        </w:rPr>
      </w:pPr>
    </w:p>
    <w:p w:rsidR="00917258" w:rsidRPr="00E246FA" w:rsidRDefault="00917258" w:rsidP="00917258">
      <w:pPr>
        <w:autoSpaceDE w:val="0"/>
        <w:autoSpaceDN w:val="0"/>
        <w:adjustRightInd w:val="0"/>
        <w:rPr>
          <w:rFonts w:ascii="Arial" w:hAnsi="Arial" w:cs="Arial"/>
        </w:rPr>
      </w:pPr>
      <w:r w:rsidRPr="00E246FA">
        <w:rPr>
          <w:rFonts w:ascii="Arial" w:hAnsi="Arial" w:cs="Arial"/>
        </w:rPr>
        <w:t xml:space="preserve">PTV's organisational structure as at </w:t>
      </w:r>
      <w:r w:rsidR="005B6201" w:rsidRPr="00E246FA">
        <w:rPr>
          <w:rFonts w:ascii="Arial" w:hAnsi="Arial" w:cs="Arial"/>
        </w:rPr>
        <w:t xml:space="preserve">30 June </w:t>
      </w:r>
      <w:r w:rsidRPr="00E246FA">
        <w:rPr>
          <w:rFonts w:ascii="Arial" w:hAnsi="Arial" w:cs="Arial"/>
        </w:rPr>
        <w:t>2013 is below:</w:t>
      </w:r>
    </w:p>
    <w:p w:rsidR="00917258" w:rsidRPr="00E246FA" w:rsidRDefault="00917258" w:rsidP="00917258">
      <w:pPr>
        <w:autoSpaceDE w:val="0"/>
        <w:autoSpaceDN w:val="0"/>
        <w:adjustRightInd w:val="0"/>
        <w:rPr>
          <w:rFonts w:ascii="Arial" w:hAnsi="Arial" w:cs="Arial"/>
        </w:rPr>
      </w:pPr>
    </w:p>
    <w:p w:rsidR="00917258" w:rsidRPr="00E246FA" w:rsidRDefault="00917258" w:rsidP="00917258">
      <w:pPr>
        <w:autoSpaceDE w:val="0"/>
        <w:autoSpaceDN w:val="0"/>
        <w:adjustRightInd w:val="0"/>
        <w:rPr>
          <w:rFonts w:ascii="Arial" w:hAnsi="Arial" w:cs="Arial"/>
        </w:rPr>
      </w:pPr>
      <w:r w:rsidRPr="00E246FA">
        <w:rPr>
          <w:rFonts w:ascii="Arial" w:hAnsi="Arial" w:cs="Arial"/>
        </w:rPr>
        <w:t>Chair and Chief Executive – Ian Dobbs</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Customer Services – Alan Fedda</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Finance – Fred Cilia</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Governance and Legal – Josh Miller</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Marketing and Product Development – Melanie Nanscawen</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HR – Celia Pollard</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Network Operations – Norman Gray</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Network Planning – Ray Kinnear</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Projects – Mark Wild</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Technical Services – Tom Sargant</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Communications – Matt Phelan</w:t>
      </w:r>
    </w:p>
    <w:p w:rsidR="00917258" w:rsidRPr="00921D26" w:rsidRDefault="00917258" w:rsidP="00917258">
      <w:pPr>
        <w:autoSpaceDE w:val="0"/>
        <w:autoSpaceDN w:val="0"/>
        <w:adjustRightInd w:val="0"/>
        <w:rPr>
          <w:rFonts w:ascii="Arial" w:hAnsi="Arial" w:cs="Arial"/>
          <w:color w:val="000000"/>
        </w:rPr>
      </w:pPr>
      <w:r w:rsidRPr="00921D26">
        <w:rPr>
          <w:rFonts w:ascii="Arial" w:hAnsi="Arial" w:cs="Arial"/>
          <w:color w:val="000000"/>
        </w:rPr>
        <w:t>Director Ticketing Projects – Bernie Carolan</w:t>
      </w:r>
    </w:p>
    <w:p w:rsidR="00916745" w:rsidRPr="00921D26" w:rsidRDefault="00916745">
      <w:pPr>
        <w:rPr>
          <w:rFonts w:ascii="Arial" w:hAnsi="Arial" w:cs="Arial"/>
        </w:rPr>
      </w:pPr>
      <w:r w:rsidRPr="00921D26">
        <w:rPr>
          <w:rFonts w:ascii="Arial" w:hAnsi="Arial" w:cs="Arial"/>
        </w:rPr>
        <w:br w:type="page"/>
      </w:r>
    </w:p>
    <w:p w:rsidR="00204582" w:rsidRPr="00204582" w:rsidRDefault="00204582" w:rsidP="00E246FA">
      <w:pPr>
        <w:pStyle w:val="Heading10"/>
      </w:pPr>
      <w:r w:rsidRPr="00204582">
        <w:t>PTV Board</w:t>
      </w:r>
    </w:p>
    <w:p w:rsidR="00204582" w:rsidRDefault="00204582" w:rsidP="00C46511">
      <w:pPr>
        <w:autoSpaceDE w:val="0"/>
        <w:autoSpaceDN w:val="0"/>
        <w:adjustRightInd w:val="0"/>
        <w:rPr>
          <w:rFonts w:ascii="Arial" w:hAnsi="Arial" w:cs="Arial"/>
          <w:color w:val="FF0000"/>
          <w:sz w:val="28"/>
          <w:szCs w:val="28"/>
        </w:rPr>
      </w:pPr>
    </w:p>
    <w:p w:rsidR="00C46511" w:rsidRPr="00AE259B" w:rsidRDefault="00C46511" w:rsidP="00A73F5E">
      <w:pPr>
        <w:pStyle w:val="Heading20"/>
      </w:pPr>
      <w:r w:rsidRPr="00AE259B">
        <w:t>PTV’s Board of Directors</w:t>
      </w:r>
    </w:p>
    <w:p w:rsidR="00C46511" w:rsidRDefault="00C46511" w:rsidP="00C46511">
      <w:pPr>
        <w:autoSpaceDE w:val="0"/>
        <w:autoSpaceDN w:val="0"/>
        <w:adjustRightInd w:val="0"/>
        <w:rPr>
          <w:rFonts w:ascii="Arial" w:hAnsi="Arial" w:cs="Arial"/>
          <w:b/>
          <w:bCs/>
          <w:color w:val="FF0D00"/>
        </w:rPr>
      </w:pPr>
    </w:p>
    <w:p w:rsidR="00C46511" w:rsidRPr="00D13670" w:rsidRDefault="00C46511" w:rsidP="00E246FA">
      <w:pPr>
        <w:pStyle w:val="Heading30"/>
      </w:pPr>
      <w:r w:rsidRPr="00D13670">
        <w:t>Chair and CEO</w:t>
      </w:r>
    </w:p>
    <w:p w:rsidR="00C46511" w:rsidRPr="00D13670" w:rsidRDefault="00C46511" w:rsidP="00C46511">
      <w:pPr>
        <w:autoSpaceDE w:val="0"/>
        <w:autoSpaceDN w:val="0"/>
        <w:adjustRightInd w:val="0"/>
        <w:rPr>
          <w:rFonts w:ascii="Arial" w:hAnsi="Arial" w:cs="Arial"/>
          <w:color w:val="000000"/>
        </w:rPr>
      </w:pPr>
      <w:r w:rsidRPr="00D13670">
        <w:rPr>
          <w:rFonts w:ascii="Arial" w:hAnsi="Arial" w:cs="Arial"/>
          <w:color w:val="000000"/>
        </w:rPr>
        <w:t>Ian Dobbs’ career in private and public sector transport organisations spans over 3</w:t>
      </w:r>
      <w:r w:rsidR="006E1F98">
        <w:rPr>
          <w:rFonts w:ascii="Arial" w:hAnsi="Arial" w:cs="Arial"/>
          <w:color w:val="000000"/>
        </w:rPr>
        <w:t>6</w:t>
      </w:r>
      <w:r w:rsidRPr="00D13670">
        <w:rPr>
          <w:rFonts w:ascii="Arial" w:hAnsi="Arial" w:cs="Arial"/>
          <w:color w:val="000000"/>
        </w:rPr>
        <w:t xml:space="preserve"> years in both Australia and the UK and includes a number of senior leadership positions. He is the former chief executive of the Public Transport Corporation in Victoria and Stagecoach Group plc in the UK, where he was accountable for the activities of several operational railway organisations employing over 10,000 people. Ian was appointed to the Board on 12 December 2011.</w:t>
      </w:r>
    </w:p>
    <w:p w:rsidR="00C46511" w:rsidRPr="00D13670" w:rsidRDefault="00C46511" w:rsidP="00C46511">
      <w:pPr>
        <w:autoSpaceDE w:val="0"/>
        <w:autoSpaceDN w:val="0"/>
        <w:adjustRightInd w:val="0"/>
        <w:rPr>
          <w:rFonts w:ascii="Arial" w:hAnsi="Arial" w:cs="Arial"/>
          <w:b/>
          <w:bCs/>
          <w:color w:val="FF0D00"/>
        </w:rPr>
      </w:pPr>
    </w:p>
    <w:p w:rsidR="00C46511" w:rsidRPr="00D13670" w:rsidRDefault="00C46511" w:rsidP="00E246FA">
      <w:pPr>
        <w:pStyle w:val="Heading30"/>
      </w:pPr>
      <w:r w:rsidRPr="00D13670">
        <w:t>Deputy Chair</w:t>
      </w:r>
    </w:p>
    <w:p w:rsidR="00C46511" w:rsidRPr="00D13670" w:rsidRDefault="00C46511" w:rsidP="00C46511">
      <w:pPr>
        <w:autoSpaceDE w:val="0"/>
        <w:autoSpaceDN w:val="0"/>
        <w:adjustRightInd w:val="0"/>
        <w:rPr>
          <w:rFonts w:ascii="Arial" w:hAnsi="Arial" w:cs="Arial"/>
          <w:color w:val="000000"/>
        </w:rPr>
      </w:pPr>
      <w:r w:rsidRPr="00D13670">
        <w:rPr>
          <w:rFonts w:ascii="Arial" w:hAnsi="Arial" w:cs="Arial"/>
          <w:color w:val="000000"/>
        </w:rPr>
        <w:t>Douglas Bartley has extensive business experience in the areas of human resources, financial management and governance. His expertise in these fields is highlighted by his most recent previous role as Chair of KPMG in Victoria, as well as the Partner in Charge of KPMG’s Global</w:t>
      </w:r>
      <w:r w:rsidR="000F6CCA">
        <w:rPr>
          <w:rFonts w:ascii="Arial" w:hAnsi="Arial" w:cs="Arial"/>
          <w:color w:val="000000"/>
        </w:rPr>
        <w:t xml:space="preserve"> </w:t>
      </w:r>
      <w:r w:rsidRPr="00D13670">
        <w:rPr>
          <w:rFonts w:ascii="Arial" w:hAnsi="Arial" w:cs="Arial"/>
          <w:color w:val="000000"/>
        </w:rPr>
        <w:t>Japanese Practice within Australia. Douglas was appointed to the Board on 12 December 2011.</w:t>
      </w:r>
    </w:p>
    <w:p w:rsidR="00C46511" w:rsidRPr="00D13670" w:rsidRDefault="00C46511" w:rsidP="00C46511">
      <w:pPr>
        <w:autoSpaceDE w:val="0"/>
        <w:autoSpaceDN w:val="0"/>
        <w:adjustRightInd w:val="0"/>
        <w:rPr>
          <w:rFonts w:ascii="Arial" w:hAnsi="Arial" w:cs="Arial"/>
          <w:b/>
          <w:bCs/>
          <w:color w:val="FF0D00"/>
        </w:rPr>
      </w:pPr>
    </w:p>
    <w:p w:rsidR="00C46511" w:rsidRPr="00D13670" w:rsidRDefault="00C46511" w:rsidP="00E246FA">
      <w:pPr>
        <w:pStyle w:val="Heading30"/>
      </w:pPr>
      <w:r w:rsidRPr="00D13670">
        <w:t>Director</w:t>
      </w:r>
    </w:p>
    <w:p w:rsidR="00C46511" w:rsidRPr="00D13670" w:rsidRDefault="00C46511" w:rsidP="00C46511">
      <w:pPr>
        <w:autoSpaceDE w:val="0"/>
        <w:autoSpaceDN w:val="0"/>
        <w:adjustRightInd w:val="0"/>
        <w:rPr>
          <w:rFonts w:ascii="Arial" w:hAnsi="Arial" w:cs="Arial"/>
          <w:color w:val="000000"/>
        </w:rPr>
      </w:pPr>
      <w:r w:rsidRPr="00D13670">
        <w:rPr>
          <w:rFonts w:ascii="Arial" w:hAnsi="Arial" w:cs="Arial"/>
          <w:color w:val="000000"/>
        </w:rPr>
        <w:t>Michael Taylor AO’s career in senior public sector roles spans over 15 years, including most recently as Secretary to the Commonwealth Department of Infrastructure, Transport, Regional Development and Local Government, and Chair of the Murray Darling Basin Authority. He has also been the Chair or member of a large number of Boards, including the Melbourne Business School.</w:t>
      </w:r>
    </w:p>
    <w:p w:rsidR="00C46511" w:rsidRPr="00D13670" w:rsidRDefault="00C46511" w:rsidP="00C46511">
      <w:pPr>
        <w:autoSpaceDE w:val="0"/>
        <w:autoSpaceDN w:val="0"/>
        <w:adjustRightInd w:val="0"/>
        <w:rPr>
          <w:rFonts w:ascii="Arial" w:hAnsi="Arial" w:cs="Arial"/>
          <w:color w:val="000000"/>
        </w:rPr>
      </w:pPr>
      <w:r w:rsidRPr="00D13670">
        <w:rPr>
          <w:rFonts w:ascii="Arial" w:hAnsi="Arial" w:cs="Arial"/>
          <w:color w:val="000000"/>
        </w:rPr>
        <w:t>Michael was appointed to the Board on 12 December 2011.</w:t>
      </w:r>
    </w:p>
    <w:p w:rsidR="00C46511" w:rsidRDefault="00C46511" w:rsidP="00C46511">
      <w:pPr>
        <w:autoSpaceDE w:val="0"/>
        <w:autoSpaceDN w:val="0"/>
        <w:adjustRightInd w:val="0"/>
        <w:rPr>
          <w:rFonts w:ascii="Arial" w:hAnsi="Arial" w:cs="Arial"/>
          <w:b/>
          <w:bCs/>
          <w:color w:val="333333"/>
        </w:rPr>
      </w:pPr>
    </w:p>
    <w:p w:rsidR="00C46511" w:rsidRPr="00D13670" w:rsidRDefault="00C46511" w:rsidP="00E246FA">
      <w:pPr>
        <w:pStyle w:val="Heading30"/>
      </w:pPr>
      <w:r w:rsidRPr="00D13670">
        <w:t>Director</w:t>
      </w:r>
    </w:p>
    <w:p w:rsidR="00C46511" w:rsidRPr="00D13670" w:rsidRDefault="00C46511" w:rsidP="00C46511">
      <w:pPr>
        <w:autoSpaceDE w:val="0"/>
        <w:autoSpaceDN w:val="0"/>
        <w:adjustRightInd w:val="0"/>
        <w:rPr>
          <w:rFonts w:ascii="Arial" w:hAnsi="Arial" w:cs="Arial"/>
          <w:color w:val="000000"/>
        </w:rPr>
      </w:pPr>
      <w:r w:rsidRPr="00D13670">
        <w:rPr>
          <w:rFonts w:ascii="Arial" w:hAnsi="Arial" w:cs="Arial"/>
          <w:color w:val="000000"/>
        </w:rPr>
        <w:t>Virginia Hickey is an experienced lawyer by background, and has since established herself as an expert in the fields of corporate strategy and governance. Virginia has been on a large number of Boards, including as former Chair of TransAdelaide, Adelaide’s metropolitan passenger rail operator. Virginia was appointed to the Board on 1 July 2012.</w:t>
      </w:r>
    </w:p>
    <w:p w:rsidR="00C46511" w:rsidRPr="00D13670" w:rsidRDefault="00C46511" w:rsidP="00C46511">
      <w:pPr>
        <w:autoSpaceDE w:val="0"/>
        <w:autoSpaceDN w:val="0"/>
        <w:adjustRightInd w:val="0"/>
        <w:rPr>
          <w:rFonts w:ascii="Arial" w:hAnsi="Arial" w:cs="Arial"/>
          <w:b/>
          <w:bCs/>
          <w:color w:val="FF0D00"/>
        </w:rPr>
      </w:pPr>
    </w:p>
    <w:p w:rsidR="00C46511" w:rsidRPr="00D13670" w:rsidRDefault="00C46511" w:rsidP="00E246FA">
      <w:pPr>
        <w:pStyle w:val="Heading30"/>
      </w:pPr>
      <w:r w:rsidRPr="00D13670">
        <w:t>Director</w:t>
      </w:r>
    </w:p>
    <w:p w:rsidR="00C46511" w:rsidRPr="00D13670" w:rsidRDefault="00C46511" w:rsidP="00C46511">
      <w:pPr>
        <w:autoSpaceDE w:val="0"/>
        <w:autoSpaceDN w:val="0"/>
        <w:adjustRightInd w:val="0"/>
        <w:rPr>
          <w:rFonts w:ascii="Arial" w:hAnsi="Arial" w:cs="Arial"/>
          <w:color w:val="000000"/>
        </w:rPr>
      </w:pPr>
      <w:r w:rsidRPr="00D13670">
        <w:rPr>
          <w:rFonts w:ascii="Arial" w:hAnsi="Arial" w:cs="Arial"/>
          <w:color w:val="000000"/>
        </w:rPr>
        <w:t>Craig Opie has been Managing Director of many of Melbourne's iconic tourist attractions including the Colonial Tramcar Restaurant and Eureka Skydeck, and has owned and operated several other tourism and non-tourism related businesses. He is a current committee member of Moonee Valley Racing Club and Board member of Tourism Victoria and is a current Australia Day ambassador.  Craig was appointed to the Board on 1 November 2012.</w:t>
      </w:r>
    </w:p>
    <w:p w:rsidR="00C46511" w:rsidRDefault="00C46511" w:rsidP="00C46511">
      <w:pPr>
        <w:autoSpaceDE w:val="0"/>
        <w:autoSpaceDN w:val="0"/>
        <w:adjustRightInd w:val="0"/>
        <w:rPr>
          <w:rFonts w:ascii="HelveticaNeue-Medium" w:hAnsi="HelveticaNeue-Medium" w:cs="HelveticaNeue-Medium"/>
          <w:color w:val="000000"/>
          <w:sz w:val="17"/>
          <w:szCs w:val="17"/>
        </w:rPr>
      </w:pPr>
    </w:p>
    <w:p w:rsidR="00C46511" w:rsidRDefault="00C46511" w:rsidP="00C46511">
      <w:pPr>
        <w:rPr>
          <w:rFonts w:ascii="HelveticaNeue-Medium" w:hAnsi="HelveticaNeue-Medium" w:cs="HelveticaNeue-Medium"/>
          <w:color w:val="000000"/>
        </w:rPr>
      </w:pPr>
      <w:r>
        <w:rPr>
          <w:rFonts w:ascii="HelveticaNeue-Medium" w:hAnsi="HelveticaNeue-Medium" w:cs="HelveticaNeue-Medium"/>
          <w:color w:val="000000"/>
        </w:rPr>
        <w:br w:type="page"/>
      </w:r>
    </w:p>
    <w:p w:rsidR="00C46511" w:rsidRPr="00204582" w:rsidRDefault="00C46511" w:rsidP="00A73F5E">
      <w:pPr>
        <w:pStyle w:val="Heading20"/>
      </w:pPr>
      <w:r w:rsidRPr="00204582">
        <w:t>PTV Board Subcommittees</w:t>
      </w:r>
    </w:p>
    <w:p w:rsidR="00C46511" w:rsidRDefault="00C46511" w:rsidP="00C46511">
      <w:pPr>
        <w:rPr>
          <w:rFonts w:ascii="Arial" w:hAnsi="Arial" w:cs="Arial"/>
          <w:b/>
          <w:szCs w:val="20"/>
        </w:rPr>
      </w:pPr>
      <w:bookmarkStart w:id="11" w:name="_Toc219779096"/>
    </w:p>
    <w:p w:rsidR="00C46511" w:rsidRPr="00D13670" w:rsidRDefault="00C46511" w:rsidP="00E246FA">
      <w:pPr>
        <w:pStyle w:val="Heading30"/>
      </w:pPr>
      <w:r w:rsidRPr="00D13670">
        <w:t xml:space="preserve">PTV Board Audit and Risk Committee </w:t>
      </w:r>
      <w:bookmarkEnd w:id="11"/>
    </w:p>
    <w:p w:rsidR="00C46511" w:rsidRPr="00D13670" w:rsidRDefault="00C46511" w:rsidP="00C46511">
      <w:pPr>
        <w:rPr>
          <w:rFonts w:ascii="Arial" w:hAnsi="Arial" w:cs="Arial"/>
          <w:szCs w:val="20"/>
        </w:rPr>
      </w:pPr>
      <w:r w:rsidRPr="00D13670">
        <w:rPr>
          <w:rFonts w:ascii="Arial" w:hAnsi="Arial" w:cs="Arial"/>
          <w:szCs w:val="20"/>
        </w:rPr>
        <w:t xml:space="preserve">The </w:t>
      </w:r>
      <w:r w:rsidR="00FA127F">
        <w:rPr>
          <w:rFonts w:ascii="Arial" w:hAnsi="Arial" w:cs="Arial"/>
          <w:szCs w:val="20"/>
        </w:rPr>
        <w:t>A</w:t>
      </w:r>
      <w:r w:rsidRPr="00D13670">
        <w:rPr>
          <w:rFonts w:ascii="Arial" w:hAnsi="Arial" w:cs="Arial"/>
          <w:szCs w:val="20"/>
        </w:rPr>
        <w:t xml:space="preserve">udit </w:t>
      </w:r>
      <w:r w:rsidR="00FA127F">
        <w:rPr>
          <w:rFonts w:ascii="Arial" w:hAnsi="Arial" w:cs="Arial"/>
          <w:szCs w:val="20"/>
        </w:rPr>
        <w:t>and Risk C</w:t>
      </w:r>
      <w:r w:rsidRPr="00D13670">
        <w:rPr>
          <w:rFonts w:ascii="Arial" w:hAnsi="Arial" w:cs="Arial"/>
          <w:szCs w:val="20"/>
        </w:rPr>
        <w:t>ommittee consists of the following members:</w:t>
      </w:r>
    </w:p>
    <w:p w:rsidR="00C46511" w:rsidRPr="00D13670" w:rsidRDefault="00C46511" w:rsidP="002D77DA">
      <w:pPr>
        <w:pStyle w:val="ListParagraph"/>
        <w:numPr>
          <w:ilvl w:val="0"/>
          <w:numId w:val="1"/>
        </w:numPr>
        <w:rPr>
          <w:rFonts w:ascii="Arial" w:hAnsi="Arial" w:cs="Arial"/>
          <w:szCs w:val="20"/>
        </w:rPr>
      </w:pPr>
      <w:r w:rsidRPr="00D13670">
        <w:rPr>
          <w:rFonts w:ascii="Arial" w:hAnsi="Arial" w:cs="Arial"/>
          <w:szCs w:val="20"/>
        </w:rPr>
        <w:t>Chair: Douglas Bartley</w:t>
      </w:r>
    </w:p>
    <w:p w:rsidR="00C46511" w:rsidRPr="00D13670" w:rsidRDefault="001E1C65" w:rsidP="002D77DA">
      <w:pPr>
        <w:pStyle w:val="ListParagraph"/>
        <w:numPr>
          <w:ilvl w:val="0"/>
          <w:numId w:val="1"/>
        </w:numPr>
        <w:rPr>
          <w:rFonts w:ascii="Arial" w:hAnsi="Arial" w:cs="Arial"/>
          <w:szCs w:val="20"/>
        </w:rPr>
      </w:pPr>
      <w:r>
        <w:rPr>
          <w:rFonts w:ascii="Arial" w:hAnsi="Arial" w:cs="Arial"/>
          <w:szCs w:val="20"/>
        </w:rPr>
        <w:t>Michael</w:t>
      </w:r>
      <w:r w:rsidR="004B0406">
        <w:rPr>
          <w:rFonts w:ascii="Arial" w:hAnsi="Arial" w:cs="Arial"/>
          <w:szCs w:val="20"/>
        </w:rPr>
        <w:t xml:space="preserve"> </w:t>
      </w:r>
      <w:r w:rsidR="00C46511" w:rsidRPr="00D13670">
        <w:rPr>
          <w:rFonts w:ascii="Arial" w:hAnsi="Arial" w:cs="Arial"/>
          <w:szCs w:val="20"/>
        </w:rPr>
        <w:t>Taylor AO</w:t>
      </w:r>
    </w:p>
    <w:p w:rsidR="00C46511" w:rsidRPr="00D13670" w:rsidRDefault="00C46511" w:rsidP="002D77DA">
      <w:pPr>
        <w:pStyle w:val="ListParagraph"/>
        <w:numPr>
          <w:ilvl w:val="0"/>
          <w:numId w:val="1"/>
        </w:numPr>
        <w:rPr>
          <w:rFonts w:ascii="Arial" w:hAnsi="Arial" w:cs="Arial"/>
          <w:szCs w:val="20"/>
        </w:rPr>
      </w:pPr>
      <w:r w:rsidRPr="00D13670">
        <w:rPr>
          <w:rFonts w:ascii="Arial" w:hAnsi="Arial" w:cs="Arial"/>
          <w:szCs w:val="20"/>
        </w:rPr>
        <w:t>Virginia Hickey</w:t>
      </w:r>
    </w:p>
    <w:p w:rsidR="00C46511" w:rsidRPr="00D13670" w:rsidRDefault="00C46511" w:rsidP="00C46511">
      <w:pPr>
        <w:rPr>
          <w:rFonts w:ascii="Arial" w:hAnsi="Arial" w:cs="Arial"/>
          <w:szCs w:val="20"/>
        </w:rPr>
      </w:pPr>
    </w:p>
    <w:p w:rsidR="00C46511" w:rsidRDefault="00C46511" w:rsidP="00C46511">
      <w:pPr>
        <w:rPr>
          <w:rFonts w:ascii="Arial" w:hAnsi="Arial" w:cs="Arial"/>
          <w:szCs w:val="20"/>
        </w:rPr>
      </w:pPr>
      <w:r w:rsidRPr="00D13670">
        <w:rPr>
          <w:rFonts w:ascii="Arial" w:hAnsi="Arial" w:cs="Arial"/>
          <w:szCs w:val="20"/>
        </w:rPr>
        <w:t xml:space="preserve">This </w:t>
      </w:r>
      <w:r w:rsidR="00FA127F">
        <w:rPr>
          <w:rFonts w:ascii="Arial" w:hAnsi="Arial" w:cs="Arial"/>
          <w:szCs w:val="20"/>
        </w:rPr>
        <w:t>C</w:t>
      </w:r>
      <w:r w:rsidRPr="00D13670">
        <w:rPr>
          <w:rFonts w:ascii="Arial" w:hAnsi="Arial" w:cs="Arial"/>
          <w:szCs w:val="20"/>
        </w:rPr>
        <w:t>ommittee assists the PTV Board in fulfilling its responsibilities related to PTV’s financial performance and the financial reporting process.</w:t>
      </w:r>
    </w:p>
    <w:p w:rsidR="00C46511" w:rsidRPr="00D13670" w:rsidRDefault="00C46511" w:rsidP="00C46511">
      <w:pPr>
        <w:rPr>
          <w:rFonts w:ascii="Arial" w:hAnsi="Arial" w:cs="Arial"/>
          <w:szCs w:val="20"/>
        </w:rPr>
      </w:pPr>
    </w:p>
    <w:p w:rsidR="00C46511" w:rsidRPr="00D13670" w:rsidRDefault="00C46511" w:rsidP="00C46511">
      <w:pPr>
        <w:rPr>
          <w:rFonts w:ascii="Arial" w:hAnsi="Arial" w:cs="Arial"/>
          <w:szCs w:val="20"/>
        </w:rPr>
      </w:pPr>
      <w:r w:rsidRPr="00D13670">
        <w:rPr>
          <w:rFonts w:ascii="Arial" w:hAnsi="Arial" w:cs="Arial"/>
          <w:szCs w:val="20"/>
        </w:rPr>
        <w:t>The Committee is also responsible for the sign-off of accounting policies, the operation and implementation of PTV’s risk management framework, and compliance with the various directions and procedures contained in the Standing Directions of the Minister for Finance.</w:t>
      </w:r>
    </w:p>
    <w:p w:rsidR="00C46511" w:rsidRPr="00D13670" w:rsidRDefault="00C46511" w:rsidP="00C46511">
      <w:pPr>
        <w:rPr>
          <w:rFonts w:ascii="Arial" w:hAnsi="Arial" w:cs="Arial"/>
          <w:szCs w:val="20"/>
        </w:rPr>
      </w:pPr>
    </w:p>
    <w:p w:rsidR="00C46511" w:rsidRPr="00D13670" w:rsidRDefault="00C46511" w:rsidP="00E246FA">
      <w:pPr>
        <w:pStyle w:val="Heading30"/>
      </w:pPr>
      <w:r w:rsidRPr="00D13670">
        <w:t>PTV Board Health, Safety and Environment Committee</w:t>
      </w:r>
    </w:p>
    <w:p w:rsidR="00C46511" w:rsidRPr="00D13670" w:rsidRDefault="00C46511" w:rsidP="00C46511">
      <w:pPr>
        <w:rPr>
          <w:rFonts w:ascii="Arial" w:hAnsi="Arial" w:cs="Arial"/>
          <w:szCs w:val="20"/>
        </w:rPr>
      </w:pPr>
      <w:r w:rsidRPr="00D13670">
        <w:rPr>
          <w:rFonts w:ascii="Arial" w:hAnsi="Arial" w:cs="Arial"/>
          <w:szCs w:val="20"/>
        </w:rPr>
        <w:t xml:space="preserve">The </w:t>
      </w:r>
      <w:r w:rsidR="00FA127F">
        <w:rPr>
          <w:rFonts w:ascii="Arial" w:hAnsi="Arial" w:cs="Arial"/>
          <w:szCs w:val="20"/>
        </w:rPr>
        <w:t>H</w:t>
      </w:r>
      <w:r w:rsidRPr="00D13670">
        <w:rPr>
          <w:rFonts w:ascii="Arial" w:hAnsi="Arial" w:cs="Arial"/>
          <w:szCs w:val="20"/>
        </w:rPr>
        <w:t xml:space="preserve">ealth, </w:t>
      </w:r>
      <w:r w:rsidR="00FA127F">
        <w:rPr>
          <w:rFonts w:ascii="Arial" w:hAnsi="Arial" w:cs="Arial"/>
          <w:szCs w:val="20"/>
        </w:rPr>
        <w:t>S</w:t>
      </w:r>
      <w:r w:rsidRPr="00D13670">
        <w:rPr>
          <w:rFonts w:ascii="Arial" w:hAnsi="Arial" w:cs="Arial"/>
          <w:szCs w:val="20"/>
        </w:rPr>
        <w:t xml:space="preserve">afety and </w:t>
      </w:r>
      <w:r w:rsidR="00FA127F">
        <w:rPr>
          <w:rFonts w:ascii="Arial" w:hAnsi="Arial" w:cs="Arial"/>
          <w:szCs w:val="20"/>
        </w:rPr>
        <w:t>E</w:t>
      </w:r>
      <w:r w:rsidRPr="00D13670">
        <w:rPr>
          <w:rFonts w:ascii="Arial" w:hAnsi="Arial" w:cs="Arial"/>
          <w:szCs w:val="20"/>
        </w:rPr>
        <w:t xml:space="preserve">nvironment </w:t>
      </w:r>
      <w:r w:rsidR="00FA127F">
        <w:rPr>
          <w:rFonts w:ascii="Arial" w:hAnsi="Arial" w:cs="Arial"/>
          <w:szCs w:val="20"/>
        </w:rPr>
        <w:t>C</w:t>
      </w:r>
      <w:r w:rsidRPr="00D13670">
        <w:rPr>
          <w:rFonts w:ascii="Arial" w:hAnsi="Arial" w:cs="Arial"/>
          <w:szCs w:val="20"/>
        </w:rPr>
        <w:t>ommittee consists of the following members:</w:t>
      </w:r>
    </w:p>
    <w:p w:rsidR="00C46511" w:rsidRPr="00D13670" w:rsidRDefault="00C46511" w:rsidP="002D77DA">
      <w:pPr>
        <w:pStyle w:val="ListParagraph"/>
        <w:numPr>
          <w:ilvl w:val="0"/>
          <w:numId w:val="1"/>
        </w:numPr>
        <w:rPr>
          <w:rFonts w:ascii="Arial" w:hAnsi="Arial" w:cs="Arial"/>
          <w:szCs w:val="20"/>
        </w:rPr>
      </w:pPr>
      <w:r w:rsidRPr="00D13670">
        <w:rPr>
          <w:rFonts w:ascii="Arial" w:hAnsi="Arial" w:cs="Arial"/>
          <w:szCs w:val="20"/>
        </w:rPr>
        <w:t>Chair: Ian Dobbs</w:t>
      </w:r>
    </w:p>
    <w:p w:rsidR="00C46511" w:rsidRPr="00D13670" w:rsidRDefault="001E1C65" w:rsidP="002D77DA">
      <w:pPr>
        <w:pStyle w:val="ListParagraph"/>
        <w:numPr>
          <w:ilvl w:val="0"/>
          <w:numId w:val="1"/>
        </w:numPr>
        <w:rPr>
          <w:rFonts w:ascii="Arial" w:hAnsi="Arial" w:cs="Arial"/>
          <w:szCs w:val="20"/>
        </w:rPr>
      </w:pPr>
      <w:r>
        <w:rPr>
          <w:rFonts w:ascii="Arial" w:hAnsi="Arial" w:cs="Arial"/>
          <w:szCs w:val="20"/>
        </w:rPr>
        <w:t>Michael</w:t>
      </w:r>
      <w:r w:rsidR="004B0406">
        <w:rPr>
          <w:rFonts w:ascii="Arial" w:hAnsi="Arial" w:cs="Arial"/>
          <w:szCs w:val="20"/>
        </w:rPr>
        <w:t xml:space="preserve"> </w:t>
      </w:r>
      <w:r w:rsidR="00C46511" w:rsidRPr="00D13670">
        <w:rPr>
          <w:rFonts w:ascii="Arial" w:hAnsi="Arial" w:cs="Arial"/>
          <w:szCs w:val="20"/>
        </w:rPr>
        <w:t>Taylor AO</w:t>
      </w:r>
    </w:p>
    <w:p w:rsidR="00C46511" w:rsidRDefault="00C46511" w:rsidP="002D77DA">
      <w:pPr>
        <w:pStyle w:val="ListParagraph"/>
        <w:numPr>
          <w:ilvl w:val="0"/>
          <w:numId w:val="1"/>
        </w:numPr>
        <w:rPr>
          <w:rFonts w:ascii="Arial" w:hAnsi="Arial" w:cs="Arial"/>
          <w:szCs w:val="20"/>
        </w:rPr>
      </w:pPr>
      <w:r w:rsidRPr="00D13670">
        <w:rPr>
          <w:rFonts w:ascii="Arial" w:hAnsi="Arial" w:cs="Arial"/>
          <w:szCs w:val="20"/>
        </w:rPr>
        <w:t>Virginia Hickey</w:t>
      </w:r>
    </w:p>
    <w:p w:rsidR="00C46511" w:rsidRPr="00D13670" w:rsidRDefault="00C46511" w:rsidP="00C46511">
      <w:pPr>
        <w:rPr>
          <w:rFonts w:ascii="Arial" w:hAnsi="Arial" w:cs="Arial"/>
          <w:szCs w:val="20"/>
        </w:rPr>
      </w:pPr>
    </w:p>
    <w:p w:rsidR="00C46511" w:rsidRPr="00D13670" w:rsidRDefault="00C46511" w:rsidP="00C46511">
      <w:pPr>
        <w:rPr>
          <w:rFonts w:ascii="Arial" w:hAnsi="Arial" w:cs="Arial"/>
          <w:szCs w:val="20"/>
        </w:rPr>
      </w:pPr>
      <w:r w:rsidRPr="00D13670">
        <w:rPr>
          <w:rFonts w:ascii="Arial" w:hAnsi="Arial" w:cs="Arial"/>
          <w:szCs w:val="20"/>
        </w:rPr>
        <w:t>This Committee assists the PTV Board to promote a strong and proactive culture within PTV which values health, safety and the environment. It reviews health, safety and environment compliance, including compliance standards, and recommends to the Board appropriate measures and responses.  Developments in relevant health, safety and environment legislation and regulations are also considered by the Committee.</w:t>
      </w:r>
    </w:p>
    <w:p w:rsidR="00C46511" w:rsidRPr="00D13670" w:rsidRDefault="00C46511" w:rsidP="00C46511">
      <w:pPr>
        <w:rPr>
          <w:rFonts w:ascii="Arial" w:hAnsi="Arial" w:cs="Arial"/>
          <w:szCs w:val="20"/>
        </w:rPr>
      </w:pPr>
    </w:p>
    <w:p w:rsidR="00C46511" w:rsidRPr="00D13670" w:rsidRDefault="00C46511" w:rsidP="00E246FA">
      <w:pPr>
        <w:pStyle w:val="Heading30"/>
      </w:pPr>
      <w:r w:rsidRPr="00D13670">
        <w:t>PTV Board Remuneration Committee</w:t>
      </w:r>
    </w:p>
    <w:p w:rsidR="00C46511" w:rsidRPr="00D13670" w:rsidRDefault="00C46511" w:rsidP="00C46511">
      <w:pPr>
        <w:rPr>
          <w:rFonts w:ascii="Arial" w:hAnsi="Arial" w:cs="Arial"/>
          <w:szCs w:val="20"/>
        </w:rPr>
      </w:pPr>
      <w:r w:rsidRPr="00D13670">
        <w:rPr>
          <w:rFonts w:ascii="Arial" w:hAnsi="Arial" w:cs="Arial"/>
          <w:szCs w:val="20"/>
        </w:rPr>
        <w:t xml:space="preserve">The </w:t>
      </w:r>
      <w:r w:rsidR="00FA127F">
        <w:rPr>
          <w:rFonts w:ascii="Arial" w:hAnsi="Arial" w:cs="Arial"/>
          <w:szCs w:val="20"/>
        </w:rPr>
        <w:t>R</w:t>
      </w:r>
      <w:r w:rsidRPr="00D13670">
        <w:rPr>
          <w:rFonts w:ascii="Arial" w:hAnsi="Arial" w:cs="Arial"/>
          <w:szCs w:val="20"/>
        </w:rPr>
        <w:t xml:space="preserve">emuneration </w:t>
      </w:r>
      <w:r w:rsidR="00FA127F">
        <w:rPr>
          <w:rFonts w:ascii="Arial" w:hAnsi="Arial" w:cs="Arial"/>
          <w:szCs w:val="20"/>
        </w:rPr>
        <w:t>C</w:t>
      </w:r>
      <w:r w:rsidRPr="00D13670">
        <w:rPr>
          <w:rFonts w:ascii="Arial" w:hAnsi="Arial" w:cs="Arial"/>
          <w:szCs w:val="20"/>
        </w:rPr>
        <w:t>ommittee consists of the following members:</w:t>
      </w:r>
    </w:p>
    <w:p w:rsidR="00C46511" w:rsidRPr="00D13670" w:rsidRDefault="00C46511" w:rsidP="00C46511">
      <w:pPr>
        <w:rPr>
          <w:rFonts w:ascii="Arial" w:hAnsi="Arial" w:cs="Arial"/>
          <w:b/>
          <w:szCs w:val="20"/>
        </w:rPr>
      </w:pPr>
    </w:p>
    <w:p w:rsidR="00C46511" w:rsidRPr="00D13670" w:rsidRDefault="00C46511" w:rsidP="002D77DA">
      <w:pPr>
        <w:pStyle w:val="ListParagraph"/>
        <w:numPr>
          <w:ilvl w:val="0"/>
          <w:numId w:val="1"/>
        </w:numPr>
        <w:rPr>
          <w:rFonts w:ascii="Arial" w:hAnsi="Arial" w:cs="Arial"/>
          <w:szCs w:val="20"/>
        </w:rPr>
      </w:pPr>
      <w:r w:rsidRPr="00D13670">
        <w:rPr>
          <w:rFonts w:ascii="Arial" w:hAnsi="Arial" w:cs="Arial"/>
          <w:szCs w:val="20"/>
        </w:rPr>
        <w:t>Chair: Craig Opie</w:t>
      </w:r>
    </w:p>
    <w:p w:rsidR="00C46511" w:rsidRPr="00D13670" w:rsidRDefault="001E1C65" w:rsidP="002D77DA">
      <w:pPr>
        <w:pStyle w:val="ListParagraph"/>
        <w:numPr>
          <w:ilvl w:val="0"/>
          <w:numId w:val="1"/>
        </w:numPr>
        <w:rPr>
          <w:rFonts w:ascii="Arial" w:hAnsi="Arial" w:cs="Arial"/>
          <w:szCs w:val="20"/>
        </w:rPr>
      </w:pPr>
      <w:r>
        <w:rPr>
          <w:rFonts w:ascii="Arial" w:hAnsi="Arial" w:cs="Arial"/>
          <w:szCs w:val="20"/>
        </w:rPr>
        <w:t>Michael</w:t>
      </w:r>
      <w:r w:rsidR="004B0406">
        <w:rPr>
          <w:rFonts w:ascii="Arial" w:hAnsi="Arial" w:cs="Arial"/>
          <w:szCs w:val="20"/>
        </w:rPr>
        <w:t xml:space="preserve"> </w:t>
      </w:r>
      <w:r w:rsidR="00C46511" w:rsidRPr="00D13670">
        <w:rPr>
          <w:rFonts w:ascii="Arial" w:hAnsi="Arial" w:cs="Arial"/>
          <w:szCs w:val="20"/>
        </w:rPr>
        <w:t>Taylor AO</w:t>
      </w:r>
    </w:p>
    <w:p w:rsidR="00C46511" w:rsidRPr="00D13670" w:rsidRDefault="00C46511" w:rsidP="002D77DA">
      <w:pPr>
        <w:pStyle w:val="ListParagraph"/>
        <w:numPr>
          <w:ilvl w:val="0"/>
          <w:numId w:val="1"/>
        </w:numPr>
        <w:rPr>
          <w:rFonts w:ascii="Arial" w:hAnsi="Arial" w:cs="Arial"/>
          <w:szCs w:val="20"/>
        </w:rPr>
      </w:pPr>
      <w:r w:rsidRPr="00D13670">
        <w:rPr>
          <w:rFonts w:ascii="Arial" w:hAnsi="Arial" w:cs="Arial"/>
          <w:szCs w:val="20"/>
        </w:rPr>
        <w:t>Douglas Bartley</w:t>
      </w:r>
    </w:p>
    <w:p w:rsidR="00C46511" w:rsidRDefault="00C46511" w:rsidP="00C46511">
      <w:pPr>
        <w:rPr>
          <w:rFonts w:ascii="Arial" w:hAnsi="Arial" w:cs="Arial"/>
          <w:szCs w:val="20"/>
        </w:rPr>
      </w:pPr>
    </w:p>
    <w:p w:rsidR="00C46511" w:rsidRPr="00D13670" w:rsidRDefault="00C46511" w:rsidP="00C46511">
      <w:pPr>
        <w:rPr>
          <w:rFonts w:ascii="Arial" w:hAnsi="Arial" w:cs="Arial"/>
          <w:szCs w:val="20"/>
        </w:rPr>
      </w:pPr>
      <w:r w:rsidRPr="00D13670">
        <w:rPr>
          <w:rFonts w:ascii="Arial" w:hAnsi="Arial" w:cs="Arial"/>
          <w:szCs w:val="20"/>
        </w:rPr>
        <w:t>This Committee ensures that PTV has coherent remuneration policies and practices which are observed and enable it to attract and retain appropriate staffing resources. It also ensures that PTV fairly and responsibly rewards executives, staff and contractors in light of their responsibilities and performance, the performance of PTV and prevailing engagement and remuneration policies and conditions applied by the Victorian Government.</w:t>
      </w:r>
    </w:p>
    <w:p w:rsidR="00C46511" w:rsidRPr="00F23704" w:rsidRDefault="00C46511" w:rsidP="00A73F5E">
      <w:pPr>
        <w:pStyle w:val="Heading20"/>
      </w:pPr>
      <w:r w:rsidRPr="00D13670">
        <w:rPr>
          <w:szCs w:val="20"/>
        </w:rPr>
        <w:br w:type="page"/>
      </w:r>
      <w:r w:rsidRPr="00F23704">
        <w:t xml:space="preserve">Attendance at meetings of the Board and its committees </w:t>
      </w:r>
    </w:p>
    <w:p w:rsidR="00514FB8" w:rsidRDefault="00514FB8" w:rsidP="00514FB8">
      <w:pPr>
        <w:autoSpaceDE w:val="0"/>
        <w:autoSpaceDN w:val="0"/>
        <w:adjustRightInd w:val="0"/>
        <w:rPr>
          <w:rFonts w:ascii="Helv" w:hAnsi="Helv" w:cs="Helv"/>
          <w:b/>
          <w:color w:val="00000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134"/>
        <w:gridCol w:w="1134"/>
        <w:gridCol w:w="1134"/>
        <w:gridCol w:w="1134"/>
        <w:gridCol w:w="1134"/>
        <w:gridCol w:w="709"/>
        <w:gridCol w:w="1134"/>
      </w:tblGrid>
      <w:tr w:rsidR="00514FB8" w:rsidTr="00AD22A8">
        <w:tc>
          <w:tcPr>
            <w:tcW w:w="959" w:type="dxa"/>
            <w:shd w:val="clear" w:color="auto" w:fill="auto"/>
          </w:tcPr>
          <w:p w:rsidR="00514FB8" w:rsidRPr="00AD22A8" w:rsidRDefault="00514FB8" w:rsidP="00AD22A8">
            <w:pPr>
              <w:autoSpaceDE w:val="0"/>
              <w:autoSpaceDN w:val="0"/>
              <w:adjustRightInd w:val="0"/>
              <w:jc w:val="center"/>
              <w:rPr>
                <w:rFonts w:ascii="Helv" w:eastAsia="Calibri" w:hAnsi="Helv" w:cs="Helv"/>
                <w:b/>
                <w:color w:val="000000"/>
                <w:sz w:val="20"/>
                <w:szCs w:val="20"/>
                <w:lang w:eastAsia="en-US"/>
              </w:rPr>
            </w:pPr>
          </w:p>
        </w:tc>
        <w:tc>
          <w:tcPr>
            <w:tcW w:w="2268" w:type="dxa"/>
            <w:gridSpan w:val="2"/>
            <w:shd w:val="clear" w:color="auto" w:fill="auto"/>
          </w:tcPr>
          <w:p w:rsidR="00514FB8" w:rsidRPr="00AD22A8" w:rsidRDefault="00514FB8" w:rsidP="00AD22A8">
            <w:pPr>
              <w:autoSpaceDE w:val="0"/>
              <w:autoSpaceDN w:val="0"/>
              <w:adjustRightInd w:val="0"/>
              <w:jc w:val="center"/>
              <w:rPr>
                <w:rFonts w:ascii="Helv" w:eastAsia="Calibri" w:hAnsi="Helv" w:cs="Helv"/>
                <w:b/>
                <w:color w:val="000000"/>
                <w:sz w:val="20"/>
                <w:szCs w:val="20"/>
                <w:lang w:eastAsia="en-US"/>
              </w:rPr>
            </w:pPr>
            <w:r w:rsidRPr="00AD22A8">
              <w:rPr>
                <w:rFonts w:ascii="Helv" w:eastAsia="Calibri" w:hAnsi="Helv" w:cs="Helv"/>
                <w:b/>
                <w:color w:val="000000"/>
                <w:sz w:val="20"/>
                <w:szCs w:val="20"/>
                <w:lang w:eastAsia="en-US"/>
              </w:rPr>
              <w:t>Board</w:t>
            </w:r>
          </w:p>
        </w:tc>
        <w:tc>
          <w:tcPr>
            <w:tcW w:w="2268" w:type="dxa"/>
            <w:gridSpan w:val="2"/>
            <w:shd w:val="clear" w:color="auto" w:fill="auto"/>
          </w:tcPr>
          <w:p w:rsidR="00514FB8" w:rsidRPr="00AD22A8" w:rsidRDefault="00514FB8" w:rsidP="00AD22A8">
            <w:pPr>
              <w:autoSpaceDE w:val="0"/>
              <w:autoSpaceDN w:val="0"/>
              <w:adjustRightInd w:val="0"/>
              <w:jc w:val="center"/>
              <w:rPr>
                <w:rFonts w:ascii="Helv" w:eastAsia="Calibri" w:hAnsi="Helv" w:cs="Helv"/>
                <w:b/>
                <w:color w:val="000000"/>
                <w:sz w:val="20"/>
                <w:szCs w:val="20"/>
                <w:lang w:eastAsia="en-US"/>
              </w:rPr>
            </w:pPr>
            <w:r w:rsidRPr="00AD22A8">
              <w:rPr>
                <w:rFonts w:ascii="Helv" w:eastAsia="Calibri" w:hAnsi="Helv" w:cs="Helv"/>
                <w:b/>
                <w:color w:val="000000"/>
                <w:sz w:val="20"/>
                <w:szCs w:val="20"/>
                <w:lang w:eastAsia="en-US"/>
              </w:rPr>
              <w:t>Audit &amp; Risk</w:t>
            </w:r>
          </w:p>
        </w:tc>
        <w:tc>
          <w:tcPr>
            <w:tcW w:w="2268" w:type="dxa"/>
            <w:gridSpan w:val="2"/>
            <w:shd w:val="clear" w:color="auto" w:fill="auto"/>
          </w:tcPr>
          <w:p w:rsidR="00514FB8" w:rsidRPr="00AD22A8" w:rsidRDefault="00514FB8" w:rsidP="00AD22A8">
            <w:pPr>
              <w:autoSpaceDE w:val="0"/>
              <w:autoSpaceDN w:val="0"/>
              <w:adjustRightInd w:val="0"/>
              <w:jc w:val="center"/>
              <w:rPr>
                <w:rFonts w:ascii="Helv" w:eastAsia="Calibri" w:hAnsi="Helv" w:cs="Helv"/>
                <w:b/>
                <w:color w:val="000000"/>
                <w:sz w:val="20"/>
                <w:szCs w:val="20"/>
                <w:lang w:eastAsia="en-US"/>
              </w:rPr>
            </w:pPr>
            <w:r w:rsidRPr="00AD22A8">
              <w:rPr>
                <w:rFonts w:ascii="Helv" w:eastAsia="Calibri" w:hAnsi="Helv" w:cs="Helv"/>
                <w:b/>
                <w:color w:val="000000"/>
                <w:sz w:val="20"/>
                <w:szCs w:val="20"/>
                <w:lang w:eastAsia="en-US"/>
              </w:rPr>
              <w:t>Remuneration</w:t>
            </w:r>
          </w:p>
        </w:tc>
        <w:tc>
          <w:tcPr>
            <w:tcW w:w="1843" w:type="dxa"/>
            <w:gridSpan w:val="2"/>
            <w:shd w:val="clear" w:color="auto" w:fill="auto"/>
          </w:tcPr>
          <w:p w:rsidR="00514FB8" w:rsidRPr="00AD22A8" w:rsidRDefault="00514FB8" w:rsidP="00AD22A8">
            <w:pPr>
              <w:autoSpaceDE w:val="0"/>
              <w:autoSpaceDN w:val="0"/>
              <w:adjustRightInd w:val="0"/>
              <w:jc w:val="center"/>
              <w:rPr>
                <w:rFonts w:ascii="Helv" w:eastAsia="Calibri" w:hAnsi="Helv" w:cs="Helv"/>
                <w:b/>
                <w:color w:val="000000"/>
                <w:sz w:val="20"/>
                <w:szCs w:val="20"/>
                <w:lang w:eastAsia="en-US"/>
              </w:rPr>
            </w:pPr>
            <w:r w:rsidRPr="00AD22A8">
              <w:rPr>
                <w:rFonts w:ascii="Helv" w:eastAsia="Calibri" w:hAnsi="Helv" w:cs="Helv"/>
                <w:b/>
                <w:color w:val="000000"/>
                <w:sz w:val="20"/>
                <w:szCs w:val="20"/>
                <w:lang w:eastAsia="en-US"/>
              </w:rPr>
              <w:t>Health, Safety and Environment</w:t>
            </w:r>
          </w:p>
          <w:p w:rsidR="00514FB8" w:rsidRPr="00AD22A8" w:rsidRDefault="00514FB8" w:rsidP="00AD22A8">
            <w:pPr>
              <w:autoSpaceDE w:val="0"/>
              <w:autoSpaceDN w:val="0"/>
              <w:adjustRightInd w:val="0"/>
              <w:jc w:val="center"/>
              <w:rPr>
                <w:rFonts w:ascii="Helv" w:eastAsia="Calibri" w:hAnsi="Helv" w:cs="Helv"/>
                <w:b/>
                <w:color w:val="000000"/>
                <w:sz w:val="20"/>
                <w:szCs w:val="20"/>
                <w:lang w:eastAsia="en-US"/>
              </w:rPr>
            </w:pPr>
          </w:p>
        </w:tc>
      </w:tr>
      <w:tr w:rsidR="00514FB8" w:rsidRPr="00572C97" w:rsidTr="00AD22A8">
        <w:tc>
          <w:tcPr>
            <w:tcW w:w="959" w:type="dxa"/>
            <w:shd w:val="clear" w:color="auto" w:fill="auto"/>
          </w:tcPr>
          <w:p w:rsidR="00514FB8" w:rsidRPr="00AD22A8" w:rsidRDefault="00514FB8" w:rsidP="00AD22A8">
            <w:pPr>
              <w:autoSpaceDE w:val="0"/>
              <w:autoSpaceDN w:val="0"/>
              <w:adjustRightInd w:val="0"/>
              <w:rPr>
                <w:rFonts w:ascii="Helv" w:eastAsia="Calibri" w:hAnsi="Helv" w:cs="Helv"/>
                <w:b/>
                <w:color w:val="000000"/>
                <w:sz w:val="18"/>
                <w:szCs w:val="18"/>
                <w:lang w:eastAsia="en-US"/>
              </w:rPr>
            </w:pP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Attended</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Maximum</w:t>
            </w:r>
          </w:p>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Possible</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Attended</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Maximum</w:t>
            </w:r>
          </w:p>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Possible</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Attended</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Maximum</w:t>
            </w:r>
          </w:p>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Possible</w:t>
            </w:r>
          </w:p>
        </w:tc>
        <w:tc>
          <w:tcPr>
            <w:tcW w:w="709" w:type="dxa"/>
            <w:shd w:val="clear" w:color="auto" w:fill="auto"/>
          </w:tcPr>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Attended</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Maximum</w:t>
            </w:r>
          </w:p>
          <w:p w:rsidR="00514FB8" w:rsidRPr="00AD22A8" w:rsidRDefault="00514FB8" w:rsidP="00AD22A8">
            <w:pPr>
              <w:autoSpaceDE w:val="0"/>
              <w:autoSpaceDN w:val="0"/>
              <w:adjustRightInd w:val="0"/>
              <w:rPr>
                <w:rFonts w:ascii="Helv" w:eastAsia="Calibri" w:hAnsi="Helv" w:cs="Helv"/>
                <w:b/>
                <w:color w:val="000000"/>
                <w:sz w:val="18"/>
                <w:szCs w:val="18"/>
                <w:lang w:eastAsia="en-US"/>
              </w:rPr>
            </w:pPr>
            <w:r w:rsidRPr="00AD22A8">
              <w:rPr>
                <w:rFonts w:ascii="Helv" w:eastAsia="Calibri" w:hAnsi="Helv" w:cs="Helv"/>
                <w:b/>
                <w:color w:val="000000"/>
                <w:sz w:val="18"/>
                <w:szCs w:val="18"/>
                <w:lang w:eastAsia="en-US"/>
              </w:rPr>
              <w:t>Possible</w:t>
            </w:r>
          </w:p>
          <w:p w:rsidR="00514FB8" w:rsidRPr="00AD22A8" w:rsidRDefault="00514FB8" w:rsidP="00AD22A8">
            <w:pPr>
              <w:autoSpaceDE w:val="0"/>
              <w:autoSpaceDN w:val="0"/>
              <w:adjustRightInd w:val="0"/>
              <w:rPr>
                <w:rFonts w:ascii="Helv" w:eastAsia="Calibri" w:hAnsi="Helv" w:cs="Helv"/>
                <w:b/>
                <w:color w:val="000000"/>
                <w:sz w:val="18"/>
                <w:szCs w:val="18"/>
                <w:lang w:eastAsia="en-US"/>
              </w:rPr>
            </w:pPr>
          </w:p>
        </w:tc>
      </w:tr>
      <w:tr w:rsidR="00514FB8" w:rsidRPr="008531AB" w:rsidTr="00AD22A8">
        <w:tc>
          <w:tcPr>
            <w:tcW w:w="959" w:type="dxa"/>
            <w:shd w:val="clear" w:color="auto" w:fill="auto"/>
          </w:tcPr>
          <w:p w:rsidR="00514FB8" w:rsidRPr="00AD22A8" w:rsidRDefault="00514FB8" w:rsidP="00AD22A8">
            <w:pPr>
              <w:autoSpaceDE w:val="0"/>
              <w:autoSpaceDN w:val="0"/>
              <w:adjustRightInd w:val="0"/>
              <w:jc w:val="both"/>
              <w:rPr>
                <w:rFonts w:ascii="Calibri" w:eastAsia="Calibri" w:hAnsi="Calibri" w:cs="Arial"/>
                <w:bCs/>
                <w:color w:val="000000"/>
                <w:sz w:val="18"/>
                <w:szCs w:val="18"/>
                <w:lang w:eastAsia="en-US"/>
              </w:rPr>
            </w:pPr>
            <w:r w:rsidRPr="00AD22A8">
              <w:rPr>
                <w:rFonts w:ascii="Calibri" w:eastAsia="Calibri" w:hAnsi="Calibri" w:cs="Arial"/>
                <w:bCs/>
                <w:color w:val="000000"/>
                <w:sz w:val="18"/>
                <w:szCs w:val="18"/>
                <w:lang w:eastAsia="en-US"/>
              </w:rPr>
              <w:t>Ian Dobbs</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Calibri" w:eastAsia="Calibri" w:hAnsi="Calibri" w:cs="Arial"/>
                <w:bCs/>
                <w:color w:val="000000"/>
                <w:sz w:val="18"/>
                <w:szCs w:val="18"/>
                <w:lang w:eastAsia="en-US"/>
              </w:rPr>
              <w:t>13</w:t>
            </w:r>
          </w:p>
          <w:p w:rsidR="00514FB8" w:rsidRPr="00AD22A8" w:rsidRDefault="00514FB8" w:rsidP="00AD22A8">
            <w:pPr>
              <w:autoSpaceDE w:val="0"/>
              <w:autoSpaceDN w:val="0"/>
              <w:adjustRightInd w:val="0"/>
              <w:rPr>
                <w:rFonts w:ascii="Helv" w:eastAsia="Calibri" w:hAnsi="Helv" w:cs="Helv"/>
                <w:color w:val="000000"/>
                <w:sz w:val="18"/>
                <w:szCs w:val="18"/>
                <w:lang w:eastAsia="en-US"/>
              </w:rPr>
            </w:pP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13</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709"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4</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4</w:t>
            </w:r>
          </w:p>
        </w:tc>
      </w:tr>
      <w:tr w:rsidR="00514FB8" w:rsidRPr="008531AB" w:rsidTr="00AD22A8">
        <w:tc>
          <w:tcPr>
            <w:tcW w:w="959" w:type="dxa"/>
            <w:shd w:val="clear" w:color="auto" w:fill="auto"/>
          </w:tcPr>
          <w:p w:rsidR="00514FB8" w:rsidRPr="00AD22A8" w:rsidRDefault="00514FB8" w:rsidP="00AD22A8">
            <w:pPr>
              <w:autoSpaceDE w:val="0"/>
              <w:autoSpaceDN w:val="0"/>
              <w:adjustRightInd w:val="0"/>
              <w:jc w:val="both"/>
              <w:rPr>
                <w:rFonts w:ascii="Calibri" w:eastAsia="Calibri" w:hAnsi="Calibri" w:cs="Arial"/>
                <w:bCs/>
                <w:color w:val="000000"/>
                <w:sz w:val="18"/>
                <w:szCs w:val="18"/>
                <w:lang w:eastAsia="en-US"/>
              </w:rPr>
            </w:pPr>
            <w:r w:rsidRPr="00AD22A8">
              <w:rPr>
                <w:rFonts w:ascii="Calibri" w:eastAsia="Calibri" w:hAnsi="Calibri" w:cs="Arial"/>
                <w:bCs/>
                <w:color w:val="000000"/>
                <w:sz w:val="18"/>
                <w:szCs w:val="18"/>
                <w:lang w:eastAsia="en-US"/>
              </w:rPr>
              <w:t>Douglas Bartley</w:t>
            </w:r>
          </w:p>
          <w:p w:rsidR="00514FB8" w:rsidRPr="00AD22A8" w:rsidRDefault="00514FB8" w:rsidP="00AD22A8">
            <w:pPr>
              <w:autoSpaceDE w:val="0"/>
              <w:autoSpaceDN w:val="0"/>
              <w:adjustRightInd w:val="0"/>
              <w:jc w:val="both"/>
              <w:rPr>
                <w:rFonts w:ascii="Calibri" w:eastAsia="Calibri" w:hAnsi="Calibri" w:cs="Arial"/>
                <w:bCs/>
                <w:color w:val="000000"/>
                <w:sz w:val="18"/>
                <w:szCs w:val="18"/>
                <w:lang w:eastAsia="en-US"/>
              </w:rPr>
            </w:pP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11</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13</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709"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p>
        </w:tc>
      </w:tr>
      <w:tr w:rsidR="00514FB8" w:rsidRPr="008531AB" w:rsidTr="00AD22A8">
        <w:tc>
          <w:tcPr>
            <w:tcW w:w="959" w:type="dxa"/>
            <w:shd w:val="clear" w:color="auto" w:fill="auto"/>
          </w:tcPr>
          <w:p w:rsidR="00514FB8" w:rsidRPr="00AD22A8" w:rsidRDefault="00514FB8" w:rsidP="00AD22A8">
            <w:pPr>
              <w:autoSpaceDE w:val="0"/>
              <w:autoSpaceDN w:val="0"/>
              <w:adjustRightInd w:val="0"/>
              <w:jc w:val="both"/>
              <w:rPr>
                <w:rFonts w:ascii="Calibri" w:eastAsia="Calibri" w:hAnsi="Calibri" w:cs="Arial"/>
                <w:color w:val="000000"/>
                <w:sz w:val="18"/>
                <w:szCs w:val="18"/>
                <w:lang w:eastAsia="en-US"/>
              </w:rPr>
            </w:pPr>
            <w:r w:rsidRPr="00AD22A8">
              <w:rPr>
                <w:rFonts w:ascii="Calibri" w:eastAsia="Calibri" w:hAnsi="Calibri" w:cs="Arial"/>
                <w:bCs/>
                <w:color w:val="000000"/>
                <w:sz w:val="18"/>
                <w:szCs w:val="18"/>
                <w:lang w:eastAsia="en-US"/>
              </w:rPr>
              <w:t>Michael Taylor AO</w:t>
            </w:r>
          </w:p>
          <w:p w:rsidR="00514FB8" w:rsidRPr="00AD22A8" w:rsidRDefault="00514FB8" w:rsidP="00AD22A8">
            <w:pPr>
              <w:autoSpaceDE w:val="0"/>
              <w:autoSpaceDN w:val="0"/>
              <w:adjustRightInd w:val="0"/>
              <w:jc w:val="both"/>
              <w:rPr>
                <w:rFonts w:ascii="Calibri" w:eastAsia="Calibri" w:hAnsi="Calibri" w:cs="Arial"/>
                <w:bCs/>
                <w:color w:val="000000"/>
                <w:sz w:val="18"/>
                <w:szCs w:val="18"/>
                <w:lang w:eastAsia="en-US"/>
              </w:rPr>
            </w:pP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11</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13</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709"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4</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4</w:t>
            </w:r>
          </w:p>
        </w:tc>
      </w:tr>
      <w:tr w:rsidR="00514FB8" w:rsidRPr="008531AB" w:rsidTr="00AD22A8">
        <w:tc>
          <w:tcPr>
            <w:tcW w:w="959" w:type="dxa"/>
            <w:shd w:val="clear" w:color="auto" w:fill="auto"/>
          </w:tcPr>
          <w:p w:rsidR="00514FB8" w:rsidRPr="00AD22A8" w:rsidRDefault="00514FB8" w:rsidP="00AD22A8">
            <w:pPr>
              <w:autoSpaceDE w:val="0"/>
              <w:autoSpaceDN w:val="0"/>
              <w:adjustRightInd w:val="0"/>
              <w:jc w:val="both"/>
              <w:rPr>
                <w:rFonts w:ascii="Helv" w:eastAsia="Calibri" w:hAnsi="Helv" w:cs="Helv"/>
                <w:color w:val="000000"/>
                <w:sz w:val="18"/>
                <w:szCs w:val="18"/>
                <w:lang w:eastAsia="en-US"/>
              </w:rPr>
            </w:pPr>
            <w:r w:rsidRPr="00AD22A8">
              <w:rPr>
                <w:rFonts w:ascii="Calibri" w:eastAsia="Calibri" w:hAnsi="Calibri" w:cs="Arial"/>
                <w:bCs/>
                <w:color w:val="000000"/>
                <w:sz w:val="18"/>
                <w:szCs w:val="18"/>
                <w:lang w:eastAsia="en-US"/>
              </w:rPr>
              <w:t>Virginia Hickey +</w:t>
            </w:r>
          </w:p>
          <w:p w:rsidR="00514FB8" w:rsidRPr="00AD22A8" w:rsidRDefault="00514FB8" w:rsidP="00AD22A8">
            <w:pPr>
              <w:autoSpaceDE w:val="0"/>
              <w:autoSpaceDN w:val="0"/>
              <w:adjustRightInd w:val="0"/>
              <w:jc w:val="both"/>
              <w:rPr>
                <w:rFonts w:ascii="Calibri" w:eastAsia="Calibri" w:hAnsi="Calibri" w:cs="Arial"/>
                <w:bCs/>
                <w:color w:val="000000"/>
                <w:sz w:val="18"/>
                <w:szCs w:val="18"/>
                <w:lang w:eastAsia="en-US"/>
              </w:rPr>
            </w:pP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10</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13</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p>
        </w:tc>
        <w:tc>
          <w:tcPr>
            <w:tcW w:w="709"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4</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4</w:t>
            </w:r>
          </w:p>
        </w:tc>
      </w:tr>
      <w:tr w:rsidR="00514FB8" w:rsidRPr="00917FC4" w:rsidTr="00AD22A8">
        <w:tc>
          <w:tcPr>
            <w:tcW w:w="959" w:type="dxa"/>
            <w:shd w:val="clear" w:color="auto" w:fill="auto"/>
          </w:tcPr>
          <w:p w:rsidR="00514FB8" w:rsidRPr="00AD22A8" w:rsidRDefault="00514FB8" w:rsidP="00AD22A8">
            <w:pPr>
              <w:autoSpaceDE w:val="0"/>
              <w:autoSpaceDN w:val="0"/>
              <w:adjustRightInd w:val="0"/>
              <w:jc w:val="both"/>
              <w:rPr>
                <w:rFonts w:ascii="Helv" w:eastAsia="Calibri" w:hAnsi="Helv" w:cs="Helv"/>
                <w:color w:val="000000"/>
                <w:sz w:val="18"/>
                <w:szCs w:val="18"/>
                <w:lang w:eastAsia="en-US"/>
              </w:rPr>
            </w:pPr>
            <w:r w:rsidRPr="00AD22A8">
              <w:rPr>
                <w:rFonts w:ascii="Calibri" w:eastAsia="Calibri" w:hAnsi="Calibri" w:cs="Arial"/>
                <w:bCs/>
                <w:color w:val="000000"/>
                <w:sz w:val="18"/>
                <w:szCs w:val="18"/>
                <w:lang w:eastAsia="en-US"/>
              </w:rPr>
              <w:t>Craig Opie ++</w:t>
            </w:r>
          </w:p>
          <w:p w:rsidR="00514FB8" w:rsidRPr="00AD22A8" w:rsidRDefault="00514FB8" w:rsidP="00AD22A8">
            <w:pPr>
              <w:autoSpaceDE w:val="0"/>
              <w:autoSpaceDN w:val="0"/>
              <w:adjustRightInd w:val="0"/>
              <w:jc w:val="both"/>
              <w:rPr>
                <w:rFonts w:ascii="Calibri" w:eastAsia="Calibri" w:hAnsi="Calibri" w:cs="Arial"/>
                <w:bCs/>
                <w:color w:val="000000"/>
                <w:sz w:val="18"/>
                <w:szCs w:val="18"/>
                <w:lang w:eastAsia="en-US"/>
              </w:rPr>
            </w:pP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9</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9</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1</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4</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4</w:t>
            </w: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r w:rsidRPr="00AD22A8">
              <w:rPr>
                <w:rFonts w:ascii="Helv" w:eastAsia="Calibri" w:hAnsi="Helv" w:cs="Helv"/>
                <w:color w:val="000000"/>
                <w:sz w:val="18"/>
                <w:szCs w:val="18"/>
                <w:lang w:eastAsia="en-US"/>
              </w:rPr>
              <w:t>6</w:t>
            </w:r>
          </w:p>
        </w:tc>
        <w:tc>
          <w:tcPr>
            <w:tcW w:w="709"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p>
        </w:tc>
        <w:tc>
          <w:tcPr>
            <w:tcW w:w="1134" w:type="dxa"/>
            <w:shd w:val="clear" w:color="auto" w:fill="auto"/>
          </w:tcPr>
          <w:p w:rsidR="00514FB8" w:rsidRPr="00AD22A8" w:rsidRDefault="00514FB8" w:rsidP="00AD22A8">
            <w:pPr>
              <w:autoSpaceDE w:val="0"/>
              <w:autoSpaceDN w:val="0"/>
              <w:adjustRightInd w:val="0"/>
              <w:rPr>
                <w:rFonts w:ascii="Helv" w:eastAsia="Calibri" w:hAnsi="Helv" w:cs="Helv"/>
                <w:color w:val="000000"/>
                <w:sz w:val="18"/>
                <w:szCs w:val="18"/>
                <w:lang w:eastAsia="en-US"/>
              </w:rPr>
            </w:pPr>
          </w:p>
        </w:tc>
      </w:tr>
    </w:tbl>
    <w:p w:rsidR="00514FB8" w:rsidRDefault="00514FB8" w:rsidP="00514FB8">
      <w:pPr>
        <w:autoSpaceDE w:val="0"/>
        <w:autoSpaceDN w:val="0"/>
        <w:adjustRightInd w:val="0"/>
        <w:rPr>
          <w:rFonts w:ascii="Helv" w:hAnsi="Helv" w:cs="Helv"/>
          <w:b/>
          <w:color w:val="000000"/>
          <w:szCs w:val="20"/>
        </w:rPr>
      </w:pPr>
    </w:p>
    <w:p w:rsidR="00C46511" w:rsidRPr="005515C8" w:rsidRDefault="00C46511" w:rsidP="00C46511">
      <w:pPr>
        <w:autoSpaceDE w:val="0"/>
        <w:autoSpaceDN w:val="0"/>
        <w:adjustRightInd w:val="0"/>
        <w:rPr>
          <w:rFonts w:ascii="Helv" w:hAnsi="Helv" w:cs="Helv"/>
          <w:color w:val="000000"/>
          <w:sz w:val="16"/>
          <w:szCs w:val="16"/>
        </w:rPr>
      </w:pPr>
      <w:r>
        <w:rPr>
          <w:rFonts w:ascii="Helv" w:hAnsi="Helv" w:cs="Helv"/>
          <w:color w:val="000000"/>
          <w:sz w:val="16"/>
          <w:szCs w:val="16"/>
        </w:rPr>
        <w:t xml:space="preserve">+ Appointed </w:t>
      </w:r>
      <w:r w:rsidR="00774772">
        <w:rPr>
          <w:rFonts w:ascii="Helv" w:hAnsi="Helv" w:cs="Helv"/>
          <w:color w:val="000000"/>
          <w:sz w:val="16"/>
          <w:szCs w:val="16"/>
        </w:rPr>
        <w:t xml:space="preserve">to </w:t>
      </w:r>
      <w:r>
        <w:rPr>
          <w:rFonts w:ascii="Helv" w:hAnsi="Helv" w:cs="Helv"/>
          <w:color w:val="000000"/>
          <w:sz w:val="16"/>
          <w:szCs w:val="16"/>
        </w:rPr>
        <w:t xml:space="preserve">Board 1 July </w:t>
      </w:r>
      <w:r w:rsidRPr="005515C8">
        <w:rPr>
          <w:rFonts w:ascii="Helv" w:hAnsi="Helv" w:cs="Helv"/>
          <w:color w:val="000000"/>
          <w:sz w:val="16"/>
          <w:szCs w:val="16"/>
        </w:rPr>
        <w:t>2012</w:t>
      </w:r>
    </w:p>
    <w:p w:rsidR="00C46511" w:rsidRDefault="00C46511" w:rsidP="00C46511">
      <w:pPr>
        <w:autoSpaceDE w:val="0"/>
        <w:autoSpaceDN w:val="0"/>
        <w:adjustRightInd w:val="0"/>
        <w:rPr>
          <w:rFonts w:ascii="Helv" w:hAnsi="Helv" w:cs="Helv"/>
          <w:color w:val="000000"/>
          <w:sz w:val="16"/>
          <w:szCs w:val="16"/>
        </w:rPr>
      </w:pPr>
    </w:p>
    <w:p w:rsidR="00C46511" w:rsidRPr="005515C8" w:rsidRDefault="00C46511" w:rsidP="00C46511">
      <w:pPr>
        <w:autoSpaceDE w:val="0"/>
        <w:autoSpaceDN w:val="0"/>
        <w:adjustRightInd w:val="0"/>
        <w:rPr>
          <w:rFonts w:ascii="Helv" w:hAnsi="Helv" w:cs="Helv"/>
          <w:color w:val="000000"/>
          <w:sz w:val="16"/>
          <w:szCs w:val="16"/>
        </w:rPr>
      </w:pPr>
      <w:r>
        <w:rPr>
          <w:rFonts w:ascii="Helv" w:hAnsi="Helv" w:cs="Helv"/>
          <w:color w:val="000000"/>
          <w:sz w:val="16"/>
          <w:szCs w:val="16"/>
        </w:rPr>
        <w:t xml:space="preserve">++ Appointed </w:t>
      </w:r>
      <w:r w:rsidR="00774772">
        <w:rPr>
          <w:rFonts w:ascii="Helv" w:hAnsi="Helv" w:cs="Helv"/>
          <w:color w:val="000000"/>
          <w:sz w:val="16"/>
          <w:szCs w:val="16"/>
        </w:rPr>
        <w:t xml:space="preserve">to </w:t>
      </w:r>
      <w:r>
        <w:rPr>
          <w:rFonts w:ascii="Helv" w:hAnsi="Helv" w:cs="Helv"/>
          <w:color w:val="000000"/>
          <w:sz w:val="16"/>
          <w:szCs w:val="16"/>
        </w:rPr>
        <w:t xml:space="preserve">Board </w:t>
      </w:r>
      <w:r w:rsidRPr="005515C8">
        <w:rPr>
          <w:rFonts w:ascii="Helv" w:hAnsi="Helv" w:cs="Helv"/>
          <w:color w:val="000000"/>
          <w:sz w:val="16"/>
          <w:szCs w:val="16"/>
        </w:rPr>
        <w:t>1 November 2012</w:t>
      </w:r>
    </w:p>
    <w:p w:rsidR="00C46511" w:rsidRDefault="00C46511" w:rsidP="00C46511">
      <w:pPr>
        <w:rPr>
          <w:rFonts w:cs="Arial"/>
          <w:szCs w:val="20"/>
        </w:rPr>
      </w:pPr>
    </w:p>
    <w:p w:rsidR="00C46511" w:rsidRDefault="00C46511" w:rsidP="00C46511">
      <w:pPr>
        <w:rPr>
          <w:rFonts w:ascii="Arial" w:hAnsi="Arial" w:cs="Arial"/>
        </w:rPr>
      </w:pPr>
      <w:r>
        <w:rPr>
          <w:rFonts w:ascii="Arial" w:hAnsi="Arial" w:cs="Arial"/>
        </w:rPr>
        <w:br w:type="page"/>
      </w:r>
    </w:p>
    <w:p w:rsidR="00C46511" w:rsidRPr="00F23704" w:rsidRDefault="00C46511" w:rsidP="00625227">
      <w:pPr>
        <w:pStyle w:val="Heading10"/>
        <w:outlineLvl w:val="0"/>
      </w:pPr>
      <w:bookmarkStart w:id="12" w:name="_Toc365382499"/>
      <w:bookmarkStart w:id="13" w:name="_Toc366672082"/>
      <w:r w:rsidRPr="00F23704">
        <w:t>Chief Finance Officer’s Statement</w:t>
      </w:r>
      <w:bookmarkEnd w:id="12"/>
      <w:bookmarkEnd w:id="13"/>
    </w:p>
    <w:p w:rsidR="00C46511" w:rsidRPr="00870A1B" w:rsidRDefault="00C46511" w:rsidP="00C46511">
      <w:pPr>
        <w:rPr>
          <w:rFonts w:ascii="Arial" w:hAnsi="Arial" w:cs="Arial"/>
        </w:rPr>
      </w:pPr>
    </w:p>
    <w:p w:rsidR="00C46511" w:rsidRPr="00870A1B" w:rsidRDefault="00C46511" w:rsidP="00C46511">
      <w:pPr>
        <w:rPr>
          <w:rFonts w:ascii="Arial" w:hAnsi="Arial" w:cs="Arial"/>
        </w:rPr>
      </w:pPr>
    </w:p>
    <w:p w:rsidR="004946A6" w:rsidRPr="00870A1B" w:rsidRDefault="004946A6" w:rsidP="00E246FA">
      <w:pPr>
        <w:rPr>
          <w:rFonts w:ascii="Arial" w:hAnsi="Arial" w:cs="Arial"/>
        </w:rPr>
      </w:pPr>
      <w:r w:rsidRPr="00870A1B">
        <w:rPr>
          <w:rFonts w:ascii="Arial" w:hAnsi="Arial" w:cs="Arial"/>
        </w:rPr>
        <w:t xml:space="preserve">The 2012-13 </w:t>
      </w:r>
      <w:r w:rsidR="004E18F5">
        <w:rPr>
          <w:rFonts w:ascii="Arial" w:hAnsi="Arial" w:cs="Arial"/>
        </w:rPr>
        <w:t>A</w:t>
      </w:r>
      <w:r w:rsidRPr="00870A1B">
        <w:rPr>
          <w:rFonts w:ascii="Arial" w:hAnsi="Arial" w:cs="Arial"/>
        </w:rPr>
        <w:t>nnual report includes PTV’s first full year financial statements.</w:t>
      </w:r>
    </w:p>
    <w:p w:rsidR="004946A6" w:rsidRPr="00870A1B" w:rsidRDefault="004946A6" w:rsidP="00E246FA">
      <w:pPr>
        <w:rPr>
          <w:rFonts w:ascii="Arial" w:hAnsi="Arial" w:cs="Arial"/>
        </w:rPr>
      </w:pPr>
      <w:r w:rsidRPr="00870A1B">
        <w:rPr>
          <w:rFonts w:ascii="Arial" w:hAnsi="Arial" w:cs="Arial"/>
        </w:rPr>
        <w:t>Financial statements from the date of establishment of 15 December 2011 to 30 June 2012 for PTV and its controlled entity Metlink Victoria Pty Ltd (Metlink) were included in the former Department of Transport’s composite report for 2011-12.  Metlink was subsequently deregistered on 26 August 2012.</w:t>
      </w:r>
    </w:p>
    <w:p w:rsidR="004946A6" w:rsidRDefault="004946A6" w:rsidP="00E246FA">
      <w:pPr>
        <w:rPr>
          <w:rFonts w:ascii="Arial" w:hAnsi="Arial" w:cs="Arial"/>
          <w:b/>
        </w:rPr>
      </w:pPr>
    </w:p>
    <w:p w:rsidR="004946A6" w:rsidRPr="00870A1B" w:rsidRDefault="004946A6" w:rsidP="00ED42C3">
      <w:pPr>
        <w:pStyle w:val="Heading20"/>
      </w:pPr>
      <w:r w:rsidRPr="00870A1B">
        <w:t>Financial Result</w:t>
      </w:r>
    </w:p>
    <w:p w:rsidR="004946A6" w:rsidRPr="00570960" w:rsidRDefault="004946A6" w:rsidP="00E246FA">
      <w:pPr>
        <w:rPr>
          <w:rFonts w:ascii="Arial" w:hAnsi="Arial" w:cs="Arial"/>
        </w:rPr>
      </w:pPr>
    </w:p>
    <w:p w:rsidR="00570960" w:rsidRDefault="00570960" w:rsidP="00570960">
      <w:pPr>
        <w:rPr>
          <w:rFonts w:ascii="Arial" w:hAnsi="Arial" w:cs="Arial"/>
        </w:rPr>
      </w:pPr>
      <w:r w:rsidRPr="00570960">
        <w:rPr>
          <w:rFonts w:ascii="Arial" w:hAnsi="Arial" w:cs="Arial"/>
        </w:rPr>
        <w:t>The 2012 – 13 net result was a deficit</w:t>
      </w:r>
      <w:r>
        <w:rPr>
          <w:rFonts w:ascii="Arial" w:hAnsi="Arial" w:cs="Arial"/>
        </w:rPr>
        <w:t xml:space="preserve"> </w:t>
      </w:r>
      <w:r w:rsidRPr="00570960">
        <w:rPr>
          <w:rFonts w:ascii="Arial" w:hAnsi="Arial" w:cs="Arial"/>
        </w:rPr>
        <w:t>of $1.0 million compared with a surplus</w:t>
      </w:r>
      <w:r>
        <w:rPr>
          <w:rFonts w:ascii="Arial" w:hAnsi="Arial" w:cs="Arial"/>
        </w:rPr>
        <w:t xml:space="preserve"> </w:t>
      </w:r>
      <w:r w:rsidRPr="00570960">
        <w:rPr>
          <w:rFonts w:ascii="Arial" w:hAnsi="Arial" w:cs="Arial"/>
        </w:rPr>
        <w:t>of $115.3 million in 2011 – 12. The surplus</w:t>
      </w:r>
      <w:r>
        <w:rPr>
          <w:rFonts w:ascii="Arial" w:hAnsi="Arial" w:cs="Arial"/>
        </w:rPr>
        <w:t xml:space="preserve"> </w:t>
      </w:r>
      <w:r w:rsidRPr="00570960">
        <w:rPr>
          <w:rFonts w:ascii="Arial" w:hAnsi="Arial" w:cs="Arial"/>
        </w:rPr>
        <w:t>in 2011 – 12 was due primarily to income</w:t>
      </w:r>
      <w:r>
        <w:rPr>
          <w:rFonts w:ascii="Arial" w:hAnsi="Arial" w:cs="Arial"/>
        </w:rPr>
        <w:t xml:space="preserve"> </w:t>
      </w:r>
      <w:r w:rsidRPr="00570960">
        <w:rPr>
          <w:rFonts w:ascii="Arial" w:hAnsi="Arial" w:cs="Arial"/>
        </w:rPr>
        <w:t>of $107.9 million for the accounting treatment</w:t>
      </w:r>
      <w:r>
        <w:rPr>
          <w:rFonts w:ascii="Arial" w:hAnsi="Arial" w:cs="Arial"/>
        </w:rPr>
        <w:t xml:space="preserve"> </w:t>
      </w:r>
      <w:r w:rsidRPr="00570960">
        <w:rPr>
          <w:rFonts w:ascii="Arial" w:hAnsi="Arial" w:cs="Arial"/>
        </w:rPr>
        <w:t>of transfers of assets from the department</w:t>
      </w:r>
      <w:r>
        <w:rPr>
          <w:rFonts w:ascii="Arial" w:hAnsi="Arial" w:cs="Arial"/>
        </w:rPr>
        <w:t xml:space="preserve"> </w:t>
      </w:r>
      <w:r w:rsidRPr="00570960">
        <w:rPr>
          <w:rFonts w:ascii="Arial" w:hAnsi="Arial" w:cs="Arial"/>
        </w:rPr>
        <w:t>treated as revenue that would normally have</w:t>
      </w:r>
      <w:r>
        <w:rPr>
          <w:rFonts w:ascii="Arial" w:hAnsi="Arial" w:cs="Arial"/>
        </w:rPr>
        <w:t xml:space="preserve"> </w:t>
      </w:r>
      <w:r w:rsidRPr="00570960">
        <w:rPr>
          <w:rFonts w:ascii="Arial" w:hAnsi="Arial" w:cs="Arial"/>
        </w:rPr>
        <w:t>been recognised as contributed capital.</w:t>
      </w:r>
    </w:p>
    <w:p w:rsidR="00570960" w:rsidRPr="00570960" w:rsidRDefault="00570960" w:rsidP="00570960">
      <w:pPr>
        <w:rPr>
          <w:rFonts w:ascii="Arial" w:hAnsi="Arial" w:cs="Arial"/>
        </w:rPr>
      </w:pPr>
    </w:p>
    <w:p w:rsidR="00570960" w:rsidRPr="00570960" w:rsidRDefault="00570960" w:rsidP="00570960">
      <w:pPr>
        <w:rPr>
          <w:rFonts w:ascii="Arial" w:hAnsi="Arial" w:cs="Arial"/>
        </w:rPr>
      </w:pPr>
      <w:r w:rsidRPr="00570960">
        <w:rPr>
          <w:rFonts w:ascii="Arial" w:hAnsi="Arial" w:cs="Arial"/>
        </w:rPr>
        <w:t>In 2012 – 13, the net result of $1.0 million</w:t>
      </w:r>
      <w:r>
        <w:rPr>
          <w:rFonts w:ascii="Arial" w:hAnsi="Arial" w:cs="Arial"/>
        </w:rPr>
        <w:t xml:space="preserve"> </w:t>
      </w:r>
      <w:r w:rsidRPr="00570960">
        <w:rPr>
          <w:rFonts w:ascii="Arial" w:hAnsi="Arial" w:cs="Arial"/>
        </w:rPr>
        <w:t>represents the deficit due to unfunded non-cash</w:t>
      </w:r>
      <w:r>
        <w:rPr>
          <w:rFonts w:ascii="Arial" w:hAnsi="Arial" w:cs="Arial"/>
        </w:rPr>
        <w:t xml:space="preserve"> </w:t>
      </w:r>
      <w:r w:rsidRPr="00570960">
        <w:rPr>
          <w:rFonts w:ascii="Arial" w:hAnsi="Arial" w:cs="Arial"/>
        </w:rPr>
        <w:t>items such as depreciation and asset disposals</w:t>
      </w:r>
    </w:p>
    <w:p w:rsidR="00570960" w:rsidRPr="00570960" w:rsidRDefault="00570960" w:rsidP="00570960">
      <w:pPr>
        <w:rPr>
          <w:rFonts w:ascii="Arial" w:hAnsi="Arial" w:cs="Arial"/>
        </w:rPr>
      </w:pPr>
      <w:r w:rsidRPr="00570960">
        <w:rPr>
          <w:rFonts w:ascii="Arial" w:hAnsi="Arial" w:cs="Arial"/>
        </w:rPr>
        <w:t>($30.3 million) offset by income for assets</w:t>
      </w:r>
      <w:r>
        <w:rPr>
          <w:rFonts w:ascii="Arial" w:hAnsi="Arial" w:cs="Arial"/>
        </w:rPr>
        <w:t xml:space="preserve"> </w:t>
      </w:r>
      <w:r w:rsidRPr="00570960">
        <w:rPr>
          <w:rFonts w:ascii="Arial" w:hAnsi="Arial" w:cs="Arial"/>
        </w:rPr>
        <w:t>received free of charge to PTV ($28.4 million).</w:t>
      </w:r>
      <w:r>
        <w:rPr>
          <w:rFonts w:ascii="Arial" w:hAnsi="Arial" w:cs="Arial"/>
        </w:rPr>
        <w:t xml:space="preserve"> </w:t>
      </w:r>
      <w:r w:rsidRPr="00570960">
        <w:rPr>
          <w:rFonts w:ascii="Arial" w:hAnsi="Arial" w:cs="Arial"/>
        </w:rPr>
        <w:t>This is due primarily to recognition as income</w:t>
      </w:r>
      <w:r>
        <w:rPr>
          <w:rFonts w:ascii="Arial" w:hAnsi="Arial" w:cs="Arial"/>
        </w:rPr>
        <w:t xml:space="preserve"> </w:t>
      </w:r>
      <w:r w:rsidRPr="00570960">
        <w:rPr>
          <w:rFonts w:ascii="Arial" w:hAnsi="Arial" w:cs="Arial"/>
        </w:rPr>
        <w:t>of $26.9 million of bus shelters which had not</w:t>
      </w:r>
      <w:r>
        <w:rPr>
          <w:rFonts w:ascii="Arial" w:hAnsi="Arial" w:cs="Arial"/>
        </w:rPr>
        <w:t xml:space="preserve"> </w:t>
      </w:r>
      <w:r w:rsidRPr="00570960">
        <w:rPr>
          <w:rFonts w:ascii="Arial" w:hAnsi="Arial" w:cs="Arial"/>
        </w:rPr>
        <w:t>been included in the asset transfer from the</w:t>
      </w:r>
    </w:p>
    <w:p w:rsidR="00570960" w:rsidRPr="00570960" w:rsidRDefault="00570960" w:rsidP="00570960">
      <w:pPr>
        <w:rPr>
          <w:rFonts w:ascii="Arial" w:hAnsi="Arial" w:cs="Arial"/>
        </w:rPr>
      </w:pPr>
      <w:r w:rsidRPr="00570960">
        <w:rPr>
          <w:rFonts w:ascii="Arial" w:hAnsi="Arial" w:cs="Arial"/>
        </w:rPr>
        <w:t>Department of Transport</w:t>
      </w:r>
      <w:r w:rsidR="00FF4775">
        <w:rPr>
          <w:rFonts w:ascii="Arial" w:hAnsi="Arial" w:cs="Arial"/>
        </w:rPr>
        <w:t xml:space="preserve"> </w:t>
      </w:r>
      <w:r w:rsidRPr="00570960">
        <w:rPr>
          <w:rFonts w:ascii="Arial" w:hAnsi="Arial" w:cs="Arial"/>
        </w:rPr>
        <w:t>to PTV on 2 April 2012</w:t>
      </w:r>
      <w:r>
        <w:rPr>
          <w:rFonts w:ascii="Arial" w:hAnsi="Arial" w:cs="Arial"/>
        </w:rPr>
        <w:t xml:space="preserve"> </w:t>
      </w:r>
      <w:r w:rsidRPr="00570960">
        <w:rPr>
          <w:rFonts w:ascii="Arial" w:hAnsi="Arial" w:cs="Arial"/>
        </w:rPr>
        <w:t>(refer to note 3(b) to the financial statements).</w:t>
      </w:r>
    </w:p>
    <w:p w:rsidR="00570960" w:rsidRPr="00570960" w:rsidRDefault="00570960" w:rsidP="00570960">
      <w:pPr>
        <w:rPr>
          <w:rFonts w:ascii="Arial" w:hAnsi="Arial" w:cs="Arial"/>
        </w:rPr>
      </w:pPr>
    </w:p>
    <w:p w:rsidR="004946A6" w:rsidRPr="00870A1B" w:rsidRDefault="004946A6" w:rsidP="00ED42C3">
      <w:pPr>
        <w:pStyle w:val="Heading20"/>
      </w:pPr>
      <w:r w:rsidRPr="00870A1B">
        <w:t>Machinery of Government changes</w:t>
      </w:r>
    </w:p>
    <w:p w:rsidR="004946A6" w:rsidRPr="00870A1B" w:rsidRDefault="004946A6" w:rsidP="00E246FA">
      <w:pPr>
        <w:rPr>
          <w:rFonts w:ascii="Arial" w:hAnsi="Arial" w:cs="Arial"/>
        </w:rPr>
      </w:pPr>
      <w:r w:rsidRPr="00870A1B">
        <w:rPr>
          <w:rFonts w:ascii="Arial" w:hAnsi="Arial" w:cs="Arial"/>
        </w:rPr>
        <w:t xml:space="preserve">On 1 January 2013 responsibility for the ticketing services contract was transferred from the Transport Ticketing Authority.  Certain work in progress assets were also transferred on that date.  These assets will be transferred on completion to VicTrack as the State’s owner of rail infrastructure assets. </w:t>
      </w:r>
    </w:p>
    <w:p w:rsidR="004946A6" w:rsidRPr="00870A1B" w:rsidRDefault="004946A6" w:rsidP="00E246FA">
      <w:pPr>
        <w:rPr>
          <w:rFonts w:ascii="Arial" w:hAnsi="Arial" w:cs="Arial"/>
          <w:b/>
        </w:rPr>
      </w:pPr>
    </w:p>
    <w:p w:rsidR="004946A6" w:rsidRPr="00870A1B" w:rsidRDefault="004946A6" w:rsidP="00ED42C3">
      <w:pPr>
        <w:pStyle w:val="Heading20"/>
      </w:pPr>
      <w:r w:rsidRPr="00870A1B">
        <w:t>Income</w:t>
      </w:r>
    </w:p>
    <w:p w:rsidR="004946A6" w:rsidRPr="00870A1B" w:rsidRDefault="004946A6" w:rsidP="00E246FA">
      <w:pPr>
        <w:rPr>
          <w:rFonts w:ascii="Arial" w:hAnsi="Arial" w:cs="Arial"/>
        </w:rPr>
      </w:pPr>
      <w:r w:rsidRPr="00870A1B">
        <w:rPr>
          <w:rFonts w:ascii="Arial" w:hAnsi="Arial" w:cs="Arial"/>
        </w:rPr>
        <w:t>PTV</w:t>
      </w:r>
      <w:r w:rsidR="004E18F5">
        <w:rPr>
          <w:rFonts w:ascii="Arial" w:hAnsi="Arial" w:cs="Arial"/>
        </w:rPr>
        <w:t>’</w:t>
      </w:r>
      <w:r w:rsidRPr="00870A1B">
        <w:rPr>
          <w:rFonts w:ascii="Arial" w:hAnsi="Arial" w:cs="Arial"/>
        </w:rPr>
        <w:t>s income is primarily sourced from government grants with minor revenue items</w:t>
      </w:r>
      <w:r w:rsidR="004E18F5">
        <w:rPr>
          <w:rFonts w:ascii="Arial" w:hAnsi="Arial" w:cs="Arial"/>
        </w:rPr>
        <w:t>,</w:t>
      </w:r>
      <w:r w:rsidRPr="00870A1B">
        <w:rPr>
          <w:rFonts w:ascii="Arial" w:hAnsi="Arial" w:cs="Arial"/>
        </w:rPr>
        <w:t xml:space="preserve"> myki card sales and contributions from the operators for marketing and communications.</w:t>
      </w:r>
    </w:p>
    <w:p w:rsidR="004946A6" w:rsidRPr="00870A1B" w:rsidRDefault="004946A6" w:rsidP="00E246FA">
      <w:pPr>
        <w:rPr>
          <w:rFonts w:ascii="Arial" w:hAnsi="Arial" w:cs="Arial"/>
          <w:b/>
        </w:rPr>
      </w:pPr>
    </w:p>
    <w:p w:rsidR="004946A6" w:rsidRPr="00870A1B" w:rsidRDefault="004946A6" w:rsidP="00ED42C3">
      <w:pPr>
        <w:pStyle w:val="Heading20"/>
      </w:pPr>
      <w:r w:rsidRPr="00870A1B">
        <w:t>Expenses</w:t>
      </w:r>
    </w:p>
    <w:p w:rsidR="004946A6" w:rsidRPr="00870A1B" w:rsidRDefault="004946A6" w:rsidP="00E246FA">
      <w:pPr>
        <w:rPr>
          <w:rFonts w:ascii="Arial" w:hAnsi="Arial" w:cs="Arial"/>
        </w:rPr>
      </w:pPr>
      <w:r w:rsidRPr="00870A1B">
        <w:rPr>
          <w:rFonts w:ascii="Arial" w:hAnsi="Arial" w:cs="Arial"/>
        </w:rPr>
        <w:t xml:space="preserve">PTV’s total operating expenses in 2012-13 </w:t>
      </w:r>
      <w:r w:rsidR="004E18F5">
        <w:rPr>
          <w:rFonts w:ascii="Arial" w:hAnsi="Arial" w:cs="Arial"/>
        </w:rPr>
        <w:t>were</w:t>
      </w:r>
      <w:r w:rsidR="004E18F5" w:rsidRPr="00870A1B">
        <w:rPr>
          <w:rFonts w:ascii="Arial" w:hAnsi="Arial" w:cs="Arial"/>
        </w:rPr>
        <w:t xml:space="preserve"> </w:t>
      </w:r>
      <w:r w:rsidRPr="00870A1B">
        <w:rPr>
          <w:rFonts w:ascii="Arial" w:hAnsi="Arial" w:cs="Arial"/>
        </w:rPr>
        <w:t>$4.2 billion.  The majority of PTV’s expenditure was for payments to transport service providers including $1.6 billion for rail system operations and services, $1.4 billion for the Government’s capital assets charge for rail infrastructure, and $0.9 billion for bus services.  Additionally, costs of ticketing services of $0.05 billion were included since the transfer of the ticketing service contract from Transport Ticketing Authority to PTV on 1 January 2013.</w:t>
      </w:r>
    </w:p>
    <w:p w:rsidR="004946A6" w:rsidRPr="00870A1B" w:rsidRDefault="00AD22A8" w:rsidP="004946A6">
      <w:pPr>
        <w:spacing w:before="120" w:after="120"/>
        <w:jc w:val="center"/>
        <w:rPr>
          <w:rFonts w:ascii="Arial" w:hAnsi="Arial" w:cs="Arial"/>
          <w:b/>
        </w:rPr>
      </w:pPr>
      <w:r w:rsidRPr="00AD22A8">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alt="Title: Payments for Public Transport Services" style="width:321.75pt;height:188.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">
            <v:imagedata r:id="rId8" o:title="" cropbottom="-35f" cropright="-31f"/>
            <o:lock v:ext="edit" aspectratio="f"/>
          </v:shape>
        </w:pict>
      </w:r>
    </w:p>
    <w:p w:rsidR="004946A6" w:rsidRPr="00870A1B" w:rsidRDefault="004946A6" w:rsidP="00ED42C3">
      <w:pPr>
        <w:pStyle w:val="Heading20"/>
      </w:pPr>
      <w:r w:rsidRPr="00870A1B">
        <w:t>Capital expenditure</w:t>
      </w:r>
    </w:p>
    <w:p w:rsidR="004946A6" w:rsidRDefault="004946A6" w:rsidP="00E246FA">
      <w:pPr>
        <w:rPr>
          <w:rFonts w:ascii="Arial" w:hAnsi="Arial" w:cs="Arial"/>
        </w:rPr>
      </w:pPr>
      <w:r w:rsidRPr="00870A1B">
        <w:rPr>
          <w:rFonts w:ascii="Arial" w:hAnsi="Arial" w:cs="Arial"/>
        </w:rPr>
        <w:t xml:space="preserve">PTV’s capital expenditure for 2012-13 was approximately $0.5 billion on major projects such as completion of the </w:t>
      </w:r>
      <w:r w:rsidR="004D50CD">
        <w:rPr>
          <w:rFonts w:ascii="Arial" w:hAnsi="Arial" w:cs="Arial"/>
        </w:rPr>
        <w:t>Hurstbridge Line Upgrade</w:t>
      </w:r>
      <w:r w:rsidRPr="00870A1B">
        <w:rPr>
          <w:rFonts w:ascii="Arial" w:hAnsi="Arial" w:cs="Arial"/>
        </w:rPr>
        <w:t xml:space="preserve"> and Sunbury Electrification </w:t>
      </w:r>
      <w:r w:rsidR="00A2257C">
        <w:rPr>
          <w:rFonts w:ascii="Arial" w:hAnsi="Arial" w:cs="Arial"/>
        </w:rPr>
        <w:t>P</w:t>
      </w:r>
      <w:r w:rsidRPr="00870A1B">
        <w:rPr>
          <w:rFonts w:ascii="Arial" w:hAnsi="Arial" w:cs="Arial"/>
        </w:rPr>
        <w:t xml:space="preserve">roject, growth area stations at Cardinia, Lynbrook and Williams Landing, facilities for Protective Services Officers at train stations, and a significant investment in renewing the State’s rail infrastructure.  It also included the procurement of new train and tram rolling stock such as the seven new X’Trapolis trains, the 50 new low floor, high capacity trams and the purchase of the </w:t>
      </w:r>
      <w:r w:rsidR="00A2257C">
        <w:rPr>
          <w:rFonts w:ascii="Arial" w:hAnsi="Arial" w:cs="Arial"/>
        </w:rPr>
        <w:t>C</w:t>
      </w:r>
      <w:r w:rsidR="0068454A">
        <w:rPr>
          <w:rFonts w:ascii="Arial" w:hAnsi="Arial" w:cs="Arial"/>
        </w:rPr>
        <w:t xml:space="preserve">itadis C2 trams. </w:t>
      </w:r>
    </w:p>
    <w:p w:rsidR="00E246FA" w:rsidRPr="00870A1B" w:rsidRDefault="00E246FA" w:rsidP="00E246FA">
      <w:pPr>
        <w:rPr>
          <w:rFonts w:ascii="Arial" w:hAnsi="Arial" w:cs="Arial"/>
        </w:rPr>
      </w:pPr>
    </w:p>
    <w:p w:rsidR="004946A6" w:rsidRPr="00870A1B" w:rsidRDefault="004946A6" w:rsidP="00E246FA">
      <w:pPr>
        <w:rPr>
          <w:rFonts w:ascii="Arial" w:hAnsi="Arial" w:cs="Arial"/>
        </w:rPr>
      </w:pPr>
      <w:r w:rsidRPr="00870A1B">
        <w:rPr>
          <w:rFonts w:ascii="Arial" w:hAnsi="Arial" w:cs="Arial"/>
        </w:rPr>
        <w:t>Rail assets created by PTV’s capital expenditure are transferred by way of equity (refer to note 2(b) to the financial statements) to VicTrack as the entity responsible for reporting the State’s transport infrastructure network.  As such these assets are not included in the assets figure in the table below.</w:t>
      </w:r>
    </w:p>
    <w:p w:rsidR="00673C6D" w:rsidRDefault="00673C6D">
      <w:pPr>
        <w:rPr>
          <w:rFonts w:ascii="Arial" w:hAnsi="Arial" w:cs="Arial"/>
          <w:b/>
        </w:rPr>
      </w:pPr>
      <w:r>
        <w:rPr>
          <w:rFonts w:ascii="Arial" w:hAnsi="Arial" w:cs="Arial"/>
          <w:b/>
        </w:rPr>
        <w:br w:type="page"/>
      </w:r>
    </w:p>
    <w:p w:rsidR="004946A6" w:rsidRPr="00870A1B" w:rsidRDefault="004946A6" w:rsidP="00ED42C3">
      <w:pPr>
        <w:pStyle w:val="Heading20"/>
      </w:pPr>
      <w:r w:rsidRPr="00870A1B">
        <w:t>Financial Summary</w:t>
      </w:r>
    </w:p>
    <w:p w:rsidR="004946A6" w:rsidRDefault="004946A6" w:rsidP="00E246FA">
      <w:pPr>
        <w:rPr>
          <w:rFonts w:ascii="Arial" w:hAnsi="Arial" w:cs="Arial"/>
        </w:rPr>
      </w:pPr>
      <w:r w:rsidRPr="00870A1B">
        <w:rPr>
          <w:rFonts w:ascii="Arial" w:hAnsi="Arial" w:cs="Arial"/>
        </w:rPr>
        <w:t xml:space="preserve">The financial statements presented later in this report are prepared in accordance with the </w:t>
      </w:r>
      <w:r w:rsidRPr="00870A1B">
        <w:rPr>
          <w:rFonts w:ascii="Arial" w:hAnsi="Arial" w:cs="Arial"/>
          <w:i/>
        </w:rPr>
        <w:t>Financial Management Act 1994</w:t>
      </w:r>
      <w:r w:rsidRPr="00870A1B">
        <w:rPr>
          <w:rFonts w:ascii="Arial" w:hAnsi="Arial" w:cs="Arial"/>
        </w:rPr>
        <w:t xml:space="preserve"> and applicable Australian accounting standards.</w:t>
      </w:r>
    </w:p>
    <w:p w:rsidR="00E246FA" w:rsidRPr="00870A1B" w:rsidRDefault="00E246FA" w:rsidP="00E246FA">
      <w:pPr>
        <w:rPr>
          <w:rFonts w:ascii="Arial" w:hAnsi="Arial" w:cs="Arial"/>
        </w:rPr>
      </w:pPr>
    </w:p>
    <w:p w:rsidR="004946A6" w:rsidRPr="00870A1B" w:rsidRDefault="004946A6" w:rsidP="00E246FA">
      <w:pPr>
        <w:rPr>
          <w:rFonts w:ascii="Arial" w:hAnsi="Arial" w:cs="Arial"/>
        </w:rPr>
      </w:pPr>
      <w:r w:rsidRPr="00870A1B">
        <w:rPr>
          <w:rFonts w:ascii="Arial" w:hAnsi="Arial" w:cs="Arial"/>
        </w:rPr>
        <w:t>The table below shows the financial results for the financial year 2012-13 and the period from 15 December 2011(date of establishment) to 30 June 2012.</w:t>
      </w:r>
    </w:p>
    <w:p w:rsidR="004946A6" w:rsidRPr="00870A1B" w:rsidRDefault="004946A6" w:rsidP="004946A6">
      <w:pPr>
        <w:spacing w:before="120" w:after="120"/>
        <w:rPr>
          <w:rFonts w:ascii="Arial" w:hAnsi="Arial" w:cs="Arial"/>
        </w:rPr>
      </w:pP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75"/>
        <w:gridCol w:w="891"/>
        <w:gridCol w:w="850"/>
      </w:tblGrid>
      <w:tr w:rsidR="004946A6" w:rsidRPr="00ED7062" w:rsidTr="00A2257C">
        <w:trPr>
          <w:tblHeader/>
        </w:trPr>
        <w:tc>
          <w:tcPr>
            <w:tcW w:w="0" w:type="auto"/>
            <w:shd w:val="clear" w:color="auto" w:fill="auto"/>
            <w:tcMar>
              <w:top w:w="80" w:type="dxa"/>
              <w:left w:w="113" w:type="dxa"/>
              <w:bottom w:w="80" w:type="dxa"/>
              <w:right w:w="113" w:type="dxa"/>
            </w:tcMar>
            <w:vAlign w:val="center"/>
          </w:tcPr>
          <w:p w:rsidR="004946A6" w:rsidRPr="00ED7062" w:rsidRDefault="004946A6" w:rsidP="00A2257C">
            <w:pPr>
              <w:pStyle w:val="TableHeading"/>
              <w:spacing w:before="0" w:after="0"/>
              <w:jc w:val="left"/>
            </w:pPr>
          </w:p>
        </w:tc>
        <w:tc>
          <w:tcPr>
            <w:tcW w:w="891" w:type="dxa"/>
            <w:shd w:val="clear" w:color="auto" w:fill="F2F2F2"/>
            <w:tcMar>
              <w:top w:w="80" w:type="dxa"/>
              <w:left w:w="113" w:type="dxa"/>
              <w:bottom w:w="80" w:type="dxa"/>
              <w:right w:w="113" w:type="dxa"/>
            </w:tcMar>
          </w:tcPr>
          <w:p w:rsidR="004946A6" w:rsidRPr="00ED7062" w:rsidRDefault="004946A6" w:rsidP="00A2257C">
            <w:pPr>
              <w:pStyle w:val="TableHeading"/>
              <w:spacing w:before="0" w:after="0"/>
              <w:jc w:val="center"/>
            </w:pPr>
            <w:r w:rsidRPr="00ED7062">
              <w:t>201</w:t>
            </w:r>
            <w:r>
              <w:t>3</w:t>
            </w:r>
          </w:p>
          <w:p w:rsidR="004946A6" w:rsidRPr="00ED7062" w:rsidRDefault="004946A6" w:rsidP="00A2257C">
            <w:pPr>
              <w:pStyle w:val="TableHeading"/>
              <w:spacing w:before="0" w:after="0"/>
              <w:jc w:val="center"/>
            </w:pPr>
            <w:r w:rsidRPr="00ED7062">
              <w:t>$M</w:t>
            </w:r>
          </w:p>
        </w:tc>
        <w:tc>
          <w:tcPr>
            <w:tcW w:w="850" w:type="dxa"/>
          </w:tcPr>
          <w:p w:rsidR="004946A6" w:rsidRPr="00ED7062" w:rsidRDefault="004946A6" w:rsidP="00A2257C">
            <w:pPr>
              <w:pStyle w:val="TableHeading"/>
              <w:spacing w:before="0" w:after="0"/>
              <w:jc w:val="center"/>
            </w:pPr>
            <w:r w:rsidRPr="00ED7062">
              <w:t>2012</w:t>
            </w:r>
          </w:p>
          <w:p w:rsidR="004946A6" w:rsidRPr="00ED7062" w:rsidRDefault="004946A6" w:rsidP="00A2257C">
            <w:pPr>
              <w:pStyle w:val="TableHeading"/>
              <w:spacing w:before="0" w:after="0"/>
              <w:jc w:val="center"/>
            </w:pPr>
            <w:r w:rsidRPr="00ED7062">
              <w:t>Group* $M</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4E18F5" w:rsidRDefault="004946A6" w:rsidP="00A2257C">
            <w:pPr>
              <w:pStyle w:val="Tablecopy"/>
            </w:pPr>
            <w:r w:rsidRPr="004E18F5">
              <w:t>Grant from Government</w:t>
            </w:r>
          </w:p>
        </w:tc>
        <w:tc>
          <w:tcPr>
            <w:tcW w:w="891" w:type="dxa"/>
            <w:shd w:val="clear" w:color="auto" w:fill="F2F2F2"/>
            <w:tcMar>
              <w:top w:w="80" w:type="dxa"/>
              <w:left w:w="113" w:type="dxa"/>
              <w:bottom w:w="80" w:type="dxa"/>
              <w:right w:w="113" w:type="dxa"/>
            </w:tcMar>
            <w:vAlign w:val="center"/>
          </w:tcPr>
          <w:p w:rsidR="004946A6" w:rsidRPr="007D3888" w:rsidRDefault="004946A6" w:rsidP="00A2257C">
            <w:pPr>
              <w:pStyle w:val="TableHeading"/>
              <w:spacing w:before="0" w:after="0"/>
              <w:rPr>
                <w:b w:val="0"/>
              </w:rPr>
            </w:pPr>
            <w:r w:rsidRPr="007D3888">
              <w:rPr>
                <w:b w:val="0"/>
              </w:rPr>
              <w:t>4,177.8</w:t>
            </w:r>
          </w:p>
        </w:tc>
        <w:tc>
          <w:tcPr>
            <w:tcW w:w="850" w:type="dxa"/>
            <w:vAlign w:val="center"/>
          </w:tcPr>
          <w:p w:rsidR="004946A6" w:rsidRPr="007D3888" w:rsidRDefault="004946A6" w:rsidP="00A2257C">
            <w:pPr>
              <w:pStyle w:val="TableHeading"/>
              <w:spacing w:before="0" w:after="0"/>
              <w:rPr>
                <w:b w:val="0"/>
              </w:rPr>
            </w:pPr>
            <w:r w:rsidRPr="007D3888">
              <w:rPr>
                <w:b w:val="0"/>
              </w:rPr>
              <w:t>999.0</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7D3888" w:rsidRDefault="004946A6" w:rsidP="00A2257C">
            <w:pPr>
              <w:pStyle w:val="TableHeading"/>
              <w:spacing w:before="0" w:after="0"/>
              <w:jc w:val="left"/>
              <w:rPr>
                <w:b w:val="0"/>
              </w:rPr>
            </w:pPr>
            <w:r w:rsidRPr="007D3888">
              <w:rPr>
                <w:b w:val="0"/>
              </w:rPr>
              <w:t>Total income from transactions</w:t>
            </w:r>
          </w:p>
        </w:tc>
        <w:tc>
          <w:tcPr>
            <w:tcW w:w="891" w:type="dxa"/>
            <w:shd w:val="clear" w:color="auto" w:fill="F2F2F2"/>
            <w:tcMar>
              <w:top w:w="80" w:type="dxa"/>
              <w:left w:w="113" w:type="dxa"/>
              <w:bottom w:w="80" w:type="dxa"/>
              <w:right w:w="113" w:type="dxa"/>
            </w:tcMar>
            <w:vAlign w:val="center"/>
          </w:tcPr>
          <w:p w:rsidR="004946A6" w:rsidRPr="007D3888" w:rsidRDefault="004946A6" w:rsidP="00A2257C">
            <w:pPr>
              <w:pStyle w:val="TableHeading"/>
              <w:spacing w:before="0" w:after="0"/>
              <w:rPr>
                <w:b w:val="0"/>
              </w:rPr>
            </w:pPr>
            <w:r w:rsidRPr="007D3888">
              <w:rPr>
                <w:b w:val="0"/>
              </w:rPr>
              <w:t>4,227.0</w:t>
            </w:r>
          </w:p>
        </w:tc>
        <w:tc>
          <w:tcPr>
            <w:tcW w:w="850" w:type="dxa"/>
            <w:vAlign w:val="center"/>
          </w:tcPr>
          <w:p w:rsidR="004946A6" w:rsidRPr="007D3888" w:rsidRDefault="004946A6" w:rsidP="00A2257C">
            <w:pPr>
              <w:pStyle w:val="TableHeading"/>
              <w:spacing w:before="0" w:after="0"/>
              <w:rPr>
                <w:b w:val="0"/>
              </w:rPr>
            </w:pPr>
            <w:r w:rsidRPr="007D3888">
              <w:rPr>
                <w:b w:val="0"/>
              </w:rPr>
              <w:t>1,111.3</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7D3888" w:rsidRDefault="004946A6" w:rsidP="00A2257C">
            <w:pPr>
              <w:pStyle w:val="TableHeading"/>
              <w:spacing w:before="0" w:after="0"/>
              <w:jc w:val="left"/>
              <w:rPr>
                <w:b w:val="0"/>
              </w:rPr>
            </w:pPr>
            <w:r w:rsidRPr="007D3888">
              <w:rPr>
                <w:b w:val="0"/>
              </w:rPr>
              <w:t>Total expenses from transactions</w:t>
            </w:r>
          </w:p>
        </w:tc>
        <w:tc>
          <w:tcPr>
            <w:tcW w:w="891" w:type="dxa"/>
            <w:shd w:val="clear" w:color="auto" w:fill="F2F2F2"/>
            <w:tcMar>
              <w:top w:w="80" w:type="dxa"/>
              <w:left w:w="113" w:type="dxa"/>
              <w:bottom w:w="80" w:type="dxa"/>
              <w:right w:w="113" w:type="dxa"/>
            </w:tcMar>
            <w:vAlign w:val="center"/>
          </w:tcPr>
          <w:p w:rsidR="004946A6" w:rsidRPr="007D3888" w:rsidRDefault="004946A6" w:rsidP="00A2257C">
            <w:pPr>
              <w:pStyle w:val="TableHeading"/>
              <w:spacing w:before="0" w:after="0"/>
              <w:rPr>
                <w:b w:val="0"/>
              </w:rPr>
            </w:pPr>
            <w:r w:rsidRPr="007D3888">
              <w:rPr>
                <w:b w:val="0"/>
              </w:rPr>
              <w:t>(4,228.0)</w:t>
            </w:r>
          </w:p>
        </w:tc>
        <w:tc>
          <w:tcPr>
            <w:tcW w:w="850" w:type="dxa"/>
            <w:vAlign w:val="center"/>
          </w:tcPr>
          <w:p w:rsidR="004946A6" w:rsidRPr="007D3888" w:rsidRDefault="004946A6" w:rsidP="00A2257C">
            <w:pPr>
              <w:pStyle w:val="TableHeading"/>
              <w:spacing w:before="0" w:after="0"/>
              <w:rPr>
                <w:b w:val="0"/>
              </w:rPr>
            </w:pPr>
            <w:r w:rsidRPr="007D3888">
              <w:rPr>
                <w:b w:val="0"/>
              </w:rPr>
              <w:t>(996.0)</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7D3888" w:rsidRDefault="004946A6" w:rsidP="00A2257C">
            <w:pPr>
              <w:pStyle w:val="TableHeading"/>
              <w:spacing w:before="0" w:after="0"/>
              <w:jc w:val="left"/>
              <w:rPr>
                <w:b w:val="0"/>
              </w:rPr>
            </w:pPr>
            <w:r w:rsidRPr="007D3888">
              <w:rPr>
                <w:b w:val="0"/>
              </w:rPr>
              <w:t>Net result from transactions</w:t>
            </w:r>
          </w:p>
        </w:tc>
        <w:tc>
          <w:tcPr>
            <w:tcW w:w="891" w:type="dxa"/>
            <w:shd w:val="clear" w:color="auto" w:fill="F2F2F2"/>
            <w:tcMar>
              <w:top w:w="80" w:type="dxa"/>
              <w:left w:w="113" w:type="dxa"/>
              <w:bottom w:w="80" w:type="dxa"/>
              <w:right w:w="113" w:type="dxa"/>
            </w:tcMar>
          </w:tcPr>
          <w:p w:rsidR="004946A6" w:rsidRPr="007D3888" w:rsidRDefault="004946A6" w:rsidP="00A2257C">
            <w:pPr>
              <w:pStyle w:val="TableHeading"/>
              <w:spacing w:before="0" w:after="0"/>
              <w:rPr>
                <w:b w:val="0"/>
              </w:rPr>
            </w:pPr>
            <w:r w:rsidRPr="007D3888">
              <w:rPr>
                <w:b w:val="0"/>
              </w:rPr>
              <w:t>(0.9)</w:t>
            </w:r>
          </w:p>
        </w:tc>
        <w:tc>
          <w:tcPr>
            <w:tcW w:w="850" w:type="dxa"/>
          </w:tcPr>
          <w:p w:rsidR="004946A6" w:rsidRPr="007D3888" w:rsidRDefault="004946A6" w:rsidP="00A2257C">
            <w:pPr>
              <w:pStyle w:val="TableHeading"/>
              <w:spacing w:before="0" w:after="0"/>
              <w:rPr>
                <w:b w:val="0"/>
              </w:rPr>
            </w:pPr>
            <w:r w:rsidRPr="007D3888">
              <w:rPr>
                <w:b w:val="0"/>
              </w:rPr>
              <w:t>115.3</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4E18F5" w:rsidRDefault="004946A6" w:rsidP="00A2257C">
            <w:pPr>
              <w:pStyle w:val="Tablecopy"/>
            </w:pPr>
            <w:r w:rsidRPr="004E18F5">
              <w:t>Total other economic flows included in net results</w:t>
            </w:r>
          </w:p>
        </w:tc>
        <w:tc>
          <w:tcPr>
            <w:tcW w:w="891" w:type="dxa"/>
            <w:shd w:val="clear" w:color="auto" w:fill="F2F2F2"/>
            <w:tcMar>
              <w:top w:w="80" w:type="dxa"/>
              <w:left w:w="113" w:type="dxa"/>
              <w:bottom w:w="80" w:type="dxa"/>
              <w:right w:w="113" w:type="dxa"/>
            </w:tcMar>
            <w:vAlign w:val="center"/>
          </w:tcPr>
          <w:p w:rsidR="004946A6" w:rsidRPr="007D3888" w:rsidRDefault="004946A6" w:rsidP="00A2257C">
            <w:pPr>
              <w:pStyle w:val="TableHeading"/>
              <w:spacing w:before="0" w:after="0"/>
              <w:rPr>
                <w:b w:val="0"/>
              </w:rPr>
            </w:pPr>
            <w:r w:rsidRPr="007D3888">
              <w:rPr>
                <w:b w:val="0"/>
              </w:rPr>
              <w:t>(1.1)</w:t>
            </w:r>
          </w:p>
        </w:tc>
        <w:tc>
          <w:tcPr>
            <w:tcW w:w="850" w:type="dxa"/>
            <w:vAlign w:val="center"/>
          </w:tcPr>
          <w:p w:rsidR="004946A6" w:rsidRPr="007D3888" w:rsidRDefault="004946A6" w:rsidP="00A2257C">
            <w:pPr>
              <w:pStyle w:val="TableHeading"/>
              <w:spacing w:before="0" w:after="0"/>
              <w:rPr>
                <w:b w:val="0"/>
              </w:rPr>
            </w:pPr>
            <w:r w:rsidRPr="007D3888">
              <w:rPr>
                <w:b w:val="0"/>
              </w:rPr>
              <w:t>-</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7D3888" w:rsidRDefault="004946A6" w:rsidP="00A2257C">
            <w:pPr>
              <w:pStyle w:val="TableHeading"/>
              <w:spacing w:before="0" w:after="0"/>
              <w:jc w:val="left"/>
              <w:rPr>
                <w:b w:val="0"/>
              </w:rPr>
            </w:pPr>
            <w:r w:rsidRPr="007D3888">
              <w:rPr>
                <w:b w:val="0"/>
              </w:rPr>
              <w:t>Net results</w:t>
            </w:r>
          </w:p>
        </w:tc>
        <w:tc>
          <w:tcPr>
            <w:tcW w:w="891" w:type="dxa"/>
            <w:shd w:val="clear" w:color="auto" w:fill="F2F2F2"/>
            <w:tcMar>
              <w:top w:w="80" w:type="dxa"/>
              <w:left w:w="113" w:type="dxa"/>
              <w:bottom w:w="80" w:type="dxa"/>
              <w:right w:w="113" w:type="dxa"/>
            </w:tcMar>
            <w:vAlign w:val="center"/>
          </w:tcPr>
          <w:p w:rsidR="004946A6" w:rsidRPr="007D3888" w:rsidRDefault="004946A6" w:rsidP="00A2257C">
            <w:pPr>
              <w:pStyle w:val="TableHeading"/>
              <w:spacing w:before="0" w:after="0"/>
              <w:rPr>
                <w:b w:val="0"/>
              </w:rPr>
            </w:pPr>
            <w:r w:rsidRPr="007D3888">
              <w:rPr>
                <w:b w:val="0"/>
              </w:rPr>
              <w:t>(2.0)</w:t>
            </w:r>
          </w:p>
        </w:tc>
        <w:tc>
          <w:tcPr>
            <w:tcW w:w="850" w:type="dxa"/>
            <w:vAlign w:val="center"/>
          </w:tcPr>
          <w:p w:rsidR="004946A6" w:rsidRPr="007D3888" w:rsidRDefault="004946A6" w:rsidP="00A2257C">
            <w:pPr>
              <w:pStyle w:val="TableHeading"/>
              <w:spacing w:before="0" w:after="0"/>
              <w:rPr>
                <w:b w:val="0"/>
              </w:rPr>
            </w:pPr>
            <w:r w:rsidRPr="007D3888">
              <w:rPr>
                <w:b w:val="0"/>
              </w:rPr>
              <w:t>115.3</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7D3888" w:rsidRDefault="004946A6" w:rsidP="00A2257C">
            <w:pPr>
              <w:pStyle w:val="TableHeading"/>
              <w:spacing w:before="0" w:after="0"/>
              <w:jc w:val="left"/>
              <w:rPr>
                <w:b w:val="0"/>
              </w:rPr>
            </w:pPr>
            <w:r w:rsidRPr="007D3888">
              <w:rPr>
                <w:b w:val="0"/>
              </w:rPr>
              <w:t>Net cash flows from/(used in) operating activities</w:t>
            </w:r>
          </w:p>
        </w:tc>
        <w:tc>
          <w:tcPr>
            <w:tcW w:w="891" w:type="dxa"/>
            <w:shd w:val="clear" w:color="auto" w:fill="F2F2F2"/>
            <w:tcMar>
              <w:top w:w="80" w:type="dxa"/>
              <w:left w:w="113" w:type="dxa"/>
              <w:bottom w:w="80" w:type="dxa"/>
              <w:right w:w="113" w:type="dxa"/>
            </w:tcMar>
            <w:vAlign w:val="center"/>
          </w:tcPr>
          <w:p w:rsidR="004946A6" w:rsidRPr="007D3888" w:rsidRDefault="004946A6" w:rsidP="00A2257C">
            <w:pPr>
              <w:pStyle w:val="TableHeading"/>
              <w:spacing w:before="0" w:after="0"/>
              <w:rPr>
                <w:b w:val="0"/>
              </w:rPr>
            </w:pPr>
            <w:r w:rsidRPr="007D3888">
              <w:rPr>
                <w:b w:val="0"/>
              </w:rPr>
              <w:t>86.9</w:t>
            </w:r>
          </w:p>
        </w:tc>
        <w:tc>
          <w:tcPr>
            <w:tcW w:w="850" w:type="dxa"/>
            <w:vAlign w:val="center"/>
          </w:tcPr>
          <w:p w:rsidR="004946A6" w:rsidRPr="007D3888" w:rsidRDefault="004946A6" w:rsidP="00A2257C">
            <w:pPr>
              <w:pStyle w:val="TableHeading"/>
              <w:spacing w:before="0" w:after="0"/>
              <w:rPr>
                <w:b w:val="0"/>
              </w:rPr>
            </w:pPr>
            <w:r w:rsidRPr="007D3888">
              <w:rPr>
                <w:b w:val="0"/>
              </w:rPr>
              <w:t>16.9</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7D3888" w:rsidRDefault="004946A6" w:rsidP="00A2257C">
            <w:pPr>
              <w:pStyle w:val="TableHeading"/>
              <w:spacing w:before="0" w:after="0"/>
              <w:jc w:val="left"/>
              <w:rPr>
                <w:b w:val="0"/>
              </w:rPr>
            </w:pPr>
            <w:r w:rsidRPr="007D3888">
              <w:rPr>
                <w:b w:val="0"/>
              </w:rPr>
              <w:t>Total assets</w:t>
            </w:r>
          </w:p>
        </w:tc>
        <w:tc>
          <w:tcPr>
            <w:tcW w:w="891" w:type="dxa"/>
            <w:shd w:val="clear" w:color="auto" w:fill="F2F2F2"/>
            <w:tcMar>
              <w:top w:w="80" w:type="dxa"/>
              <w:left w:w="113" w:type="dxa"/>
              <w:bottom w:w="80" w:type="dxa"/>
              <w:right w:w="113" w:type="dxa"/>
            </w:tcMar>
            <w:vAlign w:val="center"/>
          </w:tcPr>
          <w:p w:rsidR="004946A6" w:rsidRPr="007D3888" w:rsidRDefault="004946A6" w:rsidP="00A2257C">
            <w:pPr>
              <w:pStyle w:val="TableHeading"/>
              <w:spacing w:before="0" w:after="0"/>
              <w:rPr>
                <w:b w:val="0"/>
              </w:rPr>
            </w:pPr>
            <w:r w:rsidRPr="007D3888">
              <w:rPr>
                <w:b w:val="0"/>
              </w:rPr>
              <w:t>1,883.7</w:t>
            </w:r>
          </w:p>
        </w:tc>
        <w:tc>
          <w:tcPr>
            <w:tcW w:w="850" w:type="dxa"/>
            <w:vAlign w:val="center"/>
          </w:tcPr>
          <w:p w:rsidR="004946A6" w:rsidRPr="007D3888" w:rsidRDefault="004946A6" w:rsidP="00A2257C">
            <w:pPr>
              <w:pStyle w:val="TableHeading"/>
              <w:spacing w:before="0" w:after="0"/>
              <w:rPr>
                <w:b w:val="0"/>
              </w:rPr>
            </w:pPr>
            <w:r w:rsidRPr="007D3888">
              <w:rPr>
                <w:b w:val="0"/>
              </w:rPr>
              <w:t>1,615.4</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7D3888" w:rsidRDefault="004946A6" w:rsidP="00A2257C">
            <w:pPr>
              <w:pStyle w:val="TableHeading"/>
              <w:spacing w:before="0" w:after="0"/>
              <w:jc w:val="left"/>
              <w:rPr>
                <w:b w:val="0"/>
              </w:rPr>
            </w:pPr>
            <w:r w:rsidRPr="007D3888">
              <w:rPr>
                <w:b w:val="0"/>
              </w:rPr>
              <w:t>Total liabilities</w:t>
            </w:r>
          </w:p>
        </w:tc>
        <w:tc>
          <w:tcPr>
            <w:tcW w:w="891" w:type="dxa"/>
            <w:shd w:val="clear" w:color="auto" w:fill="F2F2F2"/>
            <w:tcMar>
              <w:top w:w="80" w:type="dxa"/>
              <w:left w:w="113" w:type="dxa"/>
              <w:bottom w:w="80" w:type="dxa"/>
              <w:right w:w="113" w:type="dxa"/>
            </w:tcMar>
            <w:vAlign w:val="center"/>
          </w:tcPr>
          <w:p w:rsidR="004946A6" w:rsidRPr="007D3888" w:rsidRDefault="004946A6" w:rsidP="00A2257C">
            <w:pPr>
              <w:pStyle w:val="TableHeading"/>
              <w:spacing w:before="0" w:after="0"/>
              <w:rPr>
                <w:b w:val="0"/>
              </w:rPr>
            </w:pPr>
            <w:r w:rsidRPr="007D3888">
              <w:rPr>
                <w:b w:val="0"/>
              </w:rPr>
              <w:t>(1,233.8)</w:t>
            </w:r>
          </w:p>
        </w:tc>
        <w:tc>
          <w:tcPr>
            <w:tcW w:w="850" w:type="dxa"/>
            <w:vAlign w:val="center"/>
          </w:tcPr>
          <w:p w:rsidR="004946A6" w:rsidRPr="007D3888" w:rsidRDefault="004946A6" w:rsidP="00A2257C">
            <w:pPr>
              <w:pStyle w:val="TableHeading"/>
              <w:spacing w:before="0" w:after="0"/>
              <w:rPr>
                <w:b w:val="0"/>
              </w:rPr>
            </w:pPr>
            <w:r w:rsidRPr="007D3888">
              <w:rPr>
                <w:b w:val="0"/>
              </w:rPr>
              <w:t>(1,116.5)</w:t>
            </w:r>
          </w:p>
        </w:tc>
      </w:tr>
      <w:tr w:rsidR="004946A6" w:rsidRPr="004E18F5" w:rsidTr="00A2257C">
        <w:tc>
          <w:tcPr>
            <w:tcW w:w="0" w:type="auto"/>
            <w:shd w:val="clear" w:color="auto" w:fill="auto"/>
            <w:tcMar>
              <w:top w:w="80" w:type="dxa"/>
              <w:left w:w="113" w:type="dxa"/>
              <w:bottom w:w="80" w:type="dxa"/>
              <w:right w:w="113" w:type="dxa"/>
            </w:tcMar>
            <w:vAlign w:val="center"/>
          </w:tcPr>
          <w:p w:rsidR="004946A6" w:rsidRPr="007D3888" w:rsidRDefault="004946A6" w:rsidP="00A2257C">
            <w:pPr>
              <w:pStyle w:val="TableHeading"/>
              <w:spacing w:before="0" w:after="0"/>
              <w:jc w:val="left"/>
              <w:rPr>
                <w:b w:val="0"/>
              </w:rPr>
            </w:pPr>
            <w:r w:rsidRPr="007D3888">
              <w:rPr>
                <w:b w:val="0"/>
              </w:rPr>
              <w:t>Net assets</w:t>
            </w:r>
          </w:p>
        </w:tc>
        <w:tc>
          <w:tcPr>
            <w:tcW w:w="891" w:type="dxa"/>
            <w:shd w:val="clear" w:color="auto" w:fill="F2F2F2"/>
            <w:tcMar>
              <w:top w:w="80" w:type="dxa"/>
              <w:left w:w="113" w:type="dxa"/>
              <w:bottom w:w="80" w:type="dxa"/>
              <w:right w:w="113" w:type="dxa"/>
            </w:tcMar>
            <w:vAlign w:val="center"/>
          </w:tcPr>
          <w:p w:rsidR="004946A6" w:rsidRPr="007D3888" w:rsidRDefault="004946A6" w:rsidP="00A2257C">
            <w:pPr>
              <w:pStyle w:val="TableHeading"/>
              <w:spacing w:before="0" w:after="0"/>
              <w:rPr>
                <w:b w:val="0"/>
              </w:rPr>
            </w:pPr>
            <w:r w:rsidRPr="007D3888">
              <w:rPr>
                <w:b w:val="0"/>
              </w:rPr>
              <w:t>650.0</w:t>
            </w:r>
          </w:p>
        </w:tc>
        <w:tc>
          <w:tcPr>
            <w:tcW w:w="850" w:type="dxa"/>
            <w:vAlign w:val="center"/>
          </w:tcPr>
          <w:p w:rsidR="004946A6" w:rsidRPr="007D3888" w:rsidRDefault="004946A6" w:rsidP="00A2257C">
            <w:pPr>
              <w:pStyle w:val="TableHeading"/>
              <w:spacing w:before="0" w:after="0"/>
              <w:rPr>
                <w:b w:val="0"/>
              </w:rPr>
            </w:pPr>
            <w:r w:rsidRPr="007D3888">
              <w:rPr>
                <w:b w:val="0"/>
              </w:rPr>
              <w:t>498.9</w:t>
            </w:r>
          </w:p>
        </w:tc>
      </w:tr>
    </w:tbl>
    <w:p w:rsidR="004946A6" w:rsidRPr="00FB72FA" w:rsidRDefault="004946A6" w:rsidP="004946A6">
      <w:pPr>
        <w:pStyle w:val="smallbodytext"/>
      </w:pPr>
      <w:r w:rsidRPr="00FB72FA">
        <w:t>* For 2012</w:t>
      </w:r>
      <w:r>
        <w:t>, the reporting period covered from 15 December 2011 (date of establishment) to 30 June 2012.</w:t>
      </w:r>
      <w:r w:rsidRPr="00FB72FA">
        <w:t xml:space="preserve"> </w:t>
      </w:r>
      <w:r>
        <w:t xml:space="preserve"> PTV commenced operation on 2 April 2012.  T</w:t>
      </w:r>
      <w:r w:rsidRPr="00FB72FA">
        <w:t>he ‘Group’ figures relate to the financial information of PTV</w:t>
      </w:r>
      <w:r>
        <w:t xml:space="preserve"> and Metlink</w:t>
      </w:r>
      <w:r w:rsidRPr="00FB72FA">
        <w:t xml:space="preserve">. </w:t>
      </w:r>
    </w:p>
    <w:p w:rsidR="004946A6" w:rsidRPr="00C46511" w:rsidRDefault="004946A6" w:rsidP="00C46511">
      <w:pPr>
        <w:rPr>
          <w:rFonts w:ascii="Arial" w:hAnsi="Arial" w:cs="Arial"/>
        </w:rPr>
      </w:pPr>
    </w:p>
    <w:p w:rsidR="00F23704" w:rsidRDefault="00F23704">
      <w:pPr>
        <w:rPr>
          <w:rFonts w:ascii="Arial" w:hAnsi="Arial" w:cs="Arial"/>
        </w:rPr>
      </w:pPr>
      <w:r>
        <w:rPr>
          <w:rFonts w:ascii="Arial" w:hAnsi="Arial" w:cs="Arial"/>
        </w:rPr>
        <w:br w:type="page"/>
      </w:r>
    </w:p>
    <w:p w:rsidR="00C46511" w:rsidRPr="00C46511" w:rsidRDefault="00C46511" w:rsidP="00C46511">
      <w:pPr>
        <w:rPr>
          <w:rFonts w:ascii="Arial" w:hAnsi="Arial" w:cs="Arial"/>
        </w:rPr>
      </w:pPr>
    </w:p>
    <w:p w:rsidR="00C46511" w:rsidRDefault="00C46511" w:rsidP="00C46511">
      <w:pPr>
        <w:rPr>
          <w:rFonts w:ascii="Arial" w:hAnsi="Arial" w:cs="Arial"/>
        </w:rPr>
      </w:pPr>
      <w:r w:rsidRPr="00C46511">
        <w:rPr>
          <w:rFonts w:ascii="Arial" w:hAnsi="Arial" w:cs="Arial"/>
        </w:rPr>
        <w:t>The table below shows the financial results for the last two financial years.</w:t>
      </w:r>
    </w:p>
    <w:p w:rsidR="00C46511" w:rsidRPr="00C46511" w:rsidRDefault="00C46511" w:rsidP="00C46511">
      <w:pPr>
        <w:rPr>
          <w:rFonts w:ascii="Arial" w:hAnsi="Arial" w:cs="Aria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08"/>
        <w:gridCol w:w="1417"/>
        <w:gridCol w:w="1559"/>
      </w:tblGrid>
      <w:tr w:rsidR="00C46511" w:rsidRPr="00C46511" w:rsidTr="00C46511">
        <w:tc>
          <w:tcPr>
            <w:tcW w:w="4508" w:type="dxa"/>
            <w:shd w:val="clear" w:color="auto" w:fill="auto"/>
            <w:tcMar>
              <w:top w:w="80" w:type="dxa"/>
              <w:left w:w="113" w:type="dxa"/>
              <w:bottom w:w="80" w:type="dxa"/>
              <w:right w:w="113" w:type="dxa"/>
            </w:tcMar>
            <w:vAlign w:val="center"/>
          </w:tcPr>
          <w:p w:rsidR="00C46511" w:rsidRPr="00C46511" w:rsidRDefault="00C46511" w:rsidP="00B651D5">
            <w:pPr>
              <w:pStyle w:val="TableHeading"/>
              <w:jc w:val="left"/>
              <w:rPr>
                <w:rFonts w:ascii="Arial" w:hAnsi="Arial" w:cs="Arial"/>
              </w:rPr>
            </w:pPr>
          </w:p>
        </w:tc>
        <w:tc>
          <w:tcPr>
            <w:tcW w:w="1417" w:type="dxa"/>
            <w:shd w:val="clear" w:color="auto" w:fill="F2F2F2"/>
            <w:tcMar>
              <w:top w:w="80" w:type="dxa"/>
              <w:left w:w="113" w:type="dxa"/>
              <w:bottom w:w="80" w:type="dxa"/>
              <w:right w:w="113" w:type="dxa"/>
            </w:tcMar>
          </w:tcPr>
          <w:p w:rsidR="00C46511" w:rsidRPr="00C46511" w:rsidRDefault="00C46511" w:rsidP="00B651D5">
            <w:pPr>
              <w:pStyle w:val="TableHeading"/>
              <w:rPr>
                <w:rFonts w:ascii="Arial" w:hAnsi="Arial" w:cs="Arial"/>
              </w:rPr>
            </w:pPr>
            <w:r w:rsidRPr="00C46511">
              <w:rPr>
                <w:rFonts w:ascii="Arial" w:hAnsi="Arial" w:cs="Arial"/>
              </w:rPr>
              <w:t>2013</w:t>
            </w:r>
          </w:p>
          <w:p w:rsidR="00C46511" w:rsidRPr="00C46511" w:rsidRDefault="00C46511" w:rsidP="00B651D5">
            <w:pPr>
              <w:pStyle w:val="TableHeading"/>
              <w:rPr>
                <w:rFonts w:ascii="Arial" w:hAnsi="Arial" w:cs="Arial"/>
              </w:rPr>
            </w:pPr>
            <w:r w:rsidRPr="00C46511">
              <w:rPr>
                <w:rFonts w:ascii="Arial" w:hAnsi="Arial" w:cs="Arial"/>
              </w:rPr>
              <w:t>$M</w:t>
            </w:r>
          </w:p>
        </w:tc>
        <w:tc>
          <w:tcPr>
            <w:tcW w:w="1559" w:type="dxa"/>
          </w:tcPr>
          <w:p w:rsidR="00C46511" w:rsidRPr="00C46511" w:rsidRDefault="00C46511" w:rsidP="00B651D5">
            <w:pPr>
              <w:pStyle w:val="TableHeading"/>
              <w:rPr>
                <w:rFonts w:ascii="Arial" w:hAnsi="Arial" w:cs="Arial"/>
              </w:rPr>
            </w:pPr>
            <w:r w:rsidRPr="00C46511">
              <w:rPr>
                <w:rFonts w:ascii="Arial" w:hAnsi="Arial" w:cs="Arial"/>
              </w:rPr>
              <w:t>2012</w:t>
            </w:r>
          </w:p>
          <w:p w:rsidR="00C46511" w:rsidRPr="00C46511" w:rsidRDefault="00C46511" w:rsidP="00B651D5">
            <w:pPr>
              <w:pStyle w:val="TableHeading"/>
              <w:rPr>
                <w:rFonts w:ascii="Arial" w:hAnsi="Arial" w:cs="Arial"/>
              </w:rPr>
            </w:pPr>
            <w:r w:rsidRPr="00C46511">
              <w:rPr>
                <w:rFonts w:ascii="Arial" w:hAnsi="Arial" w:cs="Arial"/>
              </w:rPr>
              <w:t>Group* $M</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copy"/>
              <w:rPr>
                <w:rFonts w:ascii="Arial" w:hAnsi="Arial" w:cs="Arial"/>
              </w:rPr>
            </w:pPr>
            <w:r w:rsidRPr="004B0406">
              <w:rPr>
                <w:rFonts w:ascii="Arial" w:hAnsi="Arial" w:cs="Arial"/>
              </w:rPr>
              <w:t>Grant from Government</w:t>
            </w:r>
          </w:p>
        </w:tc>
        <w:tc>
          <w:tcPr>
            <w:tcW w:w="1417" w:type="dxa"/>
            <w:shd w:val="clear" w:color="auto" w:fill="F2F2F2"/>
            <w:tcMar>
              <w:top w:w="80" w:type="dxa"/>
              <w:left w:w="113" w:type="dxa"/>
              <w:bottom w:w="80" w:type="dxa"/>
              <w:right w:w="113" w:type="dxa"/>
            </w:tcMar>
            <w:vAlign w:val="center"/>
          </w:tcPr>
          <w:p w:rsidR="00C46511" w:rsidRPr="004B0406" w:rsidRDefault="00C46511" w:rsidP="00B651D5">
            <w:pPr>
              <w:pStyle w:val="TableHeading"/>
              <w:rPr>
                <w:rFonts w:ascii="Arial" w:hAnsi="Arial" w:cs="Arial"/>
                <w:b w:val="0"/>
              </w:rPr>
            </w:pPr>
          </w:p>
        </w:tc>
        <w:tc>
          <w:tcPr>
            <w:tcW w:w="1559" w:type="dxa"/>
            <w:vAlign w:val="center"/>
          </w:tcPr>
          <w:p w:rsidR="00C46511" w:rsidRPr="004B0406" w:rsidRDefault="00C46511" w:rsidP="00B651D5">
            <w:pPr>
              <w:pStyle w:val="TableHeading"/>
              <w:rPr>
                <w:rFonts w:ascii="Arial" w:hAnsi="Arial" w:cs="Arial"/>
                <w:b w:val="0"/>
              </w:rPr>
            </w:pPr>
            <w:r w:rsidRPr="004B0406">
              <w:rPr>
                <w:rFonts w:ascii="Arial" w:hAnsi="Arial" w:cs="Arial"/>
                <w:b w:val="0"/>
              </w:rPr>
              <w:t>999.0</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Heading"/>
              <w:jc w:val="left"/>
              <w:rPr>
                <w:rFonts w:ascii="Arial" w:hAnsi="Arial" w:cs="Arial"/>
                <w:b w:val="0"/>
              </w:rPr>
            </w:pPr>
            <w:r w:rsidRPr="004B0406">
              <w:rPr>
                <w:rFonts w:ascii="Arial" w:hAnsi="Arial" w:cs="Arial"/>
                <w:b w:val="0"/>
              </w:rPr>
              <w:t>Total income from transactions</w:t>
            </w:r>
          </w:p>
        </w:tc>
        <w:tc>
          <w:tcPr>
            <w:tcW w:w="1417" w:type="dxa"/>
            <w:shd w:val="clear" w:color="auto" w:fill="F2F2F2"/>
            <w:tcMar>
              <w:top w:w="80" w:type="dxa"/>
              <w:left w:w="113" w:type="dxa"/>
              <w:bottom w:w="80" w:type="dxa"/>
              <w:right w:w="113" w:type="dxa"/>
            </w:tcMar>
            <w:vAlign w:val="center"/>
          </w:tcPr>
          <w:p w:rsidR="00C46511" w:rsidRPr="004B0406" w:rsidRDefault="00C46511" w:rsidP="00B651D5">
            <w:pPr>
              <w:pStyle w:val="TableHeading"/>
              <w:rPr>
                <w:rFonts w:ascii="Arial" w:hAnsi="Arial" w:cs="Arial"/>
                <w:b w:val="0"/>
              </w:rPr>
            </w:pPr>
          </w:p>
        </w:tc>
        <w:tc>
          <w:tcPr>
            <w:tcW w:w="1559" w:type="dxa"/>
            <w:vAlign w:val="center"/>
          </w:tcPr>
          <w:p w:rsidR="00C46511" w:rsidRPr="004B0406" w:rsidRDefault="00C46511" w:rsidP="00B651D5">
            <w:pPr>
              <w:pStyle w:val="TableHeading"/>
              <w:rPr>
                <w:rFonts w:ascii="Arial" w:hAnsi="Arial" w:cs="Arial"/>
                <w:b w:val="0"/>
              </w:rPr>
            </w:pPr>
            <w:r w:rsidRPr="004B0406">
              <w:rPr>
                <w:rFonts w:ascii="Arial" w:hAnsi="Arial" w:cs="Arial"/>
                <w:b w:val="0"/>
              </w:rPr>
              <w:t>1,111.3</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Heading"/>
              <w:jc w:val="left"/>
              <w:rPr>
                <w:rFonts w:ascii="Arial" w:hAnsi="Arial" w:cs="Arial"/>
                <w:b w:val="0"/>
              </w:rPr>
            </w:pPr>
            <w:r w:rsidRPr="004B0406">
              <w:rPr>
                <w:rFonts w:ascii="Arial" w:hAnsi="Arial" w:cs="Arial"/>
                <w:b w:val="0"/>
              </w:rPr>
              <w:t>Total expenses from transactions</w:t>
            </w:r>
          </w:p>
        </w:tc>
        <w:tc>
          <w:tcPr>
            <w:tcW w:w="1417" w:type="dxa"/>
            <w:shd w:val="clear" w:color="auto" w:fill="F2F2F2"/>
            <w:tcMar>
              <w:top w:w="80" w:type="dxa"/>
              <w:left w:w="113" w:type="dxa"/>
              <w:bottom w:w="80" w:type="dxa"/>
              <w:right w:w="113" w:type="dxa"/>
            </w:tcMar>
            <w:vAlign w:val="center"/>
          </w:tcPr>
          <w:p w:rsidR="00C46511" w:rsidRPr="004B0406" w:rsidRDefault="00C46511" w:rsidP="00B651D5">
            <w:pPr>
              <w:pStyle w:val="TableHeading"/>
              <w:rPr>
                <w:rFonts w:ascii="Arial" w:hAnsi="Arial" w:cs="Arial"/>
                <w:b w:val="0"/>
              </w:rPr>
            </w:pPr>
          </w:p>
        </w:tc>
        <w:tc>
          <w:tcPr>
            <w:tcW w:w="1559" w:type="dxa"/>
            <w:vAlign w:val="center"/>
          </w:tcPr>
          <w:p w:rsidR="00C46511" w:rsidRPr="004B0406" w:rsidRDefault="00C46511" w:rsidP="00B651D5">
            <w:pPr>
              <w:pStyle w:val="TableHeading"/>
              <w:rPr>
                <w:rFonts w:ascii="Arial" w:hAnsi="Arial" w:cs="Arial"/>
                <w:b w:val="0"/>
              </w:rPr>
            </w:pPr>
            <w:r w:rsidRPr="004B0406">
              <w:rPr>
                <w:rFonts w:ascii="Arial" w:hAnsi="Arial" w:cs="Arial"/>
                <w:b w:val="0"/>
              </w:rPr>
              <w:t>(996.0)</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Heading"/>
              <w:jc w:val="left"/>
              <w:rPr>
                <w:rFonts w:ascii="Arial" w:hAnsi="Arial" w:cs="Arial"/>
                <w:b w:val="0"/>
              </w:rPr>
            </w:pPr>
            <w:r w:rsidRPr="004B0406">
              <w:rPr>
                <w:rFonts w:ascii="Arial" w:hAnsi="Arial" w:cs="Arial"/>
                <w:b w:val="0"/>
              </w:rPr>
              <w:t>Net result from transactions</w:t>
            </w:r>
          </w:p>
        </w:tc>
        <w:tc>
          <w:tcPr>
            <w:tcW w:w="1417" w:type="dxa"/>
            <w:shd w:val="clear" w:color="auto" w:fill="F2F2F2"/>
            <w:tcMar>
              <w:top w:w="80" w:type="dxa"/>
              <w:left w:w="113" w:type="dxa"/>
              <w:bottom w:w="80" w:type="dxa"/>
              <w:right w:w="113" w:type="dxa"/>
            </w:tcMar>
          </w:tcPr>
          <w:p w:rsidR="00C46511" w:rsidRPr="004B0406" w:rsidRDefault="00C46511" w:rsidP="00B651D5">
            <w:pPr>
              <w:pStyle w:val="TableHeading"/>
              <w:rPr>
                <w:rFonts w:ascii="Arial" w:hAnsi="Arial" w:cs="Arial"/>
                <w:b w:val="0"/>
              </w:rPr>
            </w:pPr>
          </w:p>
        </w:tc>
        <w:tc>
          <w:tcPr>
            <w:tcW w:w="1559" w:type="dxa"/>
          </w:tcPr>
          <w:p w:rsidR="00C46511" w:rsidRPr="004B0406" w:rsidRDefault="00C46511" w:rsidP="00B651D5">
            <w:pPr>
              <w:pStyle w:val="TableHeading"/>
              <w:rPr>
                <w:rFonts w:ascii="Arial" w:hAnsi="Arial" w:cs="Arial"/>
                <w:b w:val="0"/>
              </w:rPr>
            </w:pPr>
            <w:r w:rsidRPr="004B0406">
              <w:rPr>
                <w:rFonts w:ascii="Arial" w:hAnsi="Arial" w:cs="Arial"/>
                <w:b w:val="0"/>
              </w:rPr>
              <w:t>115.3</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copy"/>
              <w:rPr>
                <w:rFonts w:ascii="Arial" w:hAnsi="Arial" w:cs="Arial"/>
              </w:rPr>
            </w:pPr>
            <w:r w:rsidRPr="004B0406">
              <w:rPr>
                <w:rFonts w:ascii="Arial" w:hAnsi="Arial" w:cs="Arial"/>
              </w:rPr>
              <w:t>Total other economic flows included in net results</w:t>
            </w:r>
          </w:p>
        </w:tc>
        <w:tc>
          <w:tcPr>
            <w:tcW w:w="1417" w:type="dxa"/>
            <w:shd w:val="clear" w:color="auto" w:fill="F2F2F2"/>
            <w:tcMar>
              <w:top w:w="80" w:type="dxa"/>
              <w:left w:w="113" w:type="dxa"/>
              <w:bottom w:w="80" w:type="dxa"/>
              <w:right w:w="113" w:type="dxa"/>
            </w:tcMar>
            <w:vAlign w:val="center"/>
          </w:tcPr>
          <w:p w:rsidR="00C46511" w:rsidRPr="004B0406" w:rsidRDefault="00C46511" w:rsidP="00B651D5">
            <w:pPr>
              <w:pStyle w:val="TableHeading"/>
              <w:rPr>
                <w:rFonts w:ascii="Arial" w:hAnsi="Arial" w:cs="Arial"/>
                <w:b w:val="0"/>
              </w:rPr>
            </w:pPr>
          </w:p>
        </w:tc>
        <w:tc>
          <w:tcPr>
            <w:tcW w:w="1559" w:type="dxa"/>
            <w:vAlign w:val="center"/>
          </w:tcPr>
          <w:p w:rsidR="00C46511" w:rsidRPr="004B0406" w:rsidRDefault="00C46511" w:rsidP="00B651D5">
            <w:pPr>
              <w:pStyle w:val="TableHeading"/>
              <w:rPr>
                <w:rFonts w:ascii="Arial" w:hAnsi="Arial" w:cs="Arial"/>
                <w:b w:val="0"/>
              </w:rPr>
            </w:pPr>
            <w:r w:rsidRPr="004B0406">
              <w:rPr>
                <w:rFonts w:ascii="Arial" w:hAnsi="Arial" w:cs="Arial"/>
                <w:b w:val="0"/>
              </w:rPr>
              <w:t>-</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Heading"/>
              <w:jc w:val="left"/>
              <w:rPr>
                <w:rFonts w:ascii="Arial" w:hAnsi="Arial" w:cs="Arial"/>
                <w:b w:val="0"/>
              </w:rPr>
            </w:pPr>
            <w:r w:rsidRPr="004B0406">
              <w:rPr>
                <w:rFonts w:ascii="Arial" w:hAnsi="Arial" w:cs="Arial"/>
                <w:b w:val="0"/>
              </w:rPr>
              <w:t>Net results</w:t>
            </w:r>
          </w:p>
        </w:tc>
        <w:tc>
          <w:tcPr>
            <w:tcW w:w="1417" w:type="dxa"/>
            <w:shd w:val="clear" w:color="auto" w:fill="F2F2F2"/>
            <w:tcMar>
              <w:top w:w="80" w:type="dxa"/>
              <w:left w:w="113" w:type="dxa"/>
              <w:bottom w:w="80" w:type="dxa"/>
              <w:right w:w="113" w:type="dxa"/>
            </w:tcMar>
            <w:vAlign w:val="center"/>
          </w:tcPr>
          <w:p w:rsidR="00C46511" w:rsidRPr="004B0406" w:rsidRDefault="00C46511" w:rsidP="00B651D5">
            <w:pPr>
              <w:pStyle w:val="TableHeading"/>
              <w:rPr>
                <w:rFonts w:ascii="Arial" w:hAnsi="Arial" w:cs="Arial"/>
                <w:b w:val="0"/>
              </w:rPr>
            </w:pPr>
          </w:p>
        </w:tc>
        <w:tc>
          <w:tcPr>
            <w:tcW w:w="1559" w:type="dxa"/>
            <w:vAlign w:val="center"/>
          </w:tcPr>
          <w:p w:rsidR="00C46511" w:rsidRPr="004B0406" w:rsidRDefault="00C46511" w:rsidP="00B651D5">
            <w:pPr>
              <w:pStyle w:val="TableHeading"/>
              <w:rPr>
                <w:rFonts w:ascii="Arial" w:hAnsi="Arial" w:cs="Arial"/>
                <w:b w:val="0"/>
              </w:rPr>
            </w:pPr>
            <w:r w:rsidRPr="004B0406">
              <w:rPr>
                <w:rFonts w:ascii="Arial" w:hAnsi="Arial" w:cs="Arial"/>
                <w:b w:val="0"/>
              </w:rPr>
              <w:t>115.3</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Heading"/>
              <w:jc w:val="left"/>
              <w:rPr>
                <w:rFonts w:ascii="Arial" w:hAnsi="Arial" w:cs="Arial"/>
                <w:b w:val="0"/>
              </w:rPr>
            </w:pPr>
            <w:r w:rsidRPr="004B0406">
              <w:rPr>
                <w:rFonts w:ascii="Arial" w:hAnsi="Arial" w:cs="Arial"/>
                <w:b w:val="0"/>
              </w:rPr>
              <w:t>Net cash flows from/(used in) operating activities</w:t>
            </w:r>
          </w:p>
        </w:tc>
        <w:tc>
          <w:tcPr>
            <w:tcW w:w="1417" w:type="dxa"/>
            <w:shd w:val="clear" w:color="auto" w:fill="F2F2F2"/>
            <w:tcMar>
              <w:top w:w="80" w:type="dxa"/>
              <w:left w:w="113" w:type="dxa"/>
              <w:bottom w:w="80" w:type="dxa"/>
              <w:right w:w="113" w:type="dxa"/>
            </w:tcMar>
            <w:vAlign w:val="center"/>
          </w:tcPr>
          <w:p w:rsidR="00C46511" w:rsidRPr="004B0406" w:rsidRDefault="00C46511" w:rsidP="00B651D5">
            <w:pPr>
              <w:pStyle w:val="TableHeading"/>
              <w:rPr>
                <w:rFonts w:ascii="Arial" w:hAnsi="Arial" w:cs="Arial"/>
                <w:b w:val="0"/>
              </w:rPr>
            </w:pPr>
          </w:p>
        </w:tc>
        <w:tc>
          <w:tcPr>
            <w:tcW w:w="1559" w:type="dxa"/>
            <w:vAlign w:val="center"/>
          </w:tcPr>
          <w:p w:rsidR="00C46511" w:rsidRPr="004B0406" w:rsidRDefault="00C46511" w:rsidP="00B651D5">
            <w:pPr>
              <w:pStyle w:val="TableHeading"/>
              <w:rPr>
                <w:rFonts w:ascii="Arial" w:hAnsi="Arial" w:cs="Arial"/>
                <w:b w:val="0"/>
              </w:rPr>
            </w:pPr>
            <w:r w:rsidRPr="004B0406">
              <w:rPr>
                <w:rFonts w:ascii="Arial" w:hAnsi="Arial" w:cs="Arial"/>
                <w:b w:val="0"/>
              </w:rPr>
              <w:t>16.9</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Heading"/>
              <w:jc w:val="left"/>
              <w:rPr>
                <w:rFonts w:ascii="Arial" w:hAnsi="Arial" w:cs="Arial"/>
                <w:b w:val="0"/>
              </w:rPr>
            </w:pPr>
            <w:r w:rsidRPr="004B0406">
              <w:rPr>
                <w:rFonts w:ascii="Arial" w:hAnsi="Arial" w:cs="Arial"/>
                <w:b w:val="0"/>
              </w:rPr>
              <w:t>Total assets</w:t>
            </w:r>
          </w:p>
        </w:tc>
        <w:tc>
          <w:tcPr>
            <w:tcW w:w="1417" w:type="dxa"/>
            <w:shd w:val="clear" w:color="auto" w:fill="F2F2F2"/>
            <w:tcMar>
              <w:top w:w="80" w:type="dxa"/>
              <w:left w:w="113" w:type="dxa"/>
              <w:bottom w:w="80" w:type="dxa"/>
              <w:right w:w="113" w:type="dxa"/>
            </w:tcMar>
            <w:vAlign w:val="center"/>
          </w:tcPr>
          <w:p w:rsidR="00C46511" w:rsidRPr="004B0406" w:rsidRDefault="00C46511" w:rsidP="00B651D5">
            <w:pPr>
              <w:pStyle w:val="TableHeading"/>
              <w:rPr>
                <w:rFonts w:ascii="Arial" w:hAnsi="Arial" w:cs="Arial"/>
                <w:b w:val="0"/>
              </w:rPr>
            </w:pPr>
          </w:p>
        </w:tc>
        <w:tc>
          <w:tcPr>
            <w:tcW w:w="1559" w:type="dxa"/>
            <w:vAlign w:val="center"/>
          </w:tcPr>
          <w:p w:rsidR="00C46511" w:rsidRPr="004B0406" w:rsidRDefault="00C46511" w:rsidP="00B651D5">
            <w:pPr>
              <w:pStyle w:val="TableHeading"/>
              <w:rPr>
                <w:rFonts w:ascii="Arial" w:hAnsi="Arial" w:cs="Arial"/>
                <w:b w:val="0"/>
              </w:rPr>
            </w:pPr>
            <w:r w:rsidRPr="004B0406">
              <w:rPr>
                <w:rFonts w:ascii="Arial" w:hAnsi="Arial" w:cs="Arial"/>
                <w:b w:val="0"/>
              </w:rPr>
              <w:t>1,615.4</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Heading"/>
              <w:jc w:val="left"/>
              <w:rPr>
                <w:rFonts w:ascii="Arial" w:hAnsi="Arial" w:cs="Arial"/>
                <w:b w:val="0"/>
              </w:rPr>
            </w:pPr>
            <w:r w:rsidRPr="004B0406">
              <w:rPr>
                <w:rFonts w:ascii="Arial" w:hAnsi="Arial" w:cs="Arial"/>
                <w:b w:val="0"/>
              </w:rPr>
              <w:t>Total liabilities</w:t>
            </w:r>
          </w:p>
        </w:tc>
        <w:tc>
          <w:tcPr>
            <w:tcW w:w="1417" w:type="dxa"/>
            <w:shd w:val="clear" w:color="auto" w:fill="F2F2F2"/>
            <w:tcMar>
              <w:top w:w="80" w:type="dxa"/>
              <w:left w:w="113" w:type="dxa"/>
              <w:bottom w:w="80" w:type="dxa"/>
              <w:right w:w="113" w:type="dxa"/>
            </w:tcMar>
            <w:vAlign w:val="center"/>
          </w:tcPr>
          <w:p w:rsidR="00C46511" w:rsidRPr="004B0406" w:rsidRDefault="00C46511" w:rsidP="00B651D5">
            <w:pPr>
              <w:pStyle w:val="TableHeading"/>
              <w:rPr>
                <w:rFonts w:ascii="Arial" w:hAnsi="Arial" w:cs="Arial"/>
                <w:b w:val="0"/>
              </w:rPr>
            </w:pPr>
          </w:p>
        </w:tc>
        <w:tc>
          <w:tcPr>
            <w:tcW w:w="1559" w:type="dxa"/>
            <w:vAlign w:val="center"/>
          </w:tcPr>
          <w:p w:rsidR="00C46511" w:rsidRPr="004B0406" w:rsidRDefault="00C46511" w:rsidP="00B651D5">
            <w:pPr>
              <w:pStyle w:val="TableHeading"/>
              <w:rPr>
                <w:rFonts w:ascii="Arial" w:hAnsi="Arial" w:cs="Arial"/>
                <w:b w:val="0"/>
              </w:rPr>
            </w:pPr>
            <w:r w:rsidRPr="004B0406">
              <w:rPr>
                <w:rFonts w:ascii="Arial" w:hAnsi="Arial" w:cs="Arial"/>
                <w:b w:val="0"/>
              </w:rPr>
              <w:t>(1,116.5)</w:t>
            </w:r>
          </w:p>
        </w:tc>
      </w:tr>
      <w:tr w:rsidR="00C46511" w:rsidRPr="004B0406" w:rsidTr="00C46511">
        <w:tc>
          <w:tcPr>
            <w:tcW w:w="4508" w:type="dxa"/>
            <w:shd w:val="clear" w:color="auto" w:fill="auto"/>
            <w:tcMar>
              <w:top w:w="80" w:type="dxa"/>
              <w:left w:w="113" w:type="dxa"/>
              <w:bottom w:w="80" w:type="dxa"/>
              <w:right w:w="113" w:type="dxa"/>
            </w:tcMar>
            <w:vAlign w:val="center"/>
          </w:tcPr>
          <w:p w:rsidR="00C46511" w:rsidRPr="004B0406" w:rsidRDefault="00C46511" w:rsidP="00B651D5">
            <w:pPr>
              <w:pStyle w:val="TableHeading"/>
              <w:jc w:val="left"/>
              <w:rPr>
                <w:rFonts w:ascii="Arial" w:hAnsi="Arial" w:cs="Arial"/>
                <w:b w:val="0"/>
              </w:rPr>
            </w:pPr>
            <w:r w:rsidRPr="004B0406">
              <w:rPr>
                <w:rFonts w:ascii="Arial" w:hAnsi="Arial" w:cs="Arial"/>
                <w:b w:val="0"/>
              </w:rPr>
              <w:t>Net assets</w:t>
            </w:r>
          </w:p>
        </w:tc>
        <w:tc>
          <w:tcPr>
            <w:tcW w:w="1417" w:type="dxa"/>
            <w:shd w:val="clear" w:color="auto" w:fill="F2F2F2"/>
            <w:tcMar>
              <w:top w:w="80" w:type="dxa"/>
              <w:left w:w="113" w:type="dxa"/>
              <w:bottom w:w="80" w:type="dxa"/>
              <w:right w:w="113" w:type="dxa"/>
            </w:tcMar>
            <w:vAlign w:val="center"/>
          </w:tcPr>
          <w:p w:rsidR="00C46511" w:rsidRPr="004B0406" w:rsidRDefault="00C46511" w:rsidP="00B651D5">
            <w:pPr>
              <w:pStyle w:val="TableHeading"/>
              <w:rPr>
                <w:rFonts w:ascii="Arial" w:hAnsi="Arial" w:cs="Arial"/>
                <w:b w:val="0"/>
              </w:rPr>
            </w:pPr>
          </w:p>
        </w:tc>
        <w:tc>
          <w:tcPr>
            <w:tcW w:w="1559" w:type="dxa"/>
            <w:vAlign w:val="center"/>
          </w:tcPr>
          <w:p w:rsidR="00C46511" w:rsidRPr="004B0406" w:rsidRDefault="00C46511" w:rsidP="00B651D5">
            <w:pPr>
              <w:pStyle w:val="TableHeading"/>
              <w:rPr>
                <w:rFonts w:ascii="Arial" w:hAnsi="Arial" w:cs="Arial"/>
                <w:b w:val="0"/>
              </w:rPr>
            </w:pPr>
            <w:r w:rsidRPr="004B0406">
              <w:rPr>
                <w:rFonts w:ascii="Arial" w:hAnsi="Arial" w:cs="Arial"/>
                <w:b w:val="0"/>
              </w:rPr>
              <w:t>498.9</w:t>
            </w:r>
          </w:p>
        </w:tc>
      </w:tr>
    </w:tbl>
    <w:p w:rsidR="00C46511" w:rsidRPr="00C46511" w:rsidRDefault="00C46511" w:rsidP="00C46511">
      <w:pPr>
        <w:pStyle w:val="smallbodytext"/>
        <w:rPr>
          <w:rFonts w:ascii="Arial" w:hAnsi="Arial" w:cs="Arial"/>
        </w:rPr>
      </w:pPr>
      <w:r w:rsidRPr="00C46511">
        <w:rPr>
          <w:rFonts w:ascii="Arial" w:hAnsi="Arial" w:cs="Arial"/>
        </w:rPr>
        <w:t xml:space="preserve">* For 2012, the ‘Group’ figures relate to the financial information of PTV and Metlink. </w:t>
      </w:r>
    </w:p>
    <w:p w:rsidR="00C46511" w:rsidRPr="00C46511" w:rsidRDefault="00C46511" w:rsidP="00C46511">
      <w:pPr>
        <w:rPr>
          <w:rFonts w:ascii="Arial" w:hAnsi="Arial" w:cs="Arial"/>
        </w:rPr>
      </w:pPr>
    </w:p>
    <w:p w:rsidR="00C46511" w:rsidRDefault="00C46511" w:rsidP="00C46511">
      <w:pPr>
        <w:rPr>
          <w:rFonts w:ascii="Arial" w:hAnsi="Arial" w:cs="Arial"/>
        </w:rPr>
      </w:pPr>
    </w:p>
    <w:p w:rsidR="00C46511" w:rsidRDefault="00C46511" w:rsidP="00C46511">
      <w:pPr>
        <w:rPr>
          <w:rFonts w:ascii="Arial" w:hAnsi="Arial" w:cs="Arial"/>
        </w:rPr>
      </w:pPr>
      <w:r>
        <w:rPr>
          <w:rFonts w:ascii="Arial" w:hAnsi="Arial" w:cs="Arial"/>
        </w:rPr>
        <w:br w:type="page"/>
      </w:r>
    </w:p>
    <w:p w:rsidR="00C46511" w:rsidRDefault="00E246FA" w:rsidP="00ED42C3">
      <w:pPr>
        <w:pStyle w:val="Title1"/>
        <w:outlineLvl w:val="0"/>
      </w:pPr>
      <w:bookmarkStart w:id="14" w:name="_Toc365382500"/>
      <w:bookmarkStart w:id="15" w:name="_Toc366672083"/>
      <w:r>
        <w:t>Highlights and Performance Report</w:t>
      </w:r>
      <w:bookmarkEnd w:id="14"/>
      <w:bookmarkEnd w:id="15"/>
    </w:p>
    <w:p w:rsidR="00C46511" w:rsidRDefault="00C46511">
      <w:pPr>
        <w:rPr>
          <w:rFonts w:ascii="HelveticaNeue-Medium" w:hAnsi="HelveticaNeue-Medium" w:cs="HelveticaNeue-Medium"/>
          <w:b/>
          <w:color w:val="000000"/>
        </w:rPr>
      </w:pPr>
      <w:r>
        <w:rPr>
          <w:rFonts w:ascii="HelveticaNeue-Medium" w:hAnsi="HelveticaNeue-Medium" w:cs="HelveticaNeue-Medium"/>
          <w:b/>
          <w:color w:val="000000"/>
        </w:rPr>
        <w:br w:type="page"/>
      </w:r>
    </w:p>
    <w:p w:rsidR="001F7C09" w:rsidRPr="00F22532" w:rsidRDefault="00B30C3B" w:rsidP="00ED42C3">
      <w:pPr>
        <w:pStyle w:val="Title1"/>
      </w:pPr>
      <w:r w:rsidRPr="00F22532">
        <w:t>HIGHLIGHTS</w:t>
      </w:r>
    </w:p>
    <w:p w:rsidR="00F22532" w:rsidRDefault="00F22532" w:rsidP="00CA287F">
      <w:pPr>
        <w:rPr>
          <w:rFonts w:ascii="Arial" w:hAnsi="Arial" w:cs="Arial"/>
        </w:rPr>
      </w:pPr>
      <w:bookmarkStart w:id="16" w:name="_Toc359938672"/>
    </w:p>
    <w:p w:rsidR="001F7C09" w:rsidRPr="002F2A59" w:rsidRDefault="001F7C09" w:rsidP="00F22532">
      <w:pPr>
        <w:pStyle w:val="Heading10"/>
      </w:pPr>
      <w:r w:rsidRPr="00BC43F4">
        <w:t>AN INTEGRATED TRANSPORT SYSTEM FOR ALL VICTORIANS</w:t>
      </w:r>
      <w:bookmarkEnd w:id="16"/>
    </w:p>
    <w:p w:rsidR="001F7C09" w:rsidRPr="002F2A59" w:rsidRDefault="001F7C09" w:rsidP="00CA287F">
      <w:pPr>
        <w:rPr>
          <w:rFonts w:ascii="Arial" w:hAnsi="Arial" w:cs="Arial"/>
        </w:rPr>
      </w:pPr>
    </w:p>
    <w:p w:rsidR="001F7C09" w:rsidRPr="002F2A59" w:rsidRDefault="001F7C09" w:rsidP="00ED42C3">
      <w:pPr>
        <w:pStyle w:val="Heading20"/>
      </w:pPr>
      <w:r w:rsidRPr="002F2A59">
        <w:t>Accessibility</w:t>
      </w:r>
      <w:r>
        <w:t xml:space="preserve"> </w:t>
      </w:r>
    </w:p>
    <w:p w:rsidR="001F7C09" w:rsidRPr="002F2A59" w:rsidRDefault="001F7C09" w:rsidP="00CA287F">
      <w:pPr>
        <w:rPr>
          <w:rFonts w:ascii="Arial" w:hAnsi="Arial" w:cs="Arial"/>
        </w:rPr>
      </w:pPr>
    </w:p>
    <w:p w:rsidR="001F7C09" w:rsidRPr="002F2A59" w:rsidRDefault="001F7C09" w:rsidP="00CA287F">
      <w:pPr>
        <w:rPr>
          <w:rFonts w:ascii="Arial" w:hAnsi="Arial" w:cs="Arial"/>
        </w:rPr>
      </w:pPr>
      <w:r w:rsidRPr="002F2A59">
        <w:rPr>
          <w:rFonts w:ascii="Arial" w:hAnsi="Arial" w:cs="Arial"/>
        </w:rPr>
        <w:t>PTV</w:t>
      </w:r>
      <w:r w:rsidR="004B7C75">
        <w:rPr>
          <w:rFonts w:ascii="Arial" w:hAnsi="Arial" w:cs="Arial"/>
        </w:rPr>
        <w:t xml:space="preserve"> is finalising</w:t>
      </w:r>
      <w:r w:rsidRPr="002F2A59">
        <w:rPr>
          <w:rFonts w:ascii="Arial" w:hAnsi="Arial" w:cs="Arial"/>
        </w:rPr>
        <w:t xml:space="preserve"> the </w:t>
      </w:r>
      <w:r w:rsidRPr="002F2A59">
        <w:rPr>
          <w:rFonts w:ascii="Arial" w:hAnsi="Arial" w:cs="Arial"/>
          <w:i/>
          <w:iCs/>
        </w:rPr>
        <w:t>Accessible Public Transport in Victoria Action Plan 2013-2017</w:t>
      </w:r>
      <w:r w:rsidR="004B7C75">
        <w:rPr>
          <w:rFonts w:ascii="Arial" w:hAnsi="Arial" w:cs="Arial"/>
          <w:i/>
          <w:iCs/>
        </w:rPr>
        <w:t xml:space="preserve">, </w:t>
      </w:r>
      <w:r w:rsidR="004B7C75" w:rsidRPr="004B7C75">
        <w:rPr>
          <w:rFonts w:ascii="Arial" w:hAnsi="Arial" w:cs="Arial"/>
          <w:iCs/>
        </w:rPr>
        <w:t>following</w:t>
      </w:r>
      <w:r w:rsidR="004B7C75">
        <w:rPr>
          <w:rFonts w:ascii="Arial" w:hAnsi="Arial" w:cs="Arial"/>
          <w:i/>
          <w:iCs/>
        </w:rPr>
        <w:t xml:space="preserve"> </w:t>
      </w:r>
      <w:r w:rsidR="004B7C75">
        <w:rPr>
          <w:rFonts w:ascii="Arial" w:hAnsi="Arial" w:cs="Arial"/>
        </w:rPr>
        <w:t>consultation</w:t>
      </w:r>
      <w:r w:rsidR="004B7C75" w:rsidRPr="002F2A59">
        <w:rPr>
          <w:rFonts w:ascii="Arial" w:hAnsi="Arial" w:cs="Arial"/>
        </w:rPr>
        <w:t xml:space="preserve"> with government agencies and community organisations</w:t>
      </w:r>
      <w:r w:rsidRPr="002F2A59">
        <w:rPr>
          <w:rFonts w:ascii="Arial" w:hAnsi="Arial" w:cs="Arial"/>
        </w:rPr>
        <w:t>.</w:t>
      </w:r>
    </w:p>
    <w:p w:rsidR="001F7C09" w:rsidRPr="002F2A59" w:rsidRDefault="001F7C09" w:rsidP="00CA287F">
      <w:pPr>
        <w:rPr>
          <w:rFonts w:ascii="Arial" w:hAnsi="Arial" w:cs="Arial"/>
        </w:rPr>
      </w:pPr>
    </w:p>
    <w:p w:rsidR="001F7C09" w:rsidRDefault="00BC43F4" w:rsidP="00CA287F">
      <w:pPr>
        <w:rPr>
          <w:rFonts w:ascii="Arial" w:hAnsi="Arial" w:cs="Arial"/>
        </w:rPr>
      </w:pPr>
      <w:r>
        <w:rPr>
          <w:rFonts w:ascii="Arial" w:hAnsi="Arial" w:cs="Arial"/>
          <w:bCs/>
        </w:rPr>
        <w:t>Eighteen</w:t>
      </w:r>
      <w:r w:rsidR="006F449C" w:rsidRPr="006F449C">
        <w:rPr>
          <w:rFonts w:ascii="Arial" w:hAnsi="Arial" w:cs="Arial"/>
          <w:bCs/>
        </w:rPr>
        <w:t xml:space="preserve"> tram stops were upgraded to accessible stops, and a</w:t>
      </w:r>
      <w:r w:rsidR="00D270A9" w:rsidRPr="006F449C">
        <w:rPr>
          <w:rFonts w:ascii="Arial" w:hAnsi="Arial" w:cs="Arial"/>
          <w:bCs/>
        </w:rPr>
        <w:t xml:space="preserve"> project is underway to reduce the gap between tram stops and </w:t>
      </w:r>
      <w:r w:rsidR="006F449C">
        <w:rPr>
          <w:rFonts w:ascii="Arial" w:hAnsi="Arial" w:cs="Arial"/>
        </w:rPr>
        <w:t>Combino trams.</w:t>
      </w:r>
    </w:p>
    <w:p w:rsidR="006F449C" w:rsidRPr="006F449C" w:rsidRDefault="006F449C" w:rsidP="00CA287F">
      <w:pPr>
        <w:rPr>
          <w:rFonts w:ascii="Arial" w:hAnsi="Arial" w:cs="Arial"/>
        </w:rPr>
      </w:pPr>
    </w:p>
    <w:p w:rsidR="001F7C09" w:rsidRPr="002F2A59" w:rsidRDefault="001F7C09" w:rsidP="00ED42C3">
      <w:pPr>
        <w:pStyle w:val="Heading20"/>
      </w:pPr>
      <w:r w:rsidRPr="002F2A59">
        <w:t>Special events</w:t>
      </w:r>
      <w:r>
        <w:t xml:space="preserve"> </w:t>
      </w:r>
    </w:p>
    <w:p w:rsidR="001F7C09" w:rsidRPr="002F2A59" w:rsidRDefault="001F7C09" w:rsidP="00CA287F">
      <w:pPr>
        <w:rPr>
          <w:rFonts w:ascii="Arial" w:hAnsi="Arial" w:cs="Arial"/>
        </w:rPr>
      </w:pPr>
      <w:r w:rsidRPr="002F2A59">
        <w:rPr>
          <w:rFonts w:ascii="Arial" w:hAnsi="Arial" w:cs="Arial"/>
        </w:rPr>
        <w:t xml:space="preserve">PTV provided additional public transport to carry more than 5 million passengers to over </w:t>
      </w:r>
      <w:r w:rsidR="006F449C">
        <w:rPr>
          <w:rFonts w:ascii="Arial" w:hAnsi="Arial" w:cs="Arial"/>
        </w:rPr>
        <w:t xml:space="preserve">600 </w:t>
      </w:r>
      <w:r w:rsidRPr="002F2A59">
        <w:rPr>
          <w:rFonts w:ascii="Arial" w:hAnsi="Arial" w:cs="Arial"/>
        </w:rPr>
        <w:t xml:space="preserve">special events, including the White Night Festival, the Australian Open and the Spring Racing Carnival. </w:t>
      </w:r>
    </w:p>
    <w:p w:rsidR="001F7C09" w:rsidRDefault="001F7C09" w:rsidP="00CA287F">
      <w:pPr>
        <w:rPr>
          <w:rFonts w:ascii="Arial" w:hAnsi="Arial" w:cs="Arial"/>
        </w:rPr>
      </w:pPr>
    </w:p>
    <w:p w:rsidR="001F7C09" w:rsidRPr="002F2A59" w:rsidRDefault="006F449C" w:rsidP="00CA287F">
      <w:pPr>
        <w:rPr>
          <w:rFonts w:ascii="Arial" w:hAnsi="Arial" w:cs="Arial"/>
          <w:b/>
          <w:bCs/>
        </w:rPr>
      </w:pPr>
      <w:r>
        <w:rPr>
          <w:rFonts w:ascii="Arial" w:hAnsi="Arial" w:cs="Arial"/>
        </w:rPr>
        <w:t>More than 1</w:t>
      </w:r>
      <w:r w:rsidR="001F7C09" w:rsidRPr="002F2A59">
        <w:rPr>
          <w:rFonts w:ascii="Arial" w:hAnsi="Arial" w:cs="Arial"/>
        </w:rPr>
        <w:t xml:space="preserve">350 additional bus and tram trips were provided to better connect cruise ship passengers from Port Melbourne to the city. </w:t>
      </w:r>
    </w:p>
    <w:p w:rsidR="001F7C09" w:rsidRDefault="001F7C09" w:rsidP="00CA287F">
      <w:pPr>
        <w:rPr>
          <w:rFonts w:ascii="Arial" w:hAnsi="Arial" w:cs="Arial"/>
        </w:rPr>
      </w:pPr>
    </w:p>
    <w:p w:rsidR="001F7C09" w:rsidRPr="00FF713D" w:rsidRDefault="001F7C09" w:rsidP="00ED42C3">
      <w:pPr>
        <w:pStyle w:val="Heading20"/>
      </w:pPr>
      <w:r w:rsidRPr="00FF713D">
        <w:t xml:space="preserve">Parkiteer cages </w:t>
      </w:r>
    </w:p>
    <w:p w:rsidR="00D270A9" w:rsidRPr="00FF713D" w:rsidRDefault="00D270A9" w:rsidP="00CA287F">
      <w:pPr>
        <w:rPr>
          <w:rFonts w:ascii="Arial" w:hAnsi="Arial" w:cs="Arial"/>
        </w:rPr>
      </w:pPr>
      <w:r>
        <w:rPr>
          <w:rFonts w:ascii="Arial" w:hAnsi="Arial" w:cs="Arial"/>
        </w:rPr>
        <w:t>Thirteen secure Parkiteer bike cages were delivered at train stations, bringing the total number of cages to 67.</w:t>
      </w:r>
    </w:p>
    <w:p w:rsidR="001F7C09" w:rsidRPr="002F2A59" w:rsidRDefault="001F7C09" w:rsidP="00CA287F">
      <w:pPr>
        <w:rPr>
          <w:rFonts w:ascii="Arial" w:hAnsi="Arial" w:cs="Arial"/>
        </w:rPr>
      </w:pPr>
    </w:p>
    <w:p w:rsidR="001F7C09" w:rsidRPr="00ED42C3" w:rsidRDefault="001F7C09" w:rsidP="00ED42C3">
      <w:pPr>
        <w:pStyle w:val="Heading10"/>
      </w:pPr>
      <w:bookmarkStart w:id="17" w:name="_Toc359938674"/>
      <w:r w:rsidRPr="00ED42C3">
        <w:t>SERVICE DELIVERY</w:t>
      </w:r>
      <w:bookmarkEnd w:id="17"/>
    </w:p>
    <w:p w:rsidR="001F7C09" w:rsidRDefault="001F7C09" w:rsidP="00CA287F">
      <w:pPr>
        <w:rPr>
          <w:rFonts w:ascii="Arial" w:hAnsi="Arial" w:cs="Arial"/>
        </w:rPr>
      </w:pPr>
    </w:p>
    <w:p w:rsidR="00FF414D" w:rsidRPr="00E642A5" w:rsidRDefault="00FF414D" w:rsidP="00ED42C3">
      <w:pPr>
        <w:pStyle w:val="Heading20"/>
      </w:pPr>
      <w:r w:rsidRPr="00E642A5">
        <w:t>Service performance</w:t>
      </w:r>
    </w:p>
    <w:p w:rsidR="00FF414D" w:rsidRPr="00E642A5" w:rsidRDefault="00FF414D" w:rsidP="00CA287F">
      <w:pPr>
        <w:rPr>
          <w:rFonts w:ascii="Arial" w:hAnsi="Arial" w:cs="Arial"/>
        </w:rPr>
      </w:pPr>
      <w:r>
        <w:rPr>
          <w:rFonts w:ascii="Arial" w:hAnsi="Arial" w:cs="Arial"/>
        </w:rPr>
        <w:t>Many improvements in service performance were realised, as described in the PTV Performance Report</w:t>
      </w:r>
      <w:r w:rsidR="005965E5">
        <w:rPr>
          <w:rFonts w:ascii="Arial" w:hAnsi="Arial" w:cs="Arial"/>
        </w:rPr>
        <w:t>, part of this Annual report.</w:t>
      </w:r>
      <w:r>
        <w:rPr>
          <w:rFonts w:ascii="Arial" w:hAnsi="Arial" w:cs="Arial"/>
        </w:rPr>
        <w:t xml:space="preserve"> </w:t>
      </w:r>
    </w:p>
    <w:p w:rsidR="00FF414D" w:rsidRPr="002F2A59" w:rsidRDefault="00FF414D" w:rsidP="00CA287F">
      <w:pPr>
        <w:rPr>
          <w:rFonts w:ascii="Arial" w:hAnsi="Arial" w:cs="Arial"/>
        </w:rPr>
      </w:pPr>
    </w:p>
    <w:p w:rsidR="001F7C09" w:rsidRPr="00FF713D" w:rsidRDefault="001F7C09" w:rsidP="00ED42C3">
      <w:pPr>
        <w:pStyle w:val="Heading20"/>
        <w:rPr>
          <w:color w:val="FF0000"/>
        </w:rPr>
      </w:pPr>
      <w:r w:rsidRPr="002F2A59">
        <w:t>Metropolitan bus franchise</w:t>
      </w:r>
      <w:r>
        <w:t xml:space="preserve"> </w:t>
      </w:r>
    </w:p>
    <w:p w:rsidR="001F7C09" w:rsidRPr="002F2A59" w:rsidRDefault="001F7C09" w:rsidP="00CA287F">
      <w:pPr>
        <w:rPr>
          <w:rFonts w:ascii="Arial" w:hAnsi="Arial" w:cs="Arial"/>
        </w:rPr>
      </w:pPr>
      <w:r w:rsidRPr="002F2A59">
        <w:rPr>
          <w:rFonts w:ascii="Arial" w:hAnsi="Arial" w:cs="Arial"/>
        </w:rPr>
        <w:t xml:space="preserve">In April 2013 Transdev Melbourne Pty </w:t>
      </w:r>
      <w:r w:rsidR="00062F5F">
        <w:rPr>
          <w:rFonts w:ascii="Arial" w:hAnsi="Arial" w:cs="Arial"/>
        </w:rPr>
        <w:t xml:space="preserve">Ltd </w:t>
      </w:r>
      <w:r w:rsidRPr="002F2A59">
        <w:rPr>
          <w:rFonts w:ascii="Arial" w:hAnsi="Arial" w:cs="Arial"/>
        </w:rPr>
        <w:t xml:space="preserve">was selected as the preferred tenderer to operate the Melbourne Metropolitan Bus Franchise. </w:t>
      </w:r>
    </w:p>
    <w:p w:rsidR="001F7C09" w:rsidRPr="002F2A59" w:rsidRDefault="001F7C09" w:rsidP="00CA287F">
      <w:pPr>
        <w:rPr>
          <w:rFonts w:ascii="Arial" w:hAnsi="Arial" w:cs="Arial"/>
        </w:rPr>
      </w:pPr>
    </w:p>
    <w:p w:rsidR="001F7C09" w:rsidRPr="002F2A59" w:rsidRDefault="001F7C09" w:rsidP="00CA287F">
      <w:pPr>
        <w:rPr>
          <w:rFonts w:ascii="Arial" w:hAnsi="Arial" w:cs="Arial"/>
        </w:rPr>
      </w:pPr>
      <w:r w:rsidRPr="002F2A59">
        <w:rPr>
          <w:rFonts w:ascii="Arial" w:hAnsi="Arial" w:cs="Arial"/>
        </w:rPr>
        <w:t>The franchise provides for the operation of approximately 30 per cent of Melbourne’s public bus network and is the first time such a significant portion of the bus network has been publicly tendered.</w:t>
      </w:r>
      <w:r w:rsidRPr="002F2A59">
        <w:rPr>
          <w:rFonts w:ascii="Arial" w:hAnsi="Arial" w:cs="Arial"/>
        </w:rPr>
        <w:br/>
      </w:r>
    </w:p>
    <w:p w:rsidR="001F7C09" w:rsidRPr="00524267" w:rsidRDefault="001F7C09" w:rsidP="00CA287F">
      <w:pPr>
        <w:rPr>
          <w:rFonts w:ascii="Arial" w:hAnsi="Arial" w:cs="Arial"/>
        </w:rPr>
      </w:pPr>
      <w:r w:rsidRPr="00524267">
        <w:rPr>
          <w:rFonts w:ascii="Arial" w:hAnsi="Arial" w:cs="Arial"/>
        </w:rPr>
        <w:t>The contra</w:t>
      </w:r>
      <w:r w:rsidR="006F449C">
        <w:rPr>
          <w:rFonts w:ascii="Arial" w:hAnsi="Arial" w:cs="Arial"/>
        </w:rPr>
        <w:t>ct will commence in August 2013 and for the first time a</w:t>
      </w:r>
      <w:r w:rsidRPr="00524267">
        <w:rPr>
          <w:rFonts w:ascii="Arial" w:hAnsi="Arial" w:cs="Arial"/>
        </w:rPr>
        <w:t xml:space="preserve"> performance regime will be used as an incentive </w:t>
      </w:r>
      <w:r w:rsidR="006F449C">
        <w:rPr>
          <w:rFonts w:ascii="Arial" w:hAnsi="Arial" w:cs="Arial"/>
        </w:rPr>
        <w:t xml:space="preserve">to reach </w:t>
      </w:r>
      <w:r w:rsidRPr="00524267">
        <w:rPr>
          <w:rFonts w:ascii="Arial" w:hAnsi="Arial" w:cs="Arial"/>
        </w:rPr>
        <w:t xml:space="preserve">key targets, including </w:t>
      </w:r>
      <w:r w:rsidR="006F449C">
        <w:rPr>
          <w:rFonts w:ascii="Arial" w:hAnsi="Arial" w:cs="Arial"/>
        </w:rPr>
        <w:t xml:space="preserve">service delivery and </w:t>
      </w:r>
      <w:r w:rsidRPr="00524267">
        <w:rPr>
          <w:rFonts w:ascii="Arial" w:hAnsi="Arial" w:cs="Arial"/>
        </w:rPr>
        <w:t>carrying more passengers.</w:t>
      </w:r>
    </w:p>
    <w:p w:rsidR="001F7C09" w:rsidRPr="002F2A59" w:rsidRDefault="001F7C09" w:rsidP="00CA287F">
      <w:pPr>
        <w:rPr>
          <w:rFonts w:ascii="Arial" w:hAnsi="Arial" w:cs="Arial"/>
        </w:rPr>
      </w:pPr>
    </w:p>
    <w:p w:rsidR="001F7C09" w:rsidRPr="00FF713D" w:rsidRDefault="001F7C09" w:rsidP="00ED42C3">
      <w:pPr>
        <w:pStyle w:val="Heading20"/>
        <w:rPr>
          <w:color w:val="FF0000"/>
        </w:rPr>
      </w:pPr>
      <w:r>
        <w:t>New m</w:t>
      </w:r>
      <w:r w:rsidRPr="002F2A59">
        <w:t>etropolitan train</w:t>
      </w:r>
      <w:r>
        <w:t>s</w:t>
      </w:r>
      <w:r w:rsidRPr="002F2A59">
        <w:t xml:space="preserve"> </w:t>
      </w:r>
    </w:p>
    <w:p w:rsidR="001F7C09" w:rsidRPr="002F2A59" w:rsidRDefault="001F7C09" w:rsidP="00CA287F">
      <w:pPr>
        <w:rPr>
          <w:rFonts w:ascii="Arial" w:hAnsi="Arial" w:cs="Arial"/>
        </w:rPr>
      </w:pPr>
      <w:r w:rsidRPr="002F2A59">
        <w:rPr>
          <w:rFonts w:ascii="Arial" w:hAnsi="Arial" w:cs="Arial"/>
        </w:rPr>
        <w:t xml:space="preserve">The $210.4 million order for seven new X’Trapolis trains </w:t>
      </w:r>
      <w:r w:rsidR="006F449C">
        <w:rPr>
          <w:rFonts w:ascii="Arial" w:hAnsi="Arial" w:cs="Arial"/>
        </w:rPr>
        <w:t>was</w:t>
      </w:r>
      <w:r w:rsidRPr="002F2A59">
        <w:rPr>
          <w:rFonts w:ascii="Arial" w:hAnsi="Arial" w:cs="Arial"/>
        </w:rPr>
        <w:t xml:space="preserve"> completed by Alstom in Ballarat. </w:t>
      </w:r>
    </w:p>
    <w:p w:rsidR="001F7C09" w:rsidRPr="002F2A59" w:rsidRDefault="001F7C09" w:rsidP="00CA287F">
      <w:pPr>
        <w:rPr>
          <w:rFonts w:ascii="Arial" w:hAnsi="Arial" w:cs="Arial"/>
        </w:rPr>
      </w:pPr>
    </w:p>
    <w:p w:rsidR="001F7C09" w:rsidRPr="002F2A59" w:rsidRDefault="001F7C09" w:rsidP="00CA287F">
      <w:pPr>
        <w:rPr>
          <w:rFonts w:ascii="Arial" w:hAnsi="Arial" w:cs="Arial"/>
          <w:iCs/>
        </w:rPr>
      </w:pPr>
      <w:r w:rsidRPr="002F2A59">
        <w:rPr>
          <w:rFonts w:ascii="Arial" w:hAnsi="Arial" w:cs="Arial"/>
        </w:rPr>
        <w:t>A further $176 million has been allocated to purchase eight more</w:t>
      </w:r>
      <w:r w:rsidR="00D270A9">
        <w:rPr>
          <w:rFonts w:ascii="Arial" w:hAnsi="Arial" w:cs="Arial"/>
        </w:rPr>
        <w:t xml:space="preserve"> X’Trapolis trains</w:t>
      </w:r>
      <w:r w:rsidRPr="002F2A59">
        <w:rPr>
          <w:rFonts w:ascii="Arial" w:hAnsi="Arial" w:cs="Arial"/>
        </w:rPr>
        <w:t xml:space="preserve">, as well as stabling and signalling, to be </w:t>
      </w:r>
      <w:r w:rsidRPr="002F2A59">
        <w:rPr>
          <w:rFonts w:ascii="Arial" w:hAnsi="Arial" w:cs="Arial"/>
          <w:iCs/>
        </w:rPr>
        <w:t xml:space="preserve">delivered </w:t>
      </w:r>
      <w:r w:rsidR="00D270A9">
        <w:rPr>
          <w:rFonts w:ascii="Arial" w:hAnsi="Arial" w:cs="Arial"/>
          <w:iCs/>
        </w:rPr>
        <w:t>in 2015</w:t>
      </w:r>
      <w:r w:rsidRPr="002F2A59">
        <w:rPr>
          <w:rFonts w:ascii="Arial" w:hAnsi="Arial" w:cs="Arial"/>
          <w:iCs/>
        </w:rPr>
        <w:t xml:space="preserve">. </w:t>
      </w:r>
    </w:p>
    <w:p w:rsidR="001F7C09" w:rsidRPr="002F2A59" w:rsidRDefault="001F7C09" w:rsidP="00CA287F">
      <w:pPr>
        <w:rPr>
          <w:rFonts w:ascii="Arial" w:hAnsi="Arial" w:cs="Arial"/>
        </w:rPr>
      </w:pPr>
    </w:p>
    <w:p w:rsidR="001F7C09" w:rsidRPr="002F2A59" w:rsidRDefault="001F7C09" w:rsidP="00CA287F">
      <w:pPr>
        <w:rPr>
          <w:rFonts w:ascii="Arial" w:hAnsi="Arial" w:cs="Arial"/>
        </w:rPr>
      </w:pPr>
      <w:r w:rsidRPr="002F2A59">
        <w:rPr>
          <w:rFonts w:ascii="Arial" w:hAnsi="Arial" w:cs="Arial"/>
        </w:rPr>
        <w:t>$2 million has been allocated for further planning for the procurement of high capacity trains, able to carry more than 1100 passengers.</w:t>
      </w:r>
    </w:p>
    <w:p w:rsidR="001F7C09" w:rsidRPr="002F2A59" w:rsidRDefault="001F7C09" w:rsidP="00CA287F">
      <w:pPr>
        <w:rPr>
          <w:rFonts w:ascii="Arial" w:hAnsi="Arial" w:cs="Arial"/>
          <w:b/>
        </w:rPr>
      </w:pPr>
    </w:p>
    <w:p w:rsidR="001F7C09" w:rsidRPr="00FF713D" w:rsidRDefault="001F7C09" w:rsidP="00ED42C3">
      <w:pPr>
        <w:pStyle w:val="Heading20"/>
        <w:rPr>
          <w:color w:val="FF0000"/>
        </w:rPr>
      </w:pPr>
      <w:r>
        <w:t xml:space="preserve">New regional carriages </w:t>
      </w:r>
    </w:p>
    <w:p w:rsidR="001F7C09" w:rsidRPr="00524267" w:rsidRDefault="001F7C09" w:rsidP="00CA287F">
      <w:pPr>
        <w:rPr>
          <w:rFonts w:ascii="Arial" w:hAnsi="Arial" w:cs="Arial"/>
        </w:rPr>
      </w:pPr>
      <w:r w:rsidRPr="00524267">
        <w:rPr>
          <w:rFonts w:ascii="Arial" w:hAnsi="Arial" w:cs="Arial"/>
        </w:rPr>
        <w:t>Forty new VLocity carriages have been ordered for $210 million from Bombardier in Dandenong. The order is due to be complete</w:t>
      </w:r>
      <w:r w:rsidR="005965E5">
        <w:rPr>
          <w:rFonts w:ascii="Arial" w:hAnsi="Arial" w:cs="Arial"/>
        </w:rPr>
        <w:t>d</w:t>
      </w:r>
      <w:r w:rsidRPr="00524267">
        <w:rPr>
          <w:rFonts w:ascii="Arial" w:hAnsi="Arial" w:cs="Arial"/>
        </w:rPr>
        <w:t xml:space="preserve"> in 2016.</w:t>
      </w:r>
    </w:p>
    <w:p w:rsidR="001F7C09" w:rsidRPr="002F2A59" w:rsidRDefault="001F7C09" w:rsidP="00CA287F">
      <w:pPr>
        <w:rPr>
          <w:rFonts w:ascii="Arial" w:hAnsi="Arial" w:cs="Arial"/>
        </w:rPr>
      </w:pPr>
    </w:p>
    <w:p w:rsidR="001F7C09" w:rsidRPr="00524267" w:rsidRDefault="001F7C09" w:rsidP="00CA287F">
      <w:pPr>
        <w:rPr>
          <w:rFonts w:ascii="Arial" w:hAnsi="Arial" w:cs="Arial"/>
        </w:rPr>
      </w:pPr>
      <w:r w:rsidRPr="00524267">
        <w:rPr>
          <w:rFonts w:ascii="Arial" w:hAnsi="Arial" w:cs="Arial"/>
        </w:rPr>
        <w:t xml:space="preserve">The new carriages will support Regional Rail Link and enable an increase in services across the regional network. </w:t>
      </w:r>
    </w:p>
    <w:p w:rsidR="001F7C09" w:rsidRPr="002F2A59" w:rsidRDefault="001F7C09" w:rsidP="00CA287F">
      <w:pPr>
        <w:rPr>
          <w:rFonts w:ascii="Arial" w:hAnsi="Arial" w:cs="Arial"/>
          <w:b/>
        </w:rPr>
      </w:pPr>
    </w:p>
    <w:p w:rsidR="001F7C09" w:rsidRPr="00FF713D" w:rsidRDefault="001F7C09" w:rsidP="00ED42C3">
      <w:pPr>
        <w:pStyle w:val="Heading20"/>
        <w:rPr>
          <w:color w:val="FF0000"/>
        </w:rPr>
      </w:pPr>
      <w:r>
        <w:t xml:space="preserve">New trams </w:t>
      </w:r>
    </w:p>
    <w:p w:rsidR="001F7C09" w:rsidRPr="00524267" w:rsidRDefault="001F7C09" w:rsidP="00CA287F">
      <w:pPr>
        <w:rPr>
          <w:rFonts w:ascii="Arial" w:hAnsi="Arial" w:cs="Arial"/>
        </w:rPr>
      </w:pPr>
      <w:r w:rsidRPr="00524267">
        <w:rPr>
          <w:rFonts w:ascii="Arial" w:hAnsi="Arial" w:cs="Arial"/>
        </w:rPr>
        <w:t xml:space="preserve">$807.6 </w:t>
      </w:r>
      <w:r w:rsidR="000572C0">
        <w:rPr>
          <w:rFonts w:ascii="Arial" w:hAnsi="Arial" w:cs="Arial"/>
        </w:rPr>
        <w:t xml:space="preserve">million </w:t>
      </w:r>
      <w:r w:rsidRPr="00524267">
        <w:rPr>
          <w:rFonts w:ascii="Arial" w:hAnsi="Arial" w:cs="Arial"/>
        </w:rPr>
        <w:t>is being invested in 50 new low-floor, high-capacity trams and supporting infrastructure. Assembly is underway at Bombardier’s Dandenong factory, with the first new trams expected on the network in late 2013.</w:t>
      </w:r>
    </w:p>
    <w:p w:rsidR="001F7C09" w:rsidRPr="002F2A59" w:rsidRDefault="001F7C09" w:rsidP="00CA287F">
      <w:pPr>
        <w:rPr>
          <w:rFonts w:ascii="Arial" w:hAnsi="Arial" w:cs="Arial"/>
        </w:rPr>
      </w:pPr>
    </w:p>
    <w:p w:rsidR="001F7C09" w:rsidRPr="00524267" w:rsidRDefault="000572C0" w:rsidP="00CA287F">
      <w:pPr>
        <w:rPr>
          <w:rFonts w:ascii="Arial" w:hAnsi="Arial" w:cs="Arial"/>
        </w:rPr>
      </w:pPr>
      <w:r>
        <w:rPr>
          <w:rFonts w:ascii="Arial" w:hAnsi="Arial" w:cs="Arial"/>
        </w:rPr>
        <w:t>An upgrade of Southbank D</w:t>
      </w:r>
      <w:r w:rsidR="001F7C09" w:rsidRPr="00524267">
        <w:rPr>
          <w:rFonts w:ascii="Arial" w:hAnsi="Arial" w:cs="Arial"/>
        </w:rPr>
        <w:t>epot is complete, with improvements at Preston Depot, power upgrades across the tram network and establishment of a driver-training simulator to follow.</w:t>
      </w:r>
    </w:p>
    <w:p w:rsidR="001F7C09" w:rsidRPr="002F2A59" w:rsidRDefault="001F7C09" w:rsidP="00CA287F">
      <w:pPr>
        <w:rPr>
          <w:rFonts w:ascii="Arial" w:hAnsi="Arial" w:cs="Arial"/>
          <w:shd w:val="clear" w:color="auto" w:fill="FFFFFF"/>
        </w:rPr>
      </w:pPr>
    </w:p>
    <w:p w:rsidR="001F7C09" w:rsidRPr="00524267" w:rsidRDefault="001F7C09" w:rsidP="00CA287F">
      <w:pPr>
        <w:rPr>
          <w:rFonts w:ascii="Arial" w:hAnsi="Arial" w:cs="Arial"/>
        </w:rPr>
      </w:pPr>
      <w:r w:rsidRPr="00524267">
        <w:rPr>
          <w:rFonts w:ascii="Arial" w:hAnsi="Arial" w:cs="Arial"/>
          <w:shd w:val="clear" w:color="auto" w:fill="FFFFFF"/>
        </w:rPr>
        <w:t>The project to upgrade Route 96 has commenced. Early designs for tram stop upgrades and route improvements are currently the subject of public consultation.</w:t>
      </w:r>
    </w:p>
    <w:p w:rsidR="001F7C09" w:rsidRPr="002F2A59" w:rsidRDefault="001F7C09" w:rsidP="00CA287F">
      <w:pPr>
        <w:rPr>
          <w:rFonts w:ascii="Arial" w:hAnsi="Arial" w:cs="Arial"/>
        </w:rPr>
      </w:pPr>
    </w:p>
    <w:p w:rsidR="001F7C09" w:rsidRPr="00FF713D" w:rsidRDefault="001F7C09" w:rsidP="00ED42C3">
      <w:pPr>
        <w:pStyle w:val="Heading20"/>
        <w:rPr>
          <w:i/>
          <w:color w:val="FF0000"/>
        </w:rPr>
      </w:pPr>
      <w:r>
        <w:t>W-</w:t>
      </w:r>
      <w:r w:rsidRPr="002F2A59">
        <w:t xml:space="preserve">Class </w:t>
      </w:r>
      <w:r w:rsidR="00F72773">
        <w:t>t</w:t>
      </w:r>
      <w:r w:rsidRPr="002F2A59">
        <w:t>rams</w:t>
      </w:r>
      <w:r>
        <w:t xml:space="preserve"> </w:t>
      </w:r>
    </w:p>
    <w:p w:rsidR="000572C0" w:rsidRPr="002F4E98" w:rsidRDefault="000572C0" w:rsidP="00CA287F">
      <w:pPr>
        <w:rPr>
          <w:rFonts w:ascii="Arial" w:hAnsi="Arial" w:cs="Arial"/>
          <w:b/>
          <w:bCs/>
        </w:rPr>
      </w:pPr>
      <w:r w:rsidRPr="002F4E98">
        <w:rPr>
          <w:rFonts w:ascii="Arial" w:hAnsi="Arial" w:cs="Arial"/>
        </w:rPr>
        <w:t xml:space="preserve">The first </w:t>
      </w:r>
      <w:r>
        <w:rPr>
          <w:rFonts w:ascii="Arial" w:hAnsi="Arial" w:cs="Arial"/>
        </w:rPr>
        <w:t xml:space="preserve">two </w:t>
      </w:r>
      <w:r w:rsidRPr="002F4E98">
        <w:rPr>
          <w:rFonts w:ascii="Arial" w:hAnsi="Arial" w:cs="Arial"/>
        </w:rPr>
        <w:t>tram</w:t>
      </w:r>
      <w:r>
        <w:rPr>
          <w:rFonts w:ascii="Arial" w:hAnsi="Arial" w:cs="Arial"/>
        </w:rPr>
        <w:t>s</w:t>
      </w:r>
      <w:r w:rsidRPr="002F4E98">
        <w:rPr>
          <w:rFonts w:ascii="Arial" w:hAnsi="Arial" w:cs="Arial"/>
        </w:rPr>
        <w:t xml:space="preserve"> to result from the $8 million project to restore historic W-Class trams </w:t>
      </w:r>
      <w:r>
        <w:rPr>
          <w:rFonts w:ascii="Arial" w:hAnsi="Arial" w:cs="Arial"/>
        </w:rPr>
        <w:t>have</w:t>
      </w:r>
      <w:r w:rsidRPr="002F4E98">
        <w:rPr>
          <w:rFonts w:ascii="Arial" w:hAnsi="Arial" w:cs="Arial"/>
        </w:rPr>
        <w:t xml:space="preserve"> been completed and </w:t>
      </w:r>
      <w:r>
        <w:rPr>
          <w:rFonts w:ascii="Arial" w:hAnsi="Arial" w:cs="Arial"/>
        </w:rPr>
        <w:t xml:space="preserve">are </w:t>
      </w:r>
      <w:r w:rsidRPr="002F4E98">
        <w:rPr>
          <w:rFonts w:ascii="Arial" w:hAnsi="Arial" w:cs="Arial"/>
        </w:rPr>
        <w:t>undergoing testing.</w:t>
      </w:r>
      <w:r w:rsidRPr="002F4E98">
        <w:rPr>
          <w:rFonts w:ascii="Arial" w:hAnsi="Arial" w:cs="Arial"/>
          <w:b/>
          <w:bCs/>
        </w:rPr>
        <w:t xml:space="preserve"> </w:t>
      </w:r>
    </w:p>
    <w:p w:rsidR="001F7C09" w:rsidRPr="002F2A59" w:rsidRDefault="001F7C09" w:rsidP="00CA287F">
      <w:pPr>
        <w:rPr>
          <w:rFonts w:ascii="Arial" w:hAnsi="Arial" w:cs="Arial"/>
        </w:rPr>
      </w:pPr>
    </w:p>
    <w:p w:rsidR="001F7C09" w:rsidRPr="002F2A59" w:rsidRDefault="001F7C09" w:rsidP="00F22532">
      <w:pPr>
        <w:pStyle w:val="Heading10"/>
      </w:pPr>
      <w:bookmarkStart w:id="18" w:name="_Toc359938675"/>
      <w:r w:rsidRPr="00BC43F4">
        <w:t>SAFETY AND SECURITY</w:t>
      </w:r>
      <w:bookmarkEnd w:id="18"/>
    </w:p>
    <w:p w:rsidR="001F7C09" w:rsidRPr="002F2A59" w:rsidRDefault="001F7C09" w:rsidP="00CA287F">
      <w:pPr>
        <w:rPr>
          <w:rFonts w:ascii="Arial" w:hAnsi="Arial" w:cs="Arial"/>
          <w:b/>
          <w:bCs/>
        </w:rPr>
      </w:pPr>
    </w:p>
    <w:p w:rsidR="001F7C09" w:rsidRPr="002F2A59" w:rsidRDefault="001F7C09" w:rsidP="00ED42C3">
      <w:pPr>
        <w:pStyle w:val="Heading20"/>
        <w:rPr>
          <w:i/>
        </w:rPr>
      </w:pPr>
      <w:r w:rsidRPr="002F2A59">
        <w:t>P</w:t>
      </w:r>
      <w:r>
        <w:t xml:space="preserve">rotective Service Officer </w:t>
      </w:r>
      <w:r w:rsidRPr="002F2A59">
        <w:t xml:space="preserve">facilities </w:t>
      </w:r>
    </w:p>
    <w:p w:rsidR="00D270A9" w:rsidRPr="006510DC" w:rsidRDefault="00D270A9" w:rsidP="00CA287F">
      <w:pPr>
        <w:rPr>
          <w:rFonts w:ascii="Arial" w:hAnsi="Arial" w:cs="Arial"/>
          <w:color w:val="000000"/>
        </w:rPr>
      </w:pPr>
      <w:r w:rsidRPr="006510DC">
        <w:rPr>
          <w:rFonts w:ascii="Arial" w:hAnsi="Arial" w:cs="Arial"/>
          <w:color w:val="000000"/>
        </w:rPr>
        <w:t xml:space="preserve">PTV delivered facilities </w:t>
      </w:r>
      <w:r>
        <w:rPr>
          <w:rFonts w:ascii="Arial" w:hAnsi="Arial" w:cs="Arial"/>
          <w:color w:val="000000"/>
        </w:rPr>
        <w:t>at 64 train stations to support the rollout of</w:t>
      </w:r>
      <w:r w:rsidRPr="007A2E13">
        <w:rPr>
          <w:rFonts w:ascii="Arial" w:hAnsi="Arial" w:cs="Arial"/>
          <w:color w:val="000000"/>
        </w:rPr>
        <w:t xml:space="preserve"> Protective Service Officers</w:t>
      </w:r>
      <w:r w:rsidRPr="007A2E13">
        <w:rPr>
          <w:rFonts w:ascii="Arial" w:hAnsi="Arial" w:cs="Arial"/>
          <w:b/>
          <w:bCs/>
          <w:color w:val="000000"/>
        </w:rPr>
        <w:t xml:space="preserve"> (</w:t>
      </w:r>
      <w:r w:rsidRPr="007A2E13">
        <w:rPr>
          <w:rFonts w:ascii="Arial" w:hAnsi="Arial" w:cs="Arial"/>
          <w:color w:val="000000"/>
        </w:rPr>
        <w:t>PSOs)</w:t>
      </w:r>
      <w:r>
        <w:rPr>
          <w:rFonts w:ascii="Arial" w:hAnsi="Arial" w:cs="Arial"/>
          <w:color w:val="000000"/>
        </w:rPr>
        <w:t>.</w:t>
      </w:r>
    </w:p>
    <w:p w:rsidR="00D270A9" w:rsidRDefault="00D270A9" w:rsidP="00CA287F">
      <w:pPr>
        <w:rPr>
          <w:rFonts w:ascii="Arial" w:hAnsi="Arial" w:cs="Arial"/>
          <w:color w:val="000000"/>
        </w:rPr>
      </w:pPr>
    </w:p>
    <w:p w:rsidR="00D270A9" w:rsidRDefault="00D270A9" w:rsidP="00CA287F">
      <w:pPr>
        <w:rPr>
          <w:rFonts w:ascii="Arial" w:hAnsi="Arial" w:cs="Arial"/>
          <w:color w:val="000000"/>
        </w:rPr>
      </w:pPr>
      <w:r w:rsidRPr="006510DC">
        <w:rPr>
          <w:rFonts w:ascii="Arial" w:hAnsi="Arial" w:cs="Arial"/>
          <w:color w:val="000000"/>
        </w:rPr>
        <w:t>PTV will continue to work closely with the Department of Justice and Victoria Police to coordinate the PSO program, with the 2013-14 State Budget providing $67.8 million over the next two years for construction of P</w:t>
      </w:r>
      <w:r w:rsidRPr="008C7E41">
        <w:rPr>
          <w:rFonts w:ascii="Arial" w:hAnsi="Arial" w:cs="Arial"/>
          <w:color w:val="000000"/>
        </w:rPr>
        <w:t>SO facilities</w:t>
      </w:r>
      <w:r>
        <w:rPr>
          <w:rFonts w:ascii="Arial" w:hAnsi="Arial" w:cs="Arial"/>
          <w:color w:val="000000"/>
        </w:rPr>
        <w:t>.</w:t>
      </w:r>
    </w:p>
    <w:p w:rsidR="001F7C09" w:rsidRPr="002F2A59" w:rsidRDefault="001F7C09" w:rsidP="00CA287F">
      <w:pPr>
        <w:rPr>
          <w:rFonts w:ascii="Arial" w:hAnsi="Arial" w:cs="Arial"/>
          <w:b/>
          <w:bCs/>
        </w:rPr>
      </w:pPr>
    </w:p>
    <w:p w:rsidR="001F7C09" w:rsidRPr="002F2A59" w:rsidRDefault="001F7C09" w:rsidP="00ED42C3">
      <w:pPr>
        <w:pStyle w:val="Heading20"/>
      </w:pPr>
      <w:r w:rsidRPr="002F2A59">
        <w:t xml:space="preserve">Crisis and </w:t>
      </w:r>
      <w:r w:rsidR="00F72773">
        <w:t>e</w:t>
      </w:r>
      <w:r w:rsidRPr="002F2A59">
        <w:t xml:space="preserve">mergency </w:t>
      </w:r>
      <w:r w:rsidR="00F72773">
        <w:t>m</w:t>
      </w:r>
      <w:r w:rsidRPr="002F2A59">
        <w:t xml:space="preserve">anagement </w:t>
      </w:r>
    </w:p>
    <w:p w:rsidR="001F7C09" w:rsidRDefault="001F7C09" w:rsidP="00CA287F">
      <w:pPr>
        <w:rPr>
          <w:rFonts w:ascii="Arial" w:hAnsi="Arial" w:cs="Arial"/>
        </w:rPr>
      </w:pPr>
      <w:r w:rsidRPr="00220C30">
        <w:rPr>
          <w:rFonts w:ascii="Arial" w:hAnsi="Arial" w:cs="Arial"/>
        </w:rPr>
        <w:t xml:space="preserve">PTV has redefined the processes and procedures for responding to and managing incidents to ensure our ability to maintain a safe and </w:t>
      </w:r>
      <w:r>
        <w:rPr>
          <w:rFonts w:ascii="Arial" w:hAnsi="Arial" w:cs="Arial"/>
        </w:rPr>
        <w:t>secure public transport network</w:t>
      </w:r>
      <w:r w:rsidRPr="00220C30">
        <w:rPr>
          <w:rFonts w:ascii="Arial" w:hAnsi="Arial" w:cs="Arial"/>
        </w:rPr>
        <w:t>.</w:t>
      </w:r>
    </w:p>
    <w:p w:rsidR="00B30C3B" w:rsidRDefault="00B30C3B" w:rsidP="00CA287F">
      <w:pPr>
        <w:rPr>
          <w:rFonts w:ascii="Arial" w:hAnsi="Arial" w:cs="Arial"/>
        </w:rPr>
      </w:pPr>
    </w:p>
    <w:p w:rsidR="00B30C3B" w:rsidRPr="00B30C3B" w:rsidRDefault="00B30C3B" w:rsidP="00ED42C3">
      <w:pPr>
        <w:pStyle w:val="Heading20"/>
      </w:pPr>
      <w:r w:rsidRPr="00B30C3B">
        <w:t>City Loop – Ombudsman Report</w:t>
      </w:r>
    </w:p>
    <w:p w:rsidR="00B30C3B" w:rsidRDefault="00B30C3B" w:rsidP="00CA287F">
      <w:pPr>
        <w:rPr>
          <w:rFonts w:ascii="Arial" w:hAnsi="Arial" w:cs="Arial"/>
        </w:rPr>
      </w:pPr>
      <w:r w:rsidRPr="00B30C3B">
        <w:rPr>
          <w:rFonts w:ascii="Arial" w:hAnsi="Arial" w:cs="Arial"/>
        </w:rPr>
        <w:t xml:space="preserve">The </w:t>
      </w:r>
      <w:r w:rsidR="006D23F3">
        <w:rPr>
          <w:rFonts w:ascii="Arial" w:hAnsi="Arial" w:cs="Arial"/>
        </w:rPr>
        <w:t>Victorian</w:t>
      </w:r>
      <w:r w:rsidRPr="00B30C3B">
        <w:rPr>
          <w:rFonts w:ascii="Arial" w:hAnsi="Arial" w:cs="Arial"/>
        </w:rPr>
        <w:t xml:space="preserve"> Ombudsman’s  report into the Melbourne Underground Rail Loop was tabled in Parliament on 25 October 2012. </w:t>
      </w:r>
    </w:p>
    <w:p w:rsidR="00B30C3B" w:rsidRPr="00B30C3B" w:rsidRDefault="00B30C3B" w:rsidP="00CA287F">
      <w:pPr>
        <w:rPr>
          <w:rFonts w:ascii="Arial" w:hAnsi="Arial" w:cs="Arial"/>
        </w:rPr>
      </w:pPr>
    </w:p>
    <w:p w:rsidR="00B30C3B" w:rsidRPr="00B30C3B" w:rsidRDefault="00DE7CD3" w:rsidP="00CA287F">
      <w:pPr>
        <w:rPr>
          <w:rFonts w:ascii="Arial" w:hAnsi="Arial" w:cs="Arial"/>
        </w:rPr>
      </w:pPr>
      <w:r>
        <w:rPr>
          <w:rFonts w:ascii="Arial" w:hAnsi="Arial" w:cs="Arial"/>
        </w:rPr>
        <w:t>PTV</w:t>
      </w:r>
      <w:r w:rsidR="00B30C3B" w:rsidRPr="00B30C3B">
        <w:rPr>
          <w:rFonts w:ascii="Arial" w:hAnsi="Arial" w:cs="Arial"/>
        </w:rPr>
        <w:t xml:space="preserve"> has accepted in full or in</w:t>
      </w:r>
      <w:r w:rsidR="00EB575D">
        <w:rPr>
          <w:rFonts w:ascii="Arial" w:hAnsi="Arial" w:cs="Arial"/>
        </w:rPr>
        <w:t xml:space="preserve"> </w:t>
      </w:r>
      <w:r w:rsidR="00B30C3B" w:rsidRPr="00B30C3B">
        <w:rPr>
          <w:rFonts w:ascii="Arial" w:hAnsi="Arial" w:cs="Arial"/>
        </w:rPr>
        <w:t xml:space="preserve">principle all of the recommendations directed to it. </w:t>
      </w:r>
    </w:p>
    <w:p w:rsidR="00F23704" w:rsidRDefault="00F23704" w:rsidP="00CA287F">
      <w:pPr>
        <w:rPr>
          <w:rFonts w:ascii="Arial" w:hAnsi="Arial" w:cs="Arial"/>
          <w:highlight w:val="yellow"/>
        </w:rPr>
      </w:pPr>
      <w:bookmarkStart w:id="19" w:name="_Toc359938676"/>
    </w:p>
    <w:p w:rsidR="001F7C09" w:rsidRPr="002F2A59" w:rsidRDefault="001F7C09" w:rsidP="00F22532">
      <w:pPr>
        <w:pStyle w:val="Heading10"/>
      </w:pPr>
      <w:r w:rsidRPr="00BC43F4">
        <w:t>THE PUBLIC FACE OF THE PUBLIC TRANSPORT SYSTEM</w:t>
      </w:r>
      <w:bookmarkEnd w:id="19"/>
      <w:r w:rsidRPr="002F2A59">
        <w:t xml:space="preserve"> </w:t>
      </w:r>
    </w:p>
    <w:p w:rsidR="001F7C09" w:rsidRDefault="001F7C09" w:rsidP="00CA287F">
      <w:pPr>
        <w:rPr>
          <w:rFonts w:ascii="Arial" w:hAnsi="Arial" w:cs="Arial"/>
          <w:b/>
          <w:bCs/>
        </w:rPr>
      </w:pPr>
    </w:p>
    <w:p w:rsidR="003E657B" w:rsidRPr="00763A9C" w:rsidRDefault="003E657B" w:rsidP="00ED42C3">
      <w:pPr>
        <w:pStyle w:val="Heading20"/>
        <w:rPr>
          <w:color w:val="FF0000"/>
        </w:rPr>
      </w:pPr>
      <w:r w:rsidRPr="002F2A59">
        <w:t>Call centre</w:t>
      </w:r>
      <w:r>
        <w:t xml:space="preserve">, website and app </w:t>
      </w:r>
    </w:p>
    <w:p w:rsidR="003E657B" w:rsidRPr="00763A9C" w:rsidRDefault="003E657B" w:rsidP="00CA287F">
      <w:pPr>
        <w:rPr>
          <w:rFonts w:ascii="Arial" w:hAnsi="Arial" w:cs="Arial"/>
          <w:b/>
        </w:rPr>
      </w:pPr>
      <w:r w:rsidRPr="00220C30">
        <w:rPr>
          <w:rFonts w:ascii="Arial" w:hAnsi="Arial" w:cs="Arial"/>
        </w:rPr>
        <w:t xml:space="preserve">The PTV call centre successfully integrated the myki call centre in February 2013 and answered more than </w:t>
      </w:r>
      <w:r w:rsidRPr="000572C0">
        <w:rPr>
          <w:rFonts w:ascii="Arial" w:hAnsi="Arial" w:cs="Arial"/>
        </w:rPr>
        <w:t>1.5</w:t>
      </w:r>
      <w:r w:rsidRPr="00220C30">
        <w:rPr>
          <w:rFonts w:ascii="Arial" w:hAnsi="Arial" w:cs="Arial"/>
        </w:rPr>
        <w:t xml:space="preserve"> million calls this year</w:t>
      </w:r>
      <w:r>
        <w:rPr>
          <w:rFonts w:ascii="Arial" w:hAnsi="Arial" w:cs="Arial"/>
        </w:rPr>
        <w:t>.</w:t>
      </w:r>
    </w:p>
    <w:p w:rsidR="003E657B" w:rsidRPr="00763A9C" w:rsidRDefault="003E657B" w:rsidP="00CA287F">
      <w:pPr>
        <w:rPr>
          <w:rFonts w:ascii="Arial" w:hAnsi="Arial" w:cs="Arial"/>
          <w:b/>
        </w:rPr>
      </w:pPr>
      <w:r w:rsidRPr="00763A9C">
        <w:rPr>
          <w:rFonts w:ascii="Arial" w:hAnsi="Arial" w:cs="Arial"/>
        </w:rPr>
        <w:t xml:space="preserve">  </w:t>
      </w:r>
    </w:p>
    <w:p w:rsidR="003E657B" w:rsidRPr="00661A14" w:rsidRDefault="003E657B" w:rsidP="00CA287F">
      <w:pPr>
        <w:rPr>
          <w:rFonts w:ascii="Arial" w:hAnsi="Arial" w:cs="Arial"/>
        </w:rPr>
      </w:pPr>
      <w:r>
        <w:rPr>
          <w:rFonts w:ascii="Arial" w:hAnsi="Arial" w:cs="Arial"/>
        </w:rPr>
        <w:t>A new</w:t>
      </w:r>
      <w:r w:rsidRPr="001D2E69">
        <w:rPr>
          <w:rFonts w:ascii="Arial" w:hAnsi="Arial" w:cs="Arial"/>
        </w:rPr>
        <w:t xml:space="preserve"> PTV website was </w:t>
      </w:r>
      <w:r>
        <w:rPr>
          <w:rFonts w:ascii="Arial" w:hAnsi="Arial" w:cs="Arial"/>
        </w:rPr>
        <w:t xml:space="preserve">launched </w:t>
      </w:r>
      <w:r w:rsidRPr="001D2E69">
        <w:rPr>
          <w:rFonts w:ascii="Arial" w:hAnsi="Arial" w:cs="Arial"/>
        </w:rPr>
        <w:t>in April 2013</w:t>
      </w:r>
      <w:r>
        <w:rPr>
          <w:rFonts w:ascii="Arial" w:hAnsi="Arial" w:cs="Arial"/>
        </w:rPr>
        <w:t>, featuring</w:t>
      </w:r>
      <w:r w:rsidRPr="001D2E69">
        <w:rPr>
          <w:rFonts w:ascii="Arial" w:hAnsi="Arial" w:cs="Arial"/>
        </w:rPr>
        <w:t xml:space="preserve"> improved journey planning and customer information. </w:t>
      </w:r>
      <w:r>
        <w:rPr>
          <w:rFonts w:ascii="Arial" w:hAnsi="Arial" w:cs="Arial"/>
        </w:rPr>
        <w:t>The PTV website had 161 million views in 2012-13.</w:t>
      </w:r>
      <w:r w:rsidRPr="001D2E69">
        <w:rPr>
          <w:rFonts w:ascii="Arial" w:hAnsi="Arial" w:cs="Arial"/>
          <w:color w:val="000000"/>
        </w:rPr>
        <w:t xml:space="preserve"> </w:t>
      </w:r>
    </w:p>
    <w:p w:rsidR="003E657B" w:rsidRPr="00661A14" w:rsidRDefault="003E657B" w:rsidP="00CA287F">
      <w:pPr>
        <w:rPr>
          <w:rFonts w:ascii="Arial" w:hAnsi="Arial" w:cs="Arial"/>
        </w:rPr>
      </w:pPr>
    </w:p>
    <w:p w:rsidR="003E657B" w:rsidRPr="001D2E69" w:rsidRDefault="003E657B" w:rsidP="00CA287F">
      <w:pPr>
        <w:rPr>
          <w:rFonts w:ascii="Arial" w:hAnsi="Arial" w:cs="Arial"/>
        </w:rPr>
      </w:pPr>
      <w:r w:rsidRPr="001D2E69">
        <w:rPr>
          <w:rFonts w:ascii="Arial" w:hAnsi="Arial" w:cs="Arial"/>
        </w:rPr>
        <w:t xml:space="preserve">The latest update of PTV’s iPhone app was released in April 2013. </w:t>
      </w:r>
      <w:r>
        <w:rPr>
          <w:rFonts w:ascii="Arial" w:hAnsi="Arial" w:cs="Arial"/>
        </w:rPr>
        <w:t>More than 130,000 people installed the app in 2012-13 (excluding updates).</w:t>
      </w:r>
    </w:p>
    <w:p w:rsidR="003E657B" w:rsidRPr="002F2A59" w:rsidRDefault="003E657B" w:rsidP="00CA287F">
      <w:pPr>
        <w:rPr>
          <w:rFonts w:ascii="Arial" w:hAnsi="Arial" w:cs="Arial"/>
          <w:b/>
          <w:bCs/>
        </w:rPr>
      </w:pPr>
    </w:p>
    <w:p w:rsidR="003E657B" w:rsidRPr="002F2A59" w:rsidRDefault="003E657B" w:rsidP="00ED42C3">
      <w:pPr>
        <w:pStyle w:val="Heading20"/>
      </w:pPr>
      <w:r>
        <w:t>Customer r</w:t>
      </w:r>
      <w:r w:rsidRPr="002F2A59">
        <w:t>elations</w:t>
      </w:r>
      <w:r>
        <w:t xml:space="preserve"> </w:t>
      </w:r>
    </w:p>
    <w:p w:rsidR="003E657B" w:rsidRPr="00220C30" w:rsidRDefault="003E657B" w:rsidP="00CA287F">
      <w:pPr>
        <w:rPr>
          <w:rFonts w:ascii="Arial" w:hAnsi="Arial" w:cs="Arial"/>
        </w:rPr>
      </w:pPr>
      <w:r w:rsidRPr="00220C30">
        <w:rPr>
          <w:rFonts w:ascii="Arial" w:hAnsi="Arial" w:cs="Arial"/>
        </w:rPr>
        <w:t xml:space="preserve">PTV is working with operators and the Public Transport Ombudsman to </w:t>
      </w:r>
      <w:r>
        <w:rPr>
          <w:rFonts w:ascii="Arial" w:hAnsi="Arial" w:cs="Arial"/>
        </w:rPr>
        <w:t xml:space="preserve">improve </w:t>
      </w:r>
      <w:r w:rsidRPr="00220C30">
        <w:rPr>
          <w:rFonts w:ascii="Arial" w:hAnsi="Arial" w:cs="Arial"/>
        </w:rPr>
        <w:t>customer service by monitoring complaint trends and improving complaint handling procedures.</w:t>
      </w:r>
    </w:p>
    <w:p w:rsidR="003E657B" w:rsidRPr="002F2A59" w:rsidRDefault="003E657B" w:rsidP="00CA287F">
      <w:pPr>
        <w:rPr>
          <w:rFonts w:ascii="Arial" w:hAnsi="Arial" w:cs="Arial"/>
        </w:rPr>
      </w:pPr>
    </w:p>
    <w:p w:rsidR="003E657B" w:rsidRDefault="003E657B" w:rsidP="00CA287F">
      <w:pPr>
        <w:rPr>
          <w:rFonts w:ascii="Arial" w:hAnsi="Arial" w:cs="Arial"/>
        </w:rPr>
      </w:pPr>
      <w:r w:rsidRPr="00220C30">
        <w:rPr>
          <w:rFonts w:ascii="Arial" w:hAnsi="Arial" w:cs="Arial"/>
        </w:rPr>
        <w:t>The PTV Customer Relations team engaged with community groups and provided educ</w:t>
      </w:r>
      <w:r>
        <w:rPr>
          <w:rFonts w:ascii="Arial" w:hAnsi="Arial" w:cs="Arial"/>
        </w:rPr>
        <w:t>ational presentations to over 1</w:t>
      </w:r>
      <w:r w:rsidRPr="00220C30">
        <w:rPr>
          <w:rFonts w:ascii="Arial" w:hAnsi="Arial" w:cs="Arial"/>
        </w:rPr>
        <w:t>000 people across Victoria including seniors, students, carers and disability support pensioners.</w:t>
      </w:r>
    </w:p>
    <w:p w:rsidR="003E657B" w:rsidRPr="001F7C09" w:rsidRDefault="003E657B" w:rsidP="00CA287F">
      <w:pPr>
        <w:rPr>
          <w:rFonts w:ascii="Arial" w:hAnsi="Arial" w:cs="Arial"/>
        </w:rPr>
      </w:pPr>
    </w:p>
    <w:p w:rsidR="003E657B" w:rsidRPr="00220C30" w:rsidRDefault="003E657B" w:rsidP="00CA287F">
      <w:pPr>
        <w:rPr>
          <w:rFonts w:ascii="Arial" w:hAnsi="Arial" w:cs="Arial"/>
        </w:rPr>
      </w:pPr>
      <w:r w:rsidRPr="00220C30">
        <w:rPr>
          <w:rFonts w:ascii="Arial" w:hAnsi="Arial" w:cs="Arial"/>
        </w:rPr>
        <w:t>The</w:t>
      </w:r>
      <w:r w:rsidRPr="00220C30">
        <w:rPr>
          <w:rFonts w:ascii="Arial" w:hAnsi="Arial" w:cs="Arial"/>
          <w:b/>
        </w:rPr>
        <w:t xml:space="preserve"> </w:t>
      </w:r>
      <w:r w:rsidRPr="00220C30">
        <w:rPr>
          <w:rFonts w:ascii="Arial" w:hAnsi="Arial" w:cs="Arial"/>
        </w:rPr>
        <w:t>PTV Hub at Southern Cross Station opened on 12 November 20</w:t>
      </w:r>
      <w:r>
        <w:rPr>
          <w:rFonts w:ascii="Arial" w:hAnsi="Arial" w:cs="Arial"/>
        </w:rPr>
        <w:t>12 and is receiving around 1400</w:t>
      </w:r>
      <w:r w:rsidRPr="00220C30">
        <w:rPr>
          <w:rFonts w:ascii="Arial" w:hAnsi="Arial" w:cs="Arial"/>
        </w:rPr>
        <w:t xml:space="preserve"> visitors a day. Pop up hubs have supported public transport users at special events, at Station Pier and to inform </w:t>
      </w:r>
      <w:r>
        <w:rPr>
          <w:rFonts w:ascii="Arial" w:hAnsi="Arial" w:cs="Arial"/>
        </w:rPr>
        <w:t>passengers</w:t>
      </w:r>
      <w:r w:rsidRPr="00220C30">
        <w:rPr>
          <w:rFonts w:ascii="Arial" w:hAnsi="Arial" w:cs="Arial"/>
        </w:rPr>
        <w:t xml:space="preserve"> about the introduction of myki.</w:t>
      </w:r>
    </w:p>
    <w:p w:rsidR="003E657B" w:rsidRPr="002F2A59" w:rsidRDefault="003E657B" w:rsidP="00CA287F">
      <w:pPr>
        <w:rPr>
          <w:rFonts w:ascii="Arial" w:hAnsi="Arial" w:cs="Arial"/>
          <w:b/>
        </w:rPr>
      </w:pPr>
    </w:p>
    <w:p w:rsidR="001F7C09" w:rsidRPr="00763A9C" w:rsidRDefault="001F7C09" w:rsidP="00ED42C3">
      <w:pPr>
        <w:pStyle w:val="Heading20"/>
        <w:rPr>
          <w:color w:val="FF0000"/>
        </w:rPr>
      </w:pPr>
      <w:r w:rsidRPr="002F2A59">
        <w:t>Fare evasion</w:t>
      </w:r>
      <w:r>
        <w:t xml:space="preserve"> </w:t>
      </w:r>
    </w:p>
    <w:p w:rsidR="001F7C09" w:rsidRDefault="0033015E" w:rsidP="00CA287F">
      <w:pPr>
        <w:rPr>
          <w:rFonts w:ascii="Arial" w:hAnsi="Arial" w:cs="Arial"/>
        </w:rPr>
      </w:pPr>
      <w:r>
        <w:rPr>
          <w:rFonts w:ascii="Arial" w:hAnsi="Arial" w:cs="Arial"/>
        </w:rPr>
        <w:t xml:space="preserve">There was a reduction in </w:t>
      </w:r>
      <w:r w:rsidR="001F7C09" w:rsidRPr="00220C30">
        <w:rPr>
          <w:rFonts w:ascii="Arial" w:hAnsi="Arial" w:cs="Arial"/>
        </w:rPr>
        <w:t xml:space="preserve">fare evasion across the </w:t>
      </w:r>
      <w:r w:rsidR="001F7C09">
        <w:rPr>
          <w:rFonts w:ascii="Arial" w:hAnsi="Arial" w:cs="Arial"/>
        </w:rPr>
        <w:t>metropolitan network from 13.5</w:t>
      </w:r>
      <w:r w:rsidR="006F449C">
        <w:rPr>
          <w:rFonts w:ascii="Arial" w:hAnsi="Arial" w:cs="Arial"/>
        </w:rPr>
        <w:t xml:space="preserve"> per cent</w:t>
      </w:r>
      <w:r w:rsidR="001F7C09" w:rsidRPr="00220C30">
        <w:rPr>
          <w:rFonts w:ascii="Arial" w:hAnsi="Arial" w:cs="Arial"/>
        </w:rPr>
        <w:t xml:space="preserve"> in May 2011 to 9.4</w:t>
      </w:r>
      <w:r w:rsidR="006F449C">
        <w:rPr>
          <w:rFonts w:ascii="Arial" w:hAnsi="Arial" w:cs="Arial"/>
        </w:rPr>
        <w:t xml:space="preserve"> per cent</w:t>
      </w:r>
      <w:r w:rsidR="001F7C09" w:rsidRPr="00220C30">
        <w:rPr>
          <w:rFonts w:ascii="Arial" w:hAnsi="Arial" w:cs="Arial"/>
        </w:rPr>
        <w:t xml:space="preserve"> in October 2012</w:t>
      </w:r>
      <w:r>
        <w:rPr>
          <w:rFonts w:ascii="Arial" w:hAnsi="Arial" w:cs="Arial"/>
        </w:rPr>
        <w:t>, and then an increase to</w:t>
      </w:r>
      <w:r w:rsidRPr="0033015E">
        <w:rPr>
          <w:rFonts w:ascii="Arial" w:hAnsi="Arial" w:cs="Arial"/>
        </w:rPr>
        <w:t xml:space="preserve"> 11.9 per cent in May 2013.</w:t>
      </w:r>
    </w:p>
    <w:p w:rsidR="001F7C09" w:rsidRDefault="001F7C09" w:rsidP="00CA287F">
      <w:pPr>
        <w:rPr>
          <w:rFonts w:ascii="Arial" w:hAnsi="Arial" w:cs="Arial"/>
        </w:rPr>
      </w:pPr>
    </w:p>
    <w:p w:rsidR="001F7C09" w:rsidRPr="001B03B1" w:rsidRDefault="001B03B1" w:rsidP="00CA287F">
      <w:pPr>
        <w:rPr>
          <w:rFonts w:ascii="Arial" w:hAnsi="Arial" w:cs="Arial"/>
        </w:rPr>
      </w:pPr>
      <w:r w:rsidRPr="001B03B1">
        <w:rPr>
          <w:rFonts w:ascii="Arial" w:hAnsi="Arial" w:cs="Arial"/>
        </w:rPr>
        <w:t xml:space="preserve">The 2013 Network Revenue Protection Plan, developed with operators, </w:t>
      </w:r>
      <w:r w:rsidR="001F7C09" w:rsidRPr="001B03B1">
        <w:rPr>
          <w:rFonts w:ascii="Arial" w:hAnsi="Arial" w:cs="Arial"/>
        </w:rPr>
        <w:t>support</w:t>
      </w:r>
      <w:r>
        <w:rPr>
          <w:rFonts w:ascii="Arial" w:hAnsi="Arial" w:cs="Arial"/>
        </w:rPr>
        <w:t>ed</w:t>
      </w:r>
      <w:r w:rsidR="001F7C09" w:rsidRPr="001B03B1">
        <w:rPr>
          <w:rFonts w:ascii="Arial" w:hAnsi="Arial" w:cs="Arial"/>
        </w:rPr>
        <w:t xml:space="preserve"> the activities of Authorised Officers. </w:t>
      </w:r>
    </w:p>
    <w:p w:rsidR="001F7C09" w:rsidRDefault="001F7C09" w:rsidP="00CA287F">
      <w:pPr>
        <w:rPr>
          <w:rFonts w:ascii="Arial" w:hAnsi="Arial" w:cs="Arial"/>
        </w:rPr>
      </w:pPr>
    </w:p>
    <w:p w:rsidR="001F7C09" w:rsidRPr="00220C30" w:rsidRDefault="001F7C09" w:rsidP="00CA287F">
      <w:pPr>
        <w:rPr>
          <w:rFonts w:ascii="Arial" w:hAnsi="Arial" w:cs="Arial"/>
        </w:rPr>
      </w:pPr>
      <w:r w:rsidRPr="00220C30">
        <w:rPr>
          <w:rFonts w:ascii="Arial" w:hAnsi="Arial" w:cs="Arial"/>
        </w:rPr>
        <w:t>A marketing campaign targeting fare evaders has made an important contribution to revenue protection strategy, as has the latest research aimed at better understanding the psychology of fare evaders.</w:t>
      </w:r>
    </w:p>
    <w:p w:rsidR="001F7C09" w:rsidRPr="002F2A59" w:rsidRDefault="001F7C09" w:rsidP="00CA287F">
      <w:pPr>
        <w:rPr>
          <w:rFonts w:ascii="Arial" w:hAnsi="Arial" w:cs="Arial"/>
          <w:b/>
        </w:rPr>
      </w:pPr>
    </w:p>
    <w:p w:rsidR="001F7C09" w:rsidRPr="002F2A59" w:rsidRDefault="001F7C09" w:rsidP="00ED42C3">
      <w:pPr>
        <w:pStyle w:val="Heading20"/>
        <w:rPr>
          <w:lang w:eastAsia="en-US"/>
        </w:rPr>
      </w:pPr>
      <w:r w:rsidRPr="002F2A59">
        <w:t xml:space="preserve">myki </w:t>
      </w:r>
    </w:p>
    <w:p w:rsidR="001F7C09" w:rsidRPr="00220C30" w:rsidRDefault="001F7C09" w:rsidP="00CA287F">
      <w:pPr>
        <w:rPr>
          <w:rFonts w:ascii="Arial" w:hAnsi="Arial" w:cs="Arial"/>
        </w:rPr>
      </w:pPr>
      <w:r w:rsidRPr="00220C30">
        <w:rPr>
          <w:rFonts w:ascii="Arial" w:hAnsi="Arial" w:cs="Arial"/>
        </w:rPr>
        <w:t xml:space="preserve">myki became the only ticket for public transport in Melbourne on 29 December 2012. </w:t>
      </w:r>
    </w:p>
    <w:p w:rsidR="001F7C09" w:rsidRPr="002F2A59" w:rsidRDefault="001F7C09" w:rsidP="00CA287F">
      <w:pPr>
        <w:rPr>
          <w:rFonts w:ascii="Arial" w:hAnsi="Arial" w:cs="Arial"/>
        </w:rPr>
      </w:pPr>
    </w:p>
    <w:p w:rsidR="001F7C09" w:rsidRPr="00220C30" w:rsidRDefault="001F7C09" w:rsidP="00CA287F">
      <w:pPr>
        <w:rPr>
          <w:rFonts w:ascii="Arial" w:hAnsi="Arial" w:cs="Arial"/>
        </w:rPr>
      </w:pPr>
      <w:r w:rsidRPr="00220C30">
        <w:rPr>
          <w:rFonts w:ascii="Arial" w:hAnsi="Arial" w:cs="Arial"/>
        </w:rPr>
        <w:t>Marketing campaigns supported the withdrawal of Metcard</w:t>
      </w:r>
      <w:r w:rsidR="00062F5F">
        <w:rPr>
          <w:rFonts w:ascii="Arial" w:hAnsi="Arial" w:cs="Arial"/>
        </w:rPr>
        <w:t xml:space="preserve"> and highlighted the benefits of myki auto top up. T</w:t>
      </w:r>
      <w:r w:rsidRPr="00220C30">
        <w:rPr>
          <w:rFonts w:ascii="Arial" w:hAnsi="Arial" w:cs="Arial"/>
        </w:rPr>
        <w:t>he d</w:t>
      </w:r>
      <w:r w:rsidRPr="00570960">
        <w:rPr>
          <w:rFonts w:ascii="Arial" w:hAnsi="Arial" w:cs="Arial"/>
        </w:rPr>
        <w:t xml:space="preserve">onation of unused Metcards raised funds for </w:t>
      </w:r>
      <w:r w:rsidR="00B40948">
        <w:rPr>
          <w:rFonts w:ascii="Arial" w:hAnsi="Arial" w:cs="Arial"/>
        </w:rPr>
        <w:t>Melbourne charities</w:t>
      </w:r>
      <w:r w:rsidRPr="00220C30">
        <w:rPr>
          <w:rFonts w:ascii="Arial" w:hAnsi="Arial" w:cs="Arial"/>
        </w:rPr>
        <w:t xml:space="preserve">. </w:t>
      </w:r>
    </w:p>
    <w:p w:rsidR="001F7C09" w:rsidRPr="002F2A59" w:rsidRDefault="001F7C09" w:rsidP="00CA287F">
      <w:pPr>
        <w:rPr>
          <w:rFonts w:ascii="Arial" w:hAnsi="Arial" w:cs="Arial"/>
        </w:rPr>
      </w:pPr>
    </w:p>
    <w:p w:rsidR="00570960" w:rsidRPr="00220C30" w:rsidRDefault="00570960" w:rsidP="00570960">
      <w:pPr>
        <w:rPr>
          <w:rFonts w:ascii="Arial" w:hAnsi="Arial" w:cs="Arial"/>
        </w:rPr>
      </w:pPr>
      <w:r w:rsidRPr="00220C30">
        <w:rPr>
          <w:rFonts w:ascii="Arial" w:hAnsi="Arial" w:cs="Arial"/>
        </w:rPr>
        <w:t xml:space="preserve">In regional Victoria, short term tickets were phased out </w:t>
      </w:r>
      <w:r>
        <w:rPr>
          <w:rFonts w:ascii="Arial" w:hAnsi="Arial" w:cs="Arial"/>
        </w:rPr>
        <w:t xml:space="preserve">on regional town buses </w:t>
      </w:r>
      <w:r w:rsidRPr="00220C30">
        <w:rPr>
          <w:rFonts w:ascii="Arial" w:hAnsi="Arial" w:cs="Arial"/>
        </w:rPr>
        <w:t xml:space="preserve">in April 2013.  The conversion of V/Line inter urban corridors to myki began on the Seymour line in June 2013 and will continue line by line. </w:t>
      </w:r>
    </w:p>
    <w:p w:rsidR="00570960" w:rsidRPr="002F2A59" w:rsidRDefault="00570960" w:rsidP="00570960">
      <w:pPr>
        <w:rPr>
          <w:rFonts w:ascii="Arial" w:hAnsi="Arial" w:cs="Arial"/>
        </w:rPr>
      </w:pPr>
    </w:p>
    <w:p w:rsidR="00570960" w:rsidRPr="00220C30" w:rsidRDefault="00570960" w:rsidP="00570960">
      <w:pPr>
        <w:rPr>
          <w:rFonts w:ascii="Arial" w:hAnsi="Arial" w:cs="Arial"/>
        </w:rPr>
      </w:pPr>
      <w:r w:rsidRPr="00220C30">
        <w:rPr>
          <w:rFonts w:ascii="Arial" w:hAnsi="Arial" w:cs="Arial"/>
        </w:rPr>
        <w:t>More than 5.7 million myki cards have now been issued to customers. The system is processing more than 6 million touch ons each week, with more than 1.1 million individual cards being used for travel</w:t>
      </w:r>
      <w:r>
        <w:rPr>
          <w:rFonts w:ascii="Arial" w:hAnsi="Arial" w:cs="Arial"/>
        </w:rPr>
        <w:t xml:space="preserve"> each week</w:t>
      </w:r>
      <w:r w:rsidRPr="00220C30">
        <w:rPr>
          <w:rFonts w:ascii="Arial" w:hAnsi="Arial" w:cs="Arial"/>
        </w:rPr>
        <w:t>.</w:t>
      </w:r>
    </w:p>
    <w:p w:rsidR="00570960" w:rsidRPr="002F2A59" w:rsidRDefault="00570960" w:rsidP="00570960">
      <w:pPr>
        <w:rPr>
          <w:rFonts w:ascii="Arial" w:hAnsi="Arial" w:cs="Arial"/>
        </w:rPr>
      </w:pPr>
    </w:p>
    <w:p w:rsidR="00570960" w:rsidRPr="00220C30" w:rsidRDefault="00570960" w:rsidP="00570960">
      <w:pPr>
        <w:rPr>
          <w:rFonts w:ascii="Arial" w:hAnsi="Arial" w:cs="Arial"/>
        </w:rPr>
      </w:pPr>
      <w:r w:rsidRPr="00220C30">
        <w:rPr>
          <w:rFonts w:ascii="Arial" w:hAnsi="Arial" w:cs="Arial"/>
        </w:rPr>
        <w:t xml:space="preserve">myki is now available </w:t>
      </w:r>
      <w:r>
        <w:rPr>
          <w:rFonts w:ascii="Arial" w:hAnsi="Arial" w:cs="Arial"/>
        </w:rPr>
        <w:t>at</w:t>
      </w:r>
      <w:r w:rsidRPr="00220C30">
        <w:rPr>
          <w:rFonts w:ascii="Arial" w:hAnsi="Arial" w:cs="Arial"/>
        </w:rPr>
        <w:t xml:space="preserve"> over 800 retail channels including all 7-Eleven stores. Staffed train stations now have myki ticket office terminals, and there are card vending machines at </w:t>
      </w:r>
      <w:r>
        <w:rPr>
          <w:rFonts w:ascii="Arial" w:hAnsi="Arial" w:cs="Arial"/>
        </w:rPr>
        <w:t xml:space="preserve">all train </w:t>
      </w:r>
      <w:r w:rsidRPr="00220C30">
        <w:rPr>
          <w:rFonts w:ascii="Arial" w:hAnsi="Arial" w:cs="Arial"/>
        </w:rPr>
        <w:t xml:space="preserve">stations and </w:t>
      </w:r>
      <w:r>
        <w:rPr>
          <w:rFonts w:ascii="Arial" w:hAnsi="Arial" w:cs="Arial"/>
        </w:rPr>
        <w:t xml:space="preserve">at selected </w:t>
      </w:r>
      <w:r w:rsidRPr="00220C30">
        <w:rPr>
          <w:rFonts w:ascii="Arial" w:hAnsi="Arial" w:cs="Arial"/>
        </w:rPr>
        <w:t>tram</w:t>
      </w:r>
      <w:r>
        <w:rPr>
          <w:rFonts w:ascii="Arial" w:hAnsi="Arial" w:cs="Arial"/>
        </w:rPr>
        <w:t xml:space="preserve"> and bus </w:t>
      </w:r>
      <w:r w:rsidRPr="00220C30">
        <w:rPr>
          <w:rFonts w:ascii="Arial" w:hAnsi="Arial" w:cs="Arial"/>
        </w:rPr>
        <w:t xml:space="preserve">stops. </w:t>
      </w:r>
    </w:p>
    <w:p w:rsidR="00570960" w:rsidRPr="002F2A59" w:rsidRDefault="00570960" w:rsidP="00570960">
      <w:pPr>
        <w:rPr>
          <w:rFonts w:ascii="Arial" w:hAnsi="Arial" w:cs="Arial"/>
        </w:rPr>
      </w:pPr>
    </w:p>
    <w:p w:rsidR="00570960" w:rsidRPr="00220C30" w:rsidRDefault="00570960" w:rsidP="00570960">
      <w:pPr>
        <w:rPr>
          <w:rFonts w:ascii="Arial" w:hAnsi="Arial" w:cs="Arial"/>
        </w:rPr>
      </w:pPr>
      <w:r w:rsidRPr="00220C30">
        <w:rPr>
          <w:rFonts w:ascii="Arial" w:hAnsi="Arial" w:cs="Arial"/>
        </w:rPr>
        <w:t xml:space="preserve">The installation of </w:t>
      </w:r>
      <w:r>
        <w:rPr>
          <w:rFonts w:ascii="Arial" w:hAnsi="Arial" w:cs="Arial"/>
        </w:rPr>
        <w:t>additional</w:t>
      </w:r>
      <w:r w:rsidRPr="00220C30">
        <w:rPr>
          <w:rFonts w:ascii="Arial" w:hAnsi="Arial" w:cs="Arial"/>
        </w:rPr>
        <w:t xml:space="preserve"> myki top up/purchase locations on the tram network has commenced.</w:t>
      </w:r>
    </w:p>
    <w:p w:rsidR="00570960" w:rsidRPr="002F2A59" w:rsidRDefault="00570960" w:rsidP="00570960">
      <w:pPr>
        <w:rPr>
          <w:rFonts w:ascii="Arial" w:hAnsi="Arial" w:cs="Arial"/>
        </w:rPr>
      </w:pPr>
    </w:p>
    <w:p w:rsidR="00570960" w:rsidRPr="00220C30" w:rsidRDefault="00570960" w:rsidP="00570960">
      <w:pPr>
        <w:rPr>
          <w:rFonts w:ascii="Arial" w:hAnsi="Arial" w:cs="Arial"/>
        </w:rPr>
      </w:pPr>
      <w:r w:rsidRPr="00220C30">
        <w:rPr>
          <w:rFonts w:ascii="Arial" w:hAnsi="Arial" w:cs="Arial"/>
        </w:rPr>
        <w:t>The pre-loaded myki Visitor Pack became available in July 2012 through major hotels</w:t>
      </w:r>
      <w:r>
        <w:rPr>
          <w:rFonts w:ascii="Arial" w:hAnsi="Arial" w:cs="Arial"/>
        </w:rPr>
        <w:t>, tourist attractions and tourist information centres</w:t>
      </w:r>
      <w:r w:rsidRPr="00220C30">
        <w:rPr>
          <w:rFonts w:ascii="Arial" w:hAnsi="Arial" w:cs="Arial"/>
        </w:rPr>
        <w:t xml:space="preserve">. </w:t>
      </w:r>
    </w:p>
    <w:p w:rsidR="001F7C09" w:rsidRPr="002F2A59" w:rsidRDefault="001F7C09" w:rsidP="00CA287F">
      <w:pPr>
        <w:rPr>
          <w:rFonts w:ascii="Arial" w:hAnsi="Arial" w:cs="Arial"/>
        </w:rPr>
      </w:pPr>
    </w:p>
    <w:p w:rsidR="001F7C09" w:rsidRPr="002F2A59" w:rsidRDefault="001F7C09" w:rsidP="00ED42C3">
      <w:pPr>
        <w:pStyle w:val="Heading20"/>
      </w:pPr>
      <w:r w:rsidRPr="002F2A59">
        <w:t xml:space="preserve">Market and commercial analysis </w:t>
      </w:r>
    </w:p>
    <w:p w:rsidR="001F7C09" w:rsidRPr="00837C58" w:rsidRDefault="001F7C09" w:rsidP="00CA287F">
      <w:pPr>
        <w:rPr>
          <w:rFonts w:ascii="Arial" w:hAnsi="Arial" w:cs="Arial"/>
        </w:rPr>
      </w:pPr>
      <w:r w:rsidRPr="00837C58">
        <w:rPr>
          <w:rFonts w:ascii="Arial" w:hAnsi="Arial" w:cs="Arial"/>
        </w:rPr>
        <w:t>Publishing our research increases PTV’s transparency, helps us better meet passenger need</w:t>
      </w:r>
      <w:r>
        <w:rPr>
          <w:rFonts w:ascii="Arial" w:hAnsi="Arial" w:cs="Arial"/>
        </w:rPr>
        <w:t xml:space="preserve">s and delivers a comprehensive </w:t>
      </w:r>
      <w:r w:rsidRPr="00837C58">
        <w:rPr>
          <w:rFonts w:ascii="Arial" w:hAnsi="Arial" w:cs="Arial"/>
        </w:rPr>
        <w:t>view of the transport network</w:t>
      </w:r>
      <w:r>
        <w:rPr>
          <w:rFonts w:ascii="Arial" w:hAnsi="Arial" w:cs="Arial"/>
        </w:rPr>
        <w:t xml:space="preserve"> to the public</w:t>
      </w:r>
      <w:r w:rsidRPr="00837C58">
        <w:rPr>
          <w:rFonts w:ascii="Arial" w:hAnsi="Arial" w:cs="Arial"/>
        </w:rPr>
        <w:t>.</w:t>
      </w:r>
    </w:p>
    <w:p w:rsidR="001F7C09" w:rsidRPr="002F2A59" w:rsidRDefault="001F7C09" w:rsidP="00CA287F">
      <w:pPr>
        <w:rPr>
          <w:rFonts w:ascii="Arial" w:hAnsi="Arial" w:cs="Arial"/>
        </w:rPr>
      </w:pPr>
    </w:p>
    <w:p w:rsidR="001F7C09" w:rsidRPr="00837C58" w:rsidRDefault="001F7C09" w:rsidP="00CA287F">
      <w:pPr>
        <w:rPr>
          <w:rFonts w:ascii="Arial" w:hAnsi="Arial" w:cs="Arial"/>
        </w:rPr>
      </w:pPr>
      <w:r w:rsidRPr="00837C58">
        <w:rPr>
          <w:rFonts w:ascii="Arial" w:hAnsi="Arial" w:cs="Arial"/>
        </w:rPr>
        <w:t>New pieces of research published this year include a ranking of all Melbourne stations by the number of entries, and research into crowd distribution on train carriages.</w:t>
      </w:r>
    </w:p>
    <w:p w:rsidR="001F7C09" w:rsidRPr="002F2A59" w:rsidRDefault="001F7C09" w:rsidP="00CA287F">
      <w:pPr>
        <w:rPr>
          <w:rFonts w:ascii="Arial" w:hAnsi="Arial" w:cs="Arial"/>
        </w:rPr>
      </w:pPr>
    </w:p>
    <w:p w:rsidR="001F7C09" w:rsidRPr="00837C58" w:rsidRDefault="001F7C09" w:rsidP="00CA287F">
      <w:pPr>
        <w:rPr>
          <w:rFonts w:ascii="Arial" w:hAnsi="Arial" w:cs="Arial"/>
        </w:rPr>
      </w:pPr>
      <w:r w:rsidRPr="00837C58">
        <w:rPr>
          <w:rFonts w:ascii="Arial" w:hAnsi="Arial" w:cs="Arial"/>
        </w:rPr>
        <w:t xml:space="preserve">PTV supports the open data government policy by </w:t>
      </w:r>
      <w:r w:rsidR="006F449C">
        <w:rPr>
          <w:rFonts w:ascii="Arial" w:hAnsi="Arial" w:cs="Arial"/>
        </w:rPr>
        <w:t xml:space="preserve">publishing </w:t>
      </w:r>
      <w:r w:rsidR="006F449C" w:rsidRPr="00837C58">
        <w:rPr>
          <w:rFonts w:ascii="Arial" w:hAnsi="Arial" w:cs="Arial"/>
        </w:rPr>
        <w:t>datasets for train loads, origin/destination and station patronage</w:t>
      </w:r>
      <w:r w:rsidR="006F449C">
        <w:rPr>
          <w:rFonts w:ascii="Arial" w:hAnsi="Arial" w:cs="Arial"/>
        </w:rPr>
        <w:t xml:space="preserve"> on its website and</w:t>
      </w:r>
      <w:r w:rsidRPr="00837C58">
        <w:rPr>
          <w:rFonts w:ascii="Arial" w:hAnsi="Arial" w:cs="Arial"/>
        </w:rPr>
        <w:t xml:space="preserve"> the </w:t>
      </w:r>
      <w:r w:rsidR="006F449C">
        <w:rPr>
          <w:rFonts w:ascii="Arial" w:hAnsi="Arial" w:cs="Arial"/>
        </w:rPr>
        <w:t xml:space="preserve">online </w:t>
      </w:r>
      <w:r w:rsidRPr="00837C58">
        <w:rPr>
          <w:rFonts w:ascii="Arial" w:hAnsi="Arial" w:cs="Arial"/>
        </w:rPr>
        <w:t xml:space="preserve">Victorian Government Data Directory. </w:t>
      </w:r>
    </w:p>
    <w:p w:rsidR="001F7C09" w:rsidRPr="002F2A59" w:rsidRDefault="001F7C09" w:rsidP="00CA287F">
      <w:pPr>
        <w:rPr>
          <w:rFonts w:ascii="Arial" w:hAnsi="Arial" w:cs="Arial"/>
          <w:b/>
          <w:bCs/>
          <w:u w:val="single"/>
        </w:rPr>
      </w:pPr>
    </w:p>
    <w:p w:rsidR="001F7C09" w:rsidRPr="002F2A59" w:rsidRDefault="001F7C09" w:rsidP="00F22532">
      <w:pPr>
        <w:pStyle w:val="Heading10"/>
      </w:pPr>
      <w:bookmarkStart w:id="20" w:name="_Toc359938677"/>
      <w:r w:rsidRPr="00BC43F4">
        <w:t>CONSTRUCT AND MAINTAIN PUBLIC TRANSPORT INFRASTRUCTURE</w:t>
      </w:r>
      <w:bookmarkEnd w:id="20"/>
    </w:p>
    <w:p w:rsidR="001F7C09" w:rsidRDefault="001F7C09" w:rsidP="00CA287F">
      <w:pPr>
        <w:rPr>
          <w:rFonts w:ascii="Arial" w:hAnsi="Arial" w:cs="Arial"/>
          <w:b/>
        </w:rPr>
      </w:pPr>
    </w:p>
    <w:p w:rsidR="00D270A9" w:rsidRPr="002F2A59" w:rsidRDefault="00D270A9" w:rsidP="00ED42C3">
      <w:pPr>
        <w:pStyle w:val="Heading20"/>
      </w:pPr>
      <w:r>
        <w:t>Network maintenance</w:t>
      </w:r>
    </w:p>
    <w:p w:rsidR="00A30372" w:rsidRDefault="00A30372" w:rsidP="00CA287F">
      <w:pPr>
        <w:rPr>
          <w:rFonts w:ascii="Arial" w:hAnsi="Arial" w:cs="Arial"/>
        </w:rPr>
      </w:pPr>
      <w:r w:rsidRPr="00ED42C3">
        <w:rPr>
          <w:rFonts w:ascii="Arial" w:hAnsi="Arial" w:cs="Arial"/>
        </w:rPr>
        <w:t xml:space="preserve">$100 million </w:t>
      </w:r>
      <w:r w:rsidR="001D4821" w:rsidRPr="00ED42C3">
        <w:rPr>
          <w:rFonts w:ascii="Arial" w:hAnsi="Arial" w:cs="Arial"/>
        </w:rPr>
        <w:t xml:space="preserve">has been funded </w:t>
      </w:r>
      <w:r w:rsidRPr="00ED42C3">
        <w:rPr>
          <w:rFonts w:ascii="Arial" w:hAnsi="Arial" w:cs="Arial"/>
        </w:rPr>
        <w:t>over four years for metropolitan and regional</w:t>
      </w:r>
      <w:r w:rsidRPr="00D36B10">
        <w:rPr>
          <w:rFonts w:ascii="Arial" w:hAnsi="Arial" w:cs="Arial"/>
        </w:rPr>
        <w:t xml:space="preserve"> rail asset renewal and maintenance</w:t>
      </w:r>
      <w:r>
        <w:rPr>
          <w:rFonts w:ascii="Arial" w:hAnsi="Arial" w:cs="Arial"/>
        </w:rPr>
        <w:t>, in addition to Metro and V/Line’s annual works plans.</w:t>
      </w:r>
    </w:p>
    <w:p w:rsidR="00D270A9" w:rsidRDefault="00D270A9" w:rsidP="00CA287F">
      <w:pPr>
        <w:rPr>
          <w:rFonts w:ascii="Arial" w:hAnsi="Arial" w:cs="Arial"/>
        </w:rPr>
      </w:pPr>
    </w:p>
    <w:p w:rsidR="00D270A9" w:rsidRPr="00D36B10" w:rsidRDefault="00D270A9" w:rsidP="00CA287F">
      <w:pPr>
        <w:rPr>
          <w:rFonts w:ascii="Arial" w:hAnsi="Arial" w:cs="Arial"/>
        </w:rPr>
      </w:pPr>
      <w:r w:rsidRPr="00D36B10">
        <w:rPr>
          <w:rFonts w:ascii="Arial" w:hAnsi="Arial" w:cs="Arial"/>
        </w:rPr>
        <w:t>Works across the train and tram networks include</w:t>
      </w:r>
      <w:r>
        <w:rPr>
          <w:rFonts w:ascii="Arial" w:hAnsi="Arial" w:cs="Arial"/>
        </w:rPr>
        <w:t>d</w:t>
      </w:r>
      <w:r w:rsidRPr="00D36B10">
        <w:rPr>
          <w:rFonts w:ascii="Arial" w:hAnsi="Arial" w:cs="Arial"/>
        </w:rPr>
        <w:t xml:space="preserve"> new concrete sleepers, new overhead wires, new and upgraded sub-stations to power more train services, and track upgrades.</w:t>
      </w:r>
    </w:p>
    <w:p w:rsidR="00D270A9" w:rsidRPr="002F2A59" w:rsidRDefault="00D270A9" w:rsidP="00CA287F">
      <w:pPr>
        <w:rPr>
          <w:rFonts w:ascii="Arial" w:hAnsi="Arial" w:cs="Arial"/>
        </w:rPr>
      </w:pPr>
    </w:p>
    <w:p w:rsidR="00D270A9" w:rsidRPr="00D36B10" w:rsidRDefault="00D270A9" w:rsidP="00CA287F">
      <w:pPr>
        <w:rPr>
          <w:rFonts w:ascii="Arial" w:hAnsi="Arial" w:cs="Arial"/>
        </w:rPr>
      </w:pPr>
      <w:r w:rsidRPr="00D36B10">
        <w:rPr>
          <w:rFonts w:ascii="Arial" w:hAnsi="Arial" w:cs="Arial"/>
        </w:rPr>
        <w:t xml:space="preserve">A blitz of </w:t>
      </w:r>
      <w:r w:rsidR="006F449C">
        <w:rPr>
          <w:rFonts w:ascii="Arial" w:hAnsi="Arial" w:cs="Arial"/>
        </w:rPr>
        <w:t xml:space="preserve">rail </w:t>
      </w:r>
      <w:r w:rsidRPr="00D36B10">
        <w:rPr>
          <w:rFonts w:ascii="Arial" w:hAnsi="Arial" w:cs="Arial"/>
        </w:rPr>
        <w:t xml:space="preserve">maintenance works on the </w:t>
      </w:r>
      <w:r w:rsidR="008A185A">
        <w:rPr>
          <w:rFonts w:ascii="Arial" w:hAnsi="Arial" w:cs="Arial"/>
        </w:rPr>
        <w:t>Dandenong</w:t>
      </w:r>
      <w:r>
        <w:rPr>
          <w:rFonts w:ascii="Arial" w:hAnsi="Arial" w:cs="Arial"/>
        </w:rPr>
        <w:t xml:space="preserve">, Ringwood </w:t>
      </w:r>
      <w:r w:rsidRPr="00D36B10">
        <w:rPr>
          <w:rFonts w:ascii="Arial" w:hAnsi="Arial" w:cs="Arial"/>
        </w:rPr>
        <w:t xml:space="preserve">and </w:t>
      </w:r>
      <w:r>
        <w:rPr>
          <w:rFonts w:ascii="Arial" w:hAnsi="Arial" w:cs="Arial"/>
        </w:rPr>
        <w:t xml:space="preserve">Racecourse corridors </w:t>
      </w:r>
      <w:r w:rsidRPr="00D36B10">
        <w:rPr>
          <w:rFonts w:ascii="Arial" w:hAnsi="Arial" w:cs="Arial"/>
        </w:rPr>
        <w:t>included placement of 104,000 concrete sleepers and renewal of five pedestrian crossings to DDA Standards, as well as works on level crossings, station platform resurfacing, reconstruction of station pits, new trackside fencing and signal upgrades.</w:t>
      </w:r>
    </w:p>
    <w:p w:rsidR="00D270A9" w:rsidRPr="002F2A59" w:rsidRDefault="00D270A9" w:rsidP="00CA287F">
      <w:pPr>
        <w:rPr>
          <w:rFonts w:ascii="Arial" w:hAnsi="Arial" w:cs="Arial"/>
          <w:b/>
        </w:rPr>
      </w:pPr>
    </w:p>
    <w:p w:rsidR="00D270A9" w:rsidRPr="00D36B10" w:rsidRDefault="00D270A9" w:rsidP="00CA287F">
      <w:pPr>
        <w:rPr>
          <w:rFonts w:ascii="Arial" w:hAnsi="Arial" w:cs="Arial"/>
        </w:rPr>
      </w:pPr>
      <w:r w:rsidRPr="00D36B10">
        <w:rPr>
          <w:rFonts w:ascii="Arial" w:hAnsi="Arial" w:cs="Arial"/>
        </w:rPr>
        <w:t>Maintenance and renewal activities completed and underway in the City Loop this year include repairing and renewing base plates, sleepers, emergency walkways and track structures</w:t>
      </w:r>
      <w:r w:rsidR="00B47CC8">
        <w:rPr>
          <w:rFonts w:ascii="Arial" w:hAnsi="Arial" w:cs="Arial"/>
        </w:rPr>
        <w:t>,</w:t>
      </w:r>
      <w:r w:rsidR="006B5647">
        <w:rPr>
          <w:rFonts w:ascii="Arial" w:hAnsi="Arial" w:cs="Arial"/>
        </w:rPr>
        <w:t xml:space="preserve"> </w:t>
      </w:r>
      <w:r w:rsidR="00B47CC8">
        <w:rPr>
          <w:rFonts w:ascii="Arial" w:hAnsi="Arial" w:cs="Arial"/>
        </w:rPr>
        <w:t>u</w:t>
      </w:r>
      <w:r w:rsidRPr="00D36B10">
        <w:rPr>
          <w:rFonts w:ascii="Arial" w:hAnsi="Arial" w:cs="Arial"/>
        </w:rPr>
        <w:t>pgrading drainage and ventilation systems and improving emergency access.</w:t>
      </w:r>
    </w:p>
    <w:p w:rsidR="00D270A9" w:rsidRDefault="00D270A9" w:rsidP="00CA287F">
      <w:pPr>
        <w:rPr>
          <w:rFonts w:ascii="Arial" w:hAnsi="Arial" w:cs="Arial"/>
          <w:b/>
        </w:rPr>
      </w:pPr>
    </w:p>
    <w:p w:rsidR="001F7C09" w:rsidRPr="002F2A59" w:rsidRDefault="001F7C09" w:rsidP="00ED42C3">
      <w:pPr>
        <w:pStyle w:val="Heading20"/>
        <w:rPr>
          <w:i/>
        </w:rPr>
      </w:pPr>
      <w:r w:rsidRPr="002F2A59">
        <w:t xml:space="preserve">Sunbury electrification </w:t>
      </w:r>
    </w:p>
    <w:p w:rsidR="00BB60D3" w:rsidRDefault="001F7C09" w:rsidP="00CA287F">
      <w:pPr>
        <w:rPr>
          <w:rFonts w:ascii="Arial" w:hAnsi="Arial" w:cs="Arial"/>
        </w:rPr>
      </w:pPr>
      <w:r w:rsidRPr="00C807D5">
        <w:rPr>
          <w:rFonts w:ascii="Arial" w:hAnsi="Arial" w:cs="Arial"/>
        </w:rPr>
        <w:t xml:space="preserve">The $270 million </w:t>
      </w:r>
      <w:r w:rsidR="008507AB">
        <w:rPr>
          <w:rFonts w:ascii="Arial" w:hAnsi="Arial" w:cs="Arial"/>
        </w:rPr>
        <w:t>extension of metropolitan services from Watergardens to</w:t>
      </w:r>
      <w:r w:rsidRPr="00C807D5">
        <w:rPr>
          <w:rFonts w:ascii="Arial" w:hAnsi="Arial" w:cs="Arial"/>
        </w:rPr>
        <w:t xml:space="preserve"> Diggers Rest and Sunbury </w:t>
      </w:r>
      <w:r w:rsidR="008507AB">
        <w:rPr>
          <w:rFonts w:ascii="Arial" w:hAnsi="Arial" w:cs="Arial"/>
        </w:rPr>
        <w:t xml:space="preserve">was completed </w:t>
      </w:r>
      <w:r w:rsidRPr="00C807D5">
        <w:rPr>
          <w:rFonts w:ascii="Arial" w:hAnsi="Arial" w:cs="Arial"/>
        </w:rPr>
        <w:t xml:space="preserve">in November 2012, delivering a 64 per cent increase in services for Sunbury and Diggers Rest passengers. </w:t>
      </w:r>
    </w:p>
    <w:p w:rsidR="00BB60D3" w:rsidRPr="00BB60D3" w:rsidRDefault="00BB60D3" w:rsidP="00CA287F">
      <w:pPr>
        <w:rPr>
          <w:rFonts w:ascii="Arial" w:hAnsi="Arial" w:cs="Arial"/>
        </w:rPr>
      </w:pPr>
    </w:p>
    <w:p w:rsidR="001F7C09" w:rsidRPr="00BB60D3" w:rsidRDefault="00BB60D3" w:rsidP="00CA287F">
      <w:pPr>
        <w:rPr>
          <w:rFonts w:ascii="Arial" w:hAnsi="Arial" w:cs="Arial"/>
        </w:rPr>
      </w:pPr>
      <w:r w:rsidRPr="00BB60D3">
        <w:rPr>
          <w:rFonts w:ascii="Arial" w:hAnsi="Arial" w:cs="Arial"/>
        </w:rPr>
        <w:t xml:space="preserve">The project significantly upgraded stations at Sunbury and Diggers Rest, added 550 car parks at Diggers Rest and more train stabling, </w:t>
      </w:r>
      <w:r>
        <w:rPr>
          <w:rFonts w:ascii="Arial" w:hAnsi="Arial" w:cs="Arial"/>
        </w:rPr>
        <w:t xml:space="preserve">as </w:t>
      </w:r>
      <w:r w:rsidRPr="00BB60D3">
        <w:rPr>
          <w:rFonts w:ascii="Arial" w:hAnsi="Arial" w:cs="Arial"/>
        </w:rPr>
        <w:t>well as 90 extra Metro trips a week</w:t>
      </w:r>
      <w:r>
        <w:rPr>
          <w:rFonts w:ascii="Arial" w:hAnsi="Arial" w:cs="Arial"/>
        </w:rPr>
        <w:t>.</w:t>
      </w:r>
    </w:p>
    <w:p w:rsidR="00BB60D3" w:rsidRDefault="00BB60D3" w:rsidP="00CA287F">
      <w:pPr>
        <w:rPr>
          <w:rFonts w:ascii="Arial" w:hAnsi="Arial" w:cs="Arial"/>
          <w:b/>
        </w:rPr>
      </w:pPr>
    </w:p>
    <w:p w:rsidR="001F7C09" w:rsidRPr="002F2A59" w:rsidRDefault="001F7C09" w:rsidP="00ED42C3">
      <w:pPr>
        <w:pStyle w:val="Heading20"/>
        <w:rPr>
          <w:i/>
        </w:rPr>
      </w:pPr>
      <w:r w:rsidRPr="002F2A59">
        <w:t>Williams Landing Station</w:t>
      </w:r>
      <w:r>
        <w:t xml:space="preserve"> </w:t>
      </w:r>
    </w:p>
    <w:p w:rsidR="001F7C09" w:rsidRPr="00566617" w:rsidRDefault="001F7C09" w:rsidP="00CA287F">
      <w:pPr>
        <w:rPr>
          <w:rFonts w:ascii="Arial" w:hAnsi="Arial" w:cs="Arial"/>
        </w:rPr>
      </w:pPr>
      <w:r w:rsidRPr="00566617">
        <w:rPr>
          <w:rFonts w:ascii="Arial" w:hAnsi="Arial" w:cs="Arial"/>
        </w:rPr>
        <w:t xml:space="preserve">Services commenced on 28 April 2013 </w:t>
      </w:r>
      <w:r w:rsidR="004F20FE">
        <w:rPr>
          <w:rFonts w:ascii="Arial" w:hAnsi="Arial" w:cs="Arial"/>
        </w:rPr>
        <w:t>at</w:t>
      </w:r>
      <w:r w:rsidR="004F20FE" w:rsidRPr="00566617">
        <w:rPr>
          <w:rFonts w:ascii="Arial" w:hAnsi="Arial" w:cs="Arial"/>
        </w:rPr>
        <w:t xml:space="preserve"> </w:t>
      </w:r>
      <w:r w:rsidRPr="00566617">
        <w:rPr>
          <w:rFonts w:ascii="Arial" w:hAnsi="Arial" w:cs="Arial"/>
        </w:rPr>
        <w:t>the new Willia</w:t>
      </w:r>
      <w:r w:rsidR="006F449C">
        <w:rPr>
          <w:rFonts w:ascii="Arial" w:hAnsi="Arial" w:cs="Arial"/>
        </w:rPr>
        <w:t>ms Landing S</w:t>
      </w:r>
      <w:r w:rsidRPr="00566617">
        <w:rPr>
          <w:rFonts w:ascii="Arial" w:hAnsi="Arial" w:cs="Arial"/>
        </w:rPr>
        <w:t xml:space="preserve">tation on the Werribee line. The </w:t>
      </w:r>
      <w:r w:rsidR="00D66A1E">
        <w:rPr>
          <w:rFonts w:ascii="Arial" w:hAnsi="Arial" w:cs="Arial"/>
        </w:rPr>
        <w:t xml:space="preserve">premium </w:t>
      </w:r>
      <w:r w:rsidRPr="00566617">
        <w:rPr>
          <w:rFonts w:ascii="Arial" w:hAnsi="Arial" w:cs="Arial"/>
        </w:rPr>
        <w:t xml:space="preserve">station provides access to train services for the rapidly growing suburbs of Point Cook and Williams Landing in Melbourne’s west. </w:t>
      </w:r>
    </w:p>
    <w:p w:rsidR="001F7C09" w:rsidRDefault="001F7C09" w:rsidP="00CA287F">
      <w:pPr>
        <w:rPr>
          <w:rFonts w:ascii="Arial" w:hAnsi="Arial" w:cs="Arial"/>
        </w:rPr>
      </w:pPr>
    </w:p>
    <w:p w:rsidR="001F7C09" w:rsidRPr="00566617" w:rsidRDefault="001F7C09" w:rsidP="00CA287F">
      <w:pPr>
        <w:rPr>
          <w:rFonts w:ascii="Arial" w:hAnsi="Arial" w:cs="Arial"/>
        </w:rPr>
      </w:pPr>
      <w:r w:rsidRPr="00566617">
        <w:rPr>
          <w:rFonts w:ascii="Arial" w:hAnsi="Arial" w:cs="Arial"/>
        </w:rPr>
        <w:t xml:space="preserve">A bus interchange, bike cage and 500 car parking spaces were created and a new bus network in the surrounding area has </w:t>
      </w:r>
      <w:r w:rsidR="006F449C">
        <w:rPr>
          <w:rFonts w:ascii="Arial" w:hAnsi="Arial" w:cs="Arial"/>
        </w:rPr>
        <w:t>tripled the number of bus</w:t>
      </w:r>
      <w:r w:rsidRPr="00566617">
        <w:rPr>
          <w:rFonts w:ascii="Arial" w:hAnsi="Arial" w:cs="Arial"/>
        </w:rPr>
        <w:t xml:space="preserve"> services and improved access to the </w:t>
      </w:r>
      <w:r w:rsidR="004F20FE">
        <w:rPr>
          <w:rFonts w:ascii="Arial" w:hAnsi="Arial" w:cs="Arial"/>
        </w:rPr>
        <w:t xml:space="preserve">rail network </w:t>
      </w:r>
      <w:r w:rsidRPr="00566617">
        <w:rPr>
          <w:rFonts w:ascii="Arial" w:hAnsi="Arial" w:cs="Arial"/>
        </w:rPr>
        <w:t>.</w:t>
      </w:r>
    </w:p>
    <w:p w:rsidR="001F7C09" w:rsidRPr="002F2A59" w:rsidRDefault="001F7C09" w:rsidP="00CA287F">
      <w:pPr>
        <w:rPr>
          <w:rFonts w:ascii="Arial" w:hAnsi="Arial" w:cs="Arial"/>
        </w:rPr>
      </w:pPr>
    </w:p>
    <w:p w:rsidR="001F7C09" w:rsidRPr="002F2A59" w:rsidRDefault="001F7C09" w:rsidP="00ED42C3">
      <w:pPr>
        <w:pStyle w:val="Heading20"/>
      </w:pPr>
      <w:r w:rsidRPr="002F2A59">
        <w:t xml:space="preserve">Hurstbridge line upgrade </w:t>
      </w:r>
    </w:p>
    <w:p w:rsidR="001F7C09" w:rsidRPr="00566617" w:rsidRDefault="001F7C09" w:rsidP="00CA287F">
      <w:pPr>
        <w:rPr>
          <w:rFonts w:ascii="Arial" w:hAnsi="Arial" w:cs="Arial"/>
        </w:rPr>
      </w:pPr>
      <w:r w:rsidRPr="00566617">
        <w:rPr>
          <w:rFonts w:ascii="Arial" w:hAnsi="Arial" w:cs="Arial"/>
        </w:rPr>
        <w:t xml:space="preserve">Signalling and traction power were upgraded over 15 kilometres from Greensborough to Hurstbridge to improve the reliability and efficiency of the line. </w:t>
      </w:r>
    </w:p>
    <w:p w:rsidR="001F7C09" w:rsidRPr="002F2A59" w:rsidRDefault="001F7C09" w:rsidP="00CA287F">
      <w:pPr>
        <w:rPr>
          <w:rFonts w:ascii="Arial" w:hAnsi="Arial" w:cs="Arial"/>
        </w:rPr>
      </w:pPr>
    </w:p>
    <w:p w:rsidR="001F7C09" w:rsidRPr="00566617" w:rsidRDefault="001F7C09" w:rsidP="00CA287F">
      <w:pPr>
        <w:rPr>
          <w:rFonts w:ascii="Arial" w:hAnsi="Arial" w:cs="Arial"/>
        </w:rPr>
      </w:pPr>
      <w:r w:rsidRPr="00566617">
        <w:rPr>
          <w:rFonts w:ascii="Arial" w:hAnsi="Arial" w:cs="Arial"/>
        </w:rPr>
        <w:t>The project included a five-road stabling yard and landscaping at Eltham, and the historic signalling equipment has been preserved in a heritage display at Eltham Station.</w:t>
      </w:r>
    </w:p>
    <w:p w:rsidR="001F7C09" w:rsidRPr="002F2A59" w:rsidRDefault="001F7C09" w:rsidP="00CA287F">
      <w:pPr>
        <w:rPr>
          <w:rFonts w:ascii="Arial" w:hAnsi="Arial" w:cs="Arial"/>
        </w:rPr>
      </w:pPr>
    </w:p>
    <w:p w:rsidR="001F7C09" w:rsidRPr="002F2A59" w:rsidRDefault="001F7C09" w:rsidP="00ED42C3">
      <w:pPr>
        <w:pStyle w:val="Heading20"/>
      </w:pPr>
      <w:r>
        <w:t>Domain I</w:t>
      </w:r>
      <w:r w:rsidRPr="002F2A59">
        <w:t xml:space="preserve">nterchange </w:t>
      </w:r>
      <w:r>
        <w:t>r</w:t>
      </w:r>
      <w:r w:rsidRPr="002F2A59">
        <w:t>edevelopment</w:t>
      </w:r>
      <w:r>
        <w:t xml:space="preserve"> </w:t>
      </w:r>
    </w:p>
    <w:p w:rsidR="001F7C09" w:rsidRPr="00392088" w:rsidRDefault="001F7C09" w:rsidP="00CA287F">
      <w:pPr>
        <w:rPr>
          <w:rFonts w:ascii="Arial" w:hAnsi="Arial" w:cs="Arial"/>
        </w:rPr>
      </w:pPr>
      <w:r w:rsidRPr="00392088">
        <w:rPr>
          <w:rFonts w:ascii="Arial" w:hAnsi="Arial" w:cs="Arial"/>
        </w:rPr>
        <w:t>Domain Interchange, one of Melbourne’s busiest tram stops, was reconfigured and renewed in April 2013.</w:t>
      </w:r>
    </w:p>
    <w:p w:rsidR="001F7C09" w:rsidRPr="002F2A59" w:rsidRDefault="001F7C09" w:rsidP="00CA287F">
      <w:pPr>
        <w:rPr>
          <w:rFonts w:ascii="Arial" w:hAnsi="Arial" w:cs="Arial"/>
        </w:rPr>
      </w:pPr>
    </w:p>
    <w:p w:rsidR="001F7C09" w:rsidRPr="00392088" w:rsidRDefault="001F7C09" w:rsidP="00CA287F">
      <w:pPr>
        <w:rPr>
          <w:rFonts w:ascii="Arial" w:hAnsi="Arial" w:cs="Arial"/>
        </w:rPr>
      </w:pPr>
      <w:r w:rsidRPr="00392088">
        <w:rPr>
          <w:rFonts w:ascii="Arial" w:hAnsi="Arial" w:cs="Arial"/>
        </w:rPr>
        <w:t xml:space="preserve">The project has resulted in larger tram stops with improved amenities, DDA compliant platforms and access ramps to improve passenger flow and tram performance. </w:t>
      </w:r>
    </w:p>
    <w:p w:rsidR="001F7C09" w:rsidRPr="002F2A59" w:rsidRDefault="001F7C09" w:rsidP="00CA287F">
      <w:pPr>
        <w:rPr>
          <w:rFonts w:ascii="Arial" w:hAnsi="Arial" w:cs="Arial"/>
        </w:rPr>
      </w:pPr>
    </w:p>
    <w:p w:rsidR="001F7C09" w:rsidRPr="002F2A59" w:rsidRDefault="001F7C09" w:rsidP="00ED42C3">
      <w:pPr>
        <w:pStyle w:val="Heading20"/>
      </w:pPr>
      <w:r w:rsidRPr="002F2A59">
        <w:t>Balaclava Station</w:t>
      </w:r>
      <w:r>
        <w:t xml:space="preserve"> upgrade </w:t>
      </w:r>
    </w:p>
    <w:p w:rsidR="001F7C09" w:rsidRPr="00392088" w:rsidRDefault="001F7C09" w:rsidP="00CA287F">
      <w:pPr>
        <w:rPr>
          <w:rFonts w:ascii="Arial" w:hAnsi="Arial" w:cs="Arial"/>
        </w:rPr>
      </w:pPr>
      <w:r w:rsidRPr="00392088">
        <w:rPr>
          <w:rFonts w:ascii="Arial" w:hAnsi="Arial" w:cs="Arial"/>
        </w:rPr>
        <w:t>The $13.3 million upgrade of Balaclava Station is underway following public consultation on the project design.</w:t>
      </w:r>
    </w:p>
    <w:p w:rsidR="001F7C09" w:rsidRDefault="001F7C09" w:rsidP="00CA287F">
      <w:pPr>
        <w:rPr>
          <w:rFonts w:ascii="Arial" w:hAnsi="Arial" w:cs="Arial"/>
        </w:rPr>
      </w:pPr>
    </w:p>
    <w:p w:rsidR="001F7C09" w:rsidRPr="002F2A59" w:rsidRDefault="001F7C09" w:rsidP="00ED42C3">
      <w:pPr>
        <w:pStyle w:val="Heading20"/>
        <w:rPr>
          <w:i/>
        </w:rPr>
      </w:pPr>
      <w:r w:rsidRPr="002F2A59">
        <w:t>Drawing Management System</w:t>
      </w:r>
      <w:r>
        <w:t xml:space="preserve"> </w:t>
      </w:r>
    </w:p>
    <w:p w:rsidR="00CB2689" w:rsidRPr="00CB2689" w:rsidRDefault="00CB2689" w:rsidP="00CA287F">
      <w:pPr>
        <w:rPr>
          <w:rFonts w:ascii="Arial" w:hAnsi="Arial" w:cs="Arial"/>
          <w:color w:val="000000"/>
        </w:rPr>
      </w:pPr>
      <w:r w:rsidRPr="00CB2689">
        <w:rPr>
          <w:rFonts w:ascii="Arial" w:hAnsi="Arial" w:cs="Arial"/>
          <w:color w:val="000000"/>
        </w:rPr>
        <w:t>PTV administers Victoria's Drawing Management System (DMS), the central repository for State rail asset data, currently containing 350,000 rail engineering plans.</w:t>
      </w:r>
    </w:p>
    <w:p w:rsidR="00CB2689" w:rsidRDefault="00CB2689" w:rsidP="00CA287F">
      <w:pPr>
        <w:rPr>
          <w:rFonts w:ascii="Arial" w:hAnsi="Arial" w:cs="Arial"/>
          <w:color w:val="000000"/>
        </w:rPr>
      </w:pPr>
    </w:p>
    <w:p w:rsidR="00CB2689" w:rsidRDefault="00BA4421" w:rsidP="00CA287F">
      <w:pPr>
        <w:rPr>
          <w:rFonts w:ascii="Arial" w:hAnsi="Arial" w:cs="Arial"/>
          <w:color w:val="000000"/>
        </w:rPr>
      </w:pPr>
      <w:r>
        <w:rPr>
          <w:rFonts w:ascii="Arial" w:hAnsi="Arial" w:cs="Arial"/>
          <w:color w:val="000000"/>
        </w:rPr>
        <w:t>In 2012-</w:t>
      </w:r>
      <w:r w:rsidR="00CB2689">
        <w:rPr>
          <w:rFonts w:ascii="Arial" w:hAnsi="Arial" w:cs="Arial"/>
          <w:color w:val="000000"/>
        </w:rPr>
        <w:t>13, DMS successfully ensured the submission of 20,000 engineering drawings, now available to State infrastructure projects.</w:t>
      </w:r>
    </w:p>
    <w:p w:rsidR="00CB2689" w:rsidRDefault="00CB2689" w:rsidP="00CA287F">
      <w:pPr>
        <w:rPr>
          <w:rFonts w:ascii="Arial" w:hAnsi="Arial" w:cs="Arial"/>
          <w:color w:val="000000"/>
        </w:rPr>
      </w:pPr>
    </w:p>
    <w:p w:rsidR="001F7C09" w:rsidRDefault="00CB2689" w:rsidP="00CA287F">
      <w:pPr>
        <w:rPr>
          <w:rFonts w:ascii="Arial" w:hAnsi="Arial" w:cs="Arial"/>
          <w:color w:val="000000"/>
        </w:rPr>
      </w:pPr>
      <w:r w:rsidRPr="00CB2689">
        <w:rPr>
          <w:rFonts w:ascii="Arial" w:hAnsi="Arial" w:cs="Arial"/>
          <w:color w:val="000000"/>
        </w:rPr>
        <w:t>DMS will be continuously improved to manage a substantial growth in data submission, from projects such as Regional Rail L</w:t>
      </w:r>
      <w:r>
        <w:rPr>
          <w:rFonts w:ascii="Arial" w:hAnsi="Arial" w:cs="Arial"/>
          <w:color w:val="000000"/>
        </w:rPr>
        <w:t>ink and m</w:t>
      </w:r>
      <w:r w:rsidRPr="00CB2689">
        <w:rPr>
          <w:rFonts w:ascii="Arial" w:hAnsi="Arial" w:cs="Arial"/>
          <w:color w:val="000000"/>
        </w:rPr>
        <w:t>yki.</w:t>
      </w:r>
    </w:p>
    <w:p w:rsidR="00CB2689" w:rsidRPr="00CB2689" w:rsidRDefault="00CB2689" w:rsidP="00CA287F">
      <w:pPr>
        <w:rPr>
          <w:rFonts w:ascii="Arial" w:hAnsi="Arial" w:cs="Arial"/>
          <w:color w:val="000000"/>
        </w:rPr>
      </w:pPr>
    </w:p>
    <w:p w:rsidR="001F7C09" w:rsidRPr="002F2A59" w:rsidRDefault="001F7C09" w:rsidP="00ED42C3">
      <w:pPr>
        <w:pStyle w:val="Heading20"/>
      </w:pPr>
      <w:r w:rsidRPr="002F2A59">
        <w:t>Regional communication network</w:t>
      </w:r>
      <w:r>
        <w:t xml:space="preserve"> </w:t>
      </w:r>
    </w:p>
    <w:p w:rsidR="001F7C09" w:rsidRPr="00C41551" w:rsidRDefault="001F7C09" w:rsidP="00CA287F">
      <w:pPr>
        <w:rPr>
          <w:rFonts w:ascii="Arial" w:hAnsi="Arial" w:cs="Arial"/>
        </w:rPr>
      </w:pPr>
      <w:r w:rsidRPr="00C41551">
        <w:rPr>
          <w:rFonts w:ascii="Arial" w:hAnsi="Arial" w:cs="Arial"/>
        </w:rPr>
        <w:t xml:space="preserve">Work is progressing on the renewal of the regional train communication </w:t>
      </w:r>
      <w:r w:rsidR="00A30372">
        <w:rPr>
          <w:rFonts w:ascii="Arial" w:hAnsi="Arial" w:cs="Arial"/>
        </w:rPr>
        <w:t>system</w:t>
      </w:r>
      <w:r w:rsidRPr="00C41551">
        <w:rPr>
          <w:rFonts w:ascii="Arial" w:hAnsi="Arial" w:cs="Arial"/>
        </w:rPr>
        <w:t xml:space="preserve"> and </w:t>
      </w:r>
      <w:r w:rsidR="00BA4421">
        <w:rPr>
          <w:rFonts w:ascii="Arial" w:hAnsi="Arial" w:cs="Arial"/>
        </w:rPr>
        <w:t>funding allocated in the State B</w:t>
      </w:r>
      <w:r w:rsidRPr="00C41551">
        <w:rPr>
          <w:rFonts w:ascii="Arial" w:hAnsi="Arial" w:cs="Arial"/>
        </w:rPr>
        <w:t xml:space="preserve">udget will enable completion of this project by 2017. </w:t>
      </w:r>
    </w:p>
    <w:p w:rsidR="001F7C09" w:rsidRPr="002F2A59" w:rsidRDefault="001F7C09" w:rsidP="00CA287F">
      <w:pPr>
        <w:rPr>
          <w:rFonts w:ascii="Arial" w:hAnsi="Arial" w:cs="Arial"/>
        </w:rPr>
      </w:pPr>
    </w:p>
    <w:p w:rsidR="001F7C09" w:rsidRPr="00C41551" w:rsidRDefault="001F7C09" w:rsidP="00CA287F">
      <w:pPr>
        <w:rPr>
          <w:rFonts w:ascii="Arial" w:hAnsi="Arial" w:cs="Arial"/>
        </w:rPr>
      </w:pPr>
      <w:r w:rsidRPr="00C41551">
        <w:rPr>
          <w:rFonts w:ascii="Arial" w:hAnsi="Arial" w:cs="Arial"/>
        </w:rPr>
        <w:t xml:space="preserve">The new facility will enhance </w:t>
      </w:r>
      <w:r w:rsidR="00BA4421">
        <w:rPr>
          <w:rFonts w:ascii="Arial" w:hAnsi="Arial" w:cs="Arial"/>
        </w:rPr>
        <w:t>communication</w:t>
      </w:r>
      <w:r w:rsidRPr="00C41551">
        <w:rPr>
          <w:rFonts w:ascii="Arial" w:hAnsi="Arial" w:cs="Arial"/>
        </w:rPr>
        <w:t xml:space="preserve"> between regional trains and the metropolitan network, and between regional trains and freight operations. It will improve reliability of regional train services and provide a platform to build additional capabilities in the future.  </w:t>
      </w:r>
    </w:p>
    <w:p w:rsidR="001F7C09" w:rsidRPr="002F2A59" w:rsidRDefault="001F7C09" w:rsidP="00CA287F">
      <w:pPr>
        <w:rPr>
          <w:rFonts w:ascii="Arial" w:hAnsi="Arial" w:cs="Arial"/>
        </w:rPr>
      </w:pPr>
    </w:p>
    <w:p w:rsidR="001F7C09" w:rsidRPr="002F2A59" w:rsidRDefault="001F7C09" w:rsidP="00ED42C3">
      <w:pPr>
        <w:pStyle w:val="Heading20"/>
      </w:pPr>
      <w:r w:rsidRPr="002F2A59">
        <w:t>High Capacity Signalling</w:t>
      </w:r>
      <w:r>
        <w:t xml:space="preserve"> </w:t>
      </w:r>
    </w:p>
    <w:p w:rsidR="001F7C09" w:rsidRPr="00B07465" w:rsidRDefault="001F7C09" w:rsidP="00CA287F">
      <w:pPr>
        <w:rPr>
          <w:rFonts w:ascii="Arial" w:hAnsi="Arial" w:cs="Arial"/>
        </w:rPr>
      </w:pPr>
      <w:r w:rsidRPr="00B07465">
        <w:rPr>
          <w:rFonts w:ascii="Arial" w:hAnsi="Arial" w:cs="Arial"/>
        </w:rPr>
        <w:t xml:space="preserve">High Capacity Signalling (HCS) will increase reliability and frequency of train services and maximise benefits of existing and new infrastructure by decreasing the headway on rail corridors.    </w:t>
      </w:r>
    </w:p>
    <w:p w:rsidR="001F7C09" w:rsidRPr="002F2A59" w:rsidRDefault="001F7C09" w:rsidP="00CA287F">
      <w:pPr>
        <w:rPr>
          <w:rFonts w:ascii="Arial" w:hAnsi="Arial" w:cs="Arial"/>
        </w:rPr>
      </w:pPr>
    </w:p>
    <w:p w:rsidR="001F7C09" w:rsidRPr="00B07465" w:rsidRDefault="001F7C09" w:rsidP="00CA287F">
      <w:pPr>
        <w:rPr>
          <w:rFonts w:ascii="Arial" w:hAnsi="Arial" w:cs="Arial"/>
        </w:rPr>
      </w:pPr>
      <w:r w:rsidRPr="00B07465">
        <w:rPr>
          <w:rFonts w:ascii="Arial" w:hAnsi="Arial" w:cs="Arial"/>
        </w:rPr>
        <w:t xml:space="preserve">In 2012 PTV put out a Request for Information on proven HCS systems. The excellent industry response, and an allocation of </w:t>
      </w:r>
      <w:r w:rsidR="00D270A9">
        <w:rPr>
          <w:rFonts w:ascii="Arial" w:hAnsi="Arial" w:cs="Arial"/>
        </w:rPr>
        <w:t>$</w:t>
      </w:r>
      <w:r w:rsidRPr="00B07465">
        <w:rPr>
          <w:rFonts w:ascii="Arial" w:hAnsi="Arial" w:cs="Arial"/>
        </w:rPr>
        <w:t>4.</w:t>
      </w:r>
      <w:r w:rsidR="00BA4421">
        <w:rPr>
          <w:rFonts w:ascii="Arial" w:hAnsi="Arial" w:cs="Arial"/>
        </w:rPr>
        <w:t>5 million in the 2013-14 State B</w:t>
      </w:r>
      <w:r w:rsidRPr="00B07465">
        <w:rPr>
          <w:rFonts w:ascii="Arial" w:hAnsi="Arial" w:cs="Arial"/>
        </w:rPr>
        <w:t>udget, has supported preparations for a pilot on the Sandringham line as an initial stage of a network-wide rollout.</w:t>
      </w:r>
    </w:p>
    <w:p w:rsidR="001F7C09" w:rsidRPr="002F2A59" w:rsidRDefault="001F7C09" w:rsidP="00CA287F">
      <w:pPr>
        <w:rPr>
          <w:rFonts w:ascii="Arial" w:hAnsi="Arial" w:cs="Arial"/>
        </w:rPr>
      </w:pPr>
    </w:p>
    <w:p w:rsidR="001F7C09" w:rsidRPr="002F2A59" w:rsidRDefault="001F7C09" w:rsidP="00ED42C3">
      <w:pPr>
        <w:pStyle w:val="Heading20"/>
      </w:pPr>
      <w:r w:rsidRPr="002F2A59">
        <w:t>Overhead and traction power upgrades</w:t>
      </w:r>
      <w:r>
        <w:t xml:space="preserve"> </w:t>
      </w:r>
    </w:p>
    <w:p w:rsidR="00A30372" w:rsidRPr="008C7AAA" w:rsidRDefault="00A30372" w:rsidP="00CA287F">
      <w:pPr>
        <w:rPr>
          <w:rFonts w:ascii="Arial" w:hAnsi="Arial" w:cs="Arial"/>
          <w:color w:val="000000"/>
        </w:rPr>
      </w:pPr>
      <w:r w:rsidRPr="008C7AAA">
        <w:rPr>
          <w:rFonts w:ascii="Arial" w:hAnsi="Arial" w:cs="Arial"/>
          <w:color w:val="000000"/>
        </w:rPr>
        <w:t>As Melbourne’s train and tram fleets grow, and as new services are delivered on the network, substantial upgrades to power supply infrastructure are required to meet demand.</w:t>
      </w:r>
    </w:p>
    <w:p w:rsidR="00A30372" w:rsidRPr="008C7AAA" w:rsidRDefault="00A30372" w:rsidP="00CA287F">
      <w:pPr>
        <w:rPr>
          <w:rFonts w:ascii="Arial" w:hAnsi="Arial" w:cs="Arial"/>
          <w:color w:val="000000"/>
        </w:rPr>
      </w:pPr>
    </w:p>
    <w:p w:rsidR="00A30372" w:rsidRPr="008C7AAA" w:rsidRDefault="00A30372" w:rsidP="00CA287F">
      <w:pPr>
        <w:rPr>
          <w:rFonts w:ascii="Arial" w:hAnsi="Arial" w:cs="Arial"/>
          <w:color w:val="000000"/>
        </w:rPr>
      </w:pPr>
      <w:r w:rsidRPr="008C7AAA">
        <w:rPr>
          <w:rFonts w:ascii="Arial" w:hAnsi="Arial" w:cs="Arial"/>
          <w:color w:val="000000"/>
        </w:rPr>
        <w:t>New electrical substations to boost traction power were opened this year at Pakenham, Lyndhurst and Eltham, enabling more reliable and frequent train services on sections of the Cranbourne, Pakenham and Hurstbridge lines.</w:t>
      </w:r>
    </w:p>
    <w:p w:rsidR="00A30372" w:rsidRPr="008C7AAA" w:rsidRDefault="00A30372" w:rsidP="00CA287F">
      <w:pPr>
        <w:rPr>
          <w:rFonts w:ascii="Arial" w:hAnsi="Arial" w:cs="Arial"/>
          <w:color w:val="000000"/>
        </w:rPr>
      </w:pPr>
    </w:p>
    <w:p w:rsidR="00A30372" w:rsidRPr="008C7AAA" w:rsidRDefault="00A30372" w:rsidP="00CA287F">
      <w:pPr>
        <w:rPr>
          <w:rFonts w:ascii="Arial" w:hAnsi="Arial" w:cs="Arial"/>
          <w:color w:val="000000"/>
        </w:rPr>
      </w:pPr>
      <w:r w:rsidRPr="008C7AAA">
        <w:rPr>
          <w:rFonts w:ascii="Arial" w:hAnsi="Arial" w:cs="Arial"/>
          <w:color w:val="000000"/>
        </w:rPr>
        <w:t xml:space="preserve">Planning activities for new substations and power upgrades are </w:t>
      </w:r>
      <w:r>
        <w:rPr>
          <w:rFonts w:ascii="Arial" w:hAnsi="Arial" w:cs="Arial"/>
          <w:color w:val="000000"/>
        </w:rPr>
        <w:t>underway</w:t>
      </w:r>
      <w:r w:rsidRPr="008C7AAA">
        <w:rPr>
          <w:rFonts w:ascii="Arial" w:hAnsi="Arial" w:cs="Arial"/>
          <w:color w:val="000000"/>
        </w:rPr>
        <w:t xml:space="preserve"> </w:t>
      </w:r>
      <w:r>
        <w:rPr>
          <w:rFonts w:ascii="Arial" w:hAnsi="Arial" w:cs="Arial"/>
          <w:color w:val="000000"/>
        </w:rPr>
        <w:t>with delivery to</w:t>
      </w:r>
      <w:r w:rsidRPr="008C7AAA">
        <w:rPr>
          <w:rFonts w:ascii="Arial" w:hAnsi="Arial" w:cs="Arial"/>
          <w:color w:val="000000"/>
        </w:rPr>
        <w:t xml:space="preserve"> commence in 2013-14.</w:t>
      </w:r>
    </w:p>
    <w:p w:rsidR="001F7C09" w:rsidRDefault="001F7C09" w:rsidP="00CA287F">
      <w:pPr>
        <w:rPr>
          <w:rFonts w:ascii="Arial" w:hAnsi="Arial" w:cs="Arial"/>
        </w:rPr>
      </w:pPr>
    </w:p>
    <w:p w:rsidR="001F7C09" w:rsidRPr="002F2A59" w:rsidRDefault="001F7C09" w:rsidP="00F22532">
      <w:pPr>
        <w:pStyle w:val="Heading10"/>
      </w:pPr>
      <w:bookmarkStart w:id="21" w:name="_Toc359938678"/>
      <w:r w:rsidRPr="00BC43F4">
        <w:t xml:space="preserve">PLAN FOR THE DEVELOPMENT OF THE PUBLIC TRANSPORT NETWORK </w:t>
      </w:r>
      <w:bookmarkEnd w:id="21"/>
    </w:p>
    <w:p w:rsidR="001F7C09" w:rsidRDefault="001F7C09" w:rsidP="00CA287F">
      <w:pPr>
        <w:rPr>
          <w:rFonts w:ascii="Arial" w:hAnsi="Arial" w:cs="Arial"/>
          <w:b/>
        </w:rPr>
      </w:pPr>
    </w:p>
    <w:p w:rsidR="00B30C3B" w:rsidRPr="002F2A59" w:rsidRDefault="00B30C3B" w:rsidP="00ED42C3">
      <w:pPr>
        <w:pStyle w:val="Heading20"/>
      </w:pPr>
      <w:r w:rsidRPr="002F2A59">
        <w:t>Network Development Plan – Metropolitan Rail</w:t>
      </w:r>
      <w:r>
        <w:t xml:space="preserve"> </w:t>
      </w:r>
    </w:p>
    <w:p w:rsidR="00B30C3B" w:rsidRPr="001338B4" w:rsidRDefault="00B30C3B" w:rsidP="00CA287F">
      <w:pPr>
        <w:rPr>
          <w:rFonts w:ascii="Arial" w:hAnsi="Arial" w:cs="Arial"/>
        </w:rPr>
      </w:pPr>
      <w:r w:rsidRPr="001338B4">
        <w:rPr>
          <w:rFonts w:ascii="Arial" w:hAnsi="Arial" w:cs="Arial"/>
        </w:rPr>
        <w:t>PTV’s Network Development Plan – Metropolitan Rail details a series of initiatives to provide the capacity required to meet forecast patronage growth over the next three decades and convert the existing suburban network into a customer-focused, high performing, metro-style system.</w:t>
      </w:r>
    </w:p>
    <w:p w:rsidR="00B30C3B" w:rsidRPr="002F2A59" w:rsidRDefault="00B30C3B" w:rsidP="00CA287F">
      <w:pPr>
        <w:rPr>
          <w:rFonts w:ascii="Arial" w:hAnsi="Arial" w:cs="Arial"/>
        </w:rPr>
      </w:pPr>
    </w:p>
    <w:p w:rsidR="00B30C3B" w:rsidRPr="001338B4" w:rsidRDefault="00B30C3B" w:rsidP="00CA287F">
      <w:pPr>
        <w:rPr>
          <w:rFonts w:ascii="Arial" w:hAnsi="Arial" w:cs="Arial"/>
        </w:rPr>
      </w:pPr>
      <w:r w:rsidRPr="001338B4">
        <w:rPr>
          <w:rFonts w:ascii="Arial" w:hAnsi="Arial" w:cs="Arial"/>
        </w:rPr>
        <w:t>The plan aims to expand the capacity of the existing network to meet the growing needs of the city, redesign train services to maximise opportunities for seamless coordination with buses and trams, and extend the network to areas currently not served by metropolitan rail.</w:t>
      </w:r>
    </w:p>
    <w:p w:rsidR="00B30C3B" w:rsidRPr="002F2A59" w:rsidRDefault="00B30C3B" w:rsidP="00CA287F">
      <w:pPr>
        <w:rPr>
          <w:rFonts w:ascii="Arial" w:hAnsi="Arial" w:cs="Arial"/>
        </w:rPr>
      </w:pPr>
    </w:p>
    <w:p w:rsidR="00B30C3B" w:rsidRPr="001338B4" w:rsidRDefault="00B30C3B" w:rsidP="00CA287F">
      <w:pPr>
        <w:rPr>
          <w:rFonts w:ascii="Arial" w:hAnsi="Arial" w:cs="Arial"/>
        </w:rPr>
      </w:pPr>
      <w:r w:rsidRPr="001338B4">
        <w:rPr>
          <w:rFonts w:ascii="Arial" w:hAnsi="Arial" w:cs="Arial"/>
        </w:rPr>
        <w:t>Accompanied by concept timetables for each stage, the approach and initiatives in this plan will increase peak-hour capacity by 50 per cent within 10 years, and by more than 100 per cent within 20 years.</w:t>
      </w:r>
    </w:p>
    <w:p w:rsidR="00B30C3B" w:rsidRDefault="00B30C3B" w:rsidP="00CA287F">
      <w:pPr>
        <w:rPr>
          <w:rFonts w:ascii="Arial" w:hAnsi="Arial" w:cs="Arial"/>
          <w:b/>
        </w:rPr>
      </w:pPr>
    </w:p>
    <w:p w:rsidR="003E657B" w:rsidRPr="002F2A59" w:rsidRDefault="003E657B" w:rsidP="00ED42C3">
      <w:pPr>
        <w:pStyle w:val="Heading20"/>
      </w:pPr>
      <w:r w:rsidRPr="002F2A59">
        <w:t xml:space="preserve">Melbourne Metro </w:t>
      </w:r>
    </w:p>
    <w:p w:rsidR="00C50E5F" w:rsidRPr="00C50E5F" w:rsidRDefault="00C50E5F" w:rsidP="00CA287F">
      <w:pPr>
        <w:rPr>
          <w:rFonts w:ascii="Arial" w:hAnsi="Arial" w:cs="Arial"/>
          <w:color w:val="000000"/>
        </w:rPr>
      </w:pPr>
      <w:r w:rsidRPr="00C50E5F">
        <w:rPr>
          <w:rFonts w:ascii="Arial" w:hAnsi="Arial" w:cs="Arial"/>
          <w:color w:val="000000"/>
        </w:rPr>
        <w:t>Melbourne Metro is a critical city shaping project that will increase capacity  on the lines serving Melbourne's growth areas in the north, west and south-east. It involves the construction of a nine kilometre rail tunnel through inner Melbourne that will link the Sunbury and Pakenham/Cranbourne rail lines, with five new underground stations.</w:t>
      </w:r>
    </w:p>
    <w:p w:rsidR="00C50E5F" w:rsidRPr="00C50E5F" w:rsidRDefault="00C50E5F" w:rsidP="00CA287F">
      <w:pPr>
        <w:rPr>
          <w:rFonts w:ascii="Arial" w:hAnsi="Arial" w:cs="Arial"/>
          <w:color w:val="000000"/>
        </w:rPr>
      </w:pPr>
    </w:p>
    <w:p w:rsidR="00C50E5F" w:rsidRPr="00C50E5F" w:rsidRDefault="00C50E5F" w:rsidP="00CA287F">
      <w:pPr>
        <w:rPr>
          <w:rFonts w:ascii="Arial" w:hAnsi="Arial" w:cs="Arial"/>
          <w:color w:val="000000"/>
        </w:rPr>
      </w:pPr>
      <w:r w:rsidRPr="00C50E5F">
        <w:rPr>
          <w:rFonts w:ascii="Arial" w:hAnsi="Arial" w:cs="Arial"/>
          <w:color w:val="000000"/>
        </w:rPr>
        <w:t>The project lays the foundation for expanding the rail network over the next 20 years and beyond and is a necessary precursor to rail links to Melbourne Airport and Rowville as well as electrifications to Melton and Wallan.</w:t>
      </w:r>
    </w:p>
    <w:p w:rsidR="00C50E5F" w:rsidRPr="00C50E5F" w:rsidRDefault="00C50E5F" w:rsidP="00CA287F">
      <w:pPr>
        <w:rPr>
          <w:rFonts w:ascii="Arial" w:hAnsi="Arial" w:cs="Arial"/>
          <w:color w:val="000000"/>
        </w:rPr>
      </w:pPr>
    </w:p>
    <w:p w:rsidR="00C50E5F" w:rsidRPr="00C50E5F" w:rsidRDefault="00C50E5F" w:rsidP="00CA287F">
      <w:pPr>
        <w:rPr>
          <w:rFonts w:ascii="Arial" w:hAnsi="Arial" w:cs="Arial"/>
          <w:color w:val="000000"/>
        </w:rPr>
      </w:pPr>
      <w:r w:rsidRPr="00C50E5F">
        <w:rPr>
          <w:rFonts w:ascii="Arial" w:hAnsi="Arial" w:cs="Arial"/>
          <w:color w:val="000000"/>
        </w:rPr>
        <w:t xml:space="preserve">In 2012 the project was declared under the Major Transport Projects </w:t>
      </w:r>
      <w:r w:rsidRPr="00F22532">
        <w:rPr>
          <w:rFonts w:ascii="Arial" w:hAnsi="Arial" w:cs="Arial"/>
        </w:rPr>
        <w:t xml:space="preserve">Facilitation Act 2009 and the planning approvals process is now underway. This includes comprehensive assessment of the project, supported by </w:t>
      </w:r>
      <w:r w:rsidRPr="00C50E5F">
        <w:rPr>
          <w:rFonts w:ascii="Arial" w:hAnsi="Arial" w:cs="Arial"/>
          <w:color w:val="000000"/>
        </w:rPr>
        <w:t>environmental and technical investigations, including geotechnical drilling at key sites along the project alignment.</w:t>
      </w:r>
    </w:p>
    <w:p w:rsidR="003E657B" w:rsidRPr="001B03B1" w:rsidRDefault="003E657B" w:rsidP="00CA287F">
      <w:pPr>
        <w:rPr>
          <w:rFonts w:ascii="Arial" w:hAnsi="Arial" w:cs="Arial"/>
        </w:rPr>
      </w:pPr>
    </w:p>
    <w:p w:rsidR="00B30C3B" w:rsidRPr="002F2A59" w:rsidRDefault="00B30C3B" w:rsidP="00ED42C3">
      <w:pPr>
        <w:pStyle w:val="Heading20"/>
      </w:pPr>
      <w:r w:rsidRPr="002F2A59">
        <w:t>Dandenong corridor improvements</w:t>
      </w:r>
      <w:r>
        <w:t xml:space="preserve"> </w:t>
      </w:r>
    </w:p>
    <w:p w:rsidR="00B30C3B" w:rsidRPr="001338B4" w:rsidRDefault="00B30C3B" w:rsidP="00CA287F">
      <w:pPr>
        <w:rPr>
          <w:rFonts w:ascii="Arial" w:hAnsi="Arial" w:cs="Arial"/>
        </w:rPr>
      </w:pPr>
      <w:r w:rsidRPr="001338B4">
        <w:rPr>
          <w:rFonts w:ascii="Arial" w:hAnsi="Arial" w:cs="Arial"/>
        </w:rPr>
        <w:t xml:space="preserve">More than $6 million per annum was provided in the 2013-14 </w:t>
      </w:r>
      <w:r w:rsidR="00C44F1D">
        <w:rPr>
          <w:rFonts w:ascii="Arial" w:hAnsi="Arial" w:cs="Arial"/>
        </w:rPr>
        <w:t xml:space="preserve">State </w:t>
      </w:r>
      <w:r w:rsidRPr="001338B4">
        <w:rPr>
          <w:rFonts w:ascii="Arial" w:hAnsi="Arial" w:cs="Arial"/>
        </w:rPr>
        <w:t>Budget to improve servic</w:t>
      </w:r>
      <w:r w:rsidR="00BA4421">
        <w:rPr>
          <w:rFonts w:ascii="Arial" w:hAnsi="Arial" w:cs="Arial"/>
        </w:rPr>
        <w:t>e levels on the busy Dandenong r</w:t>
      </w:r>
      <w:r w:rsidRPr="001338B4">
        <w:rPr>
          <w:rFonts w:ascii="Arial" w:hAnsi="Arial" w:cs="Arial"/>
        </w:rPr>
        <w:t xml:space="preserve">ail corridor. </w:t>
      </w:r>
    </w:p>
    <w:p w:rsidR="00B30C3B" w:rsidRDefault="00B30C3B" w:rsidP="00CA287F">
      <w:pPr>
        <w:rPr>
          <w:rFonts w:ascii="Arial" w:hAnsi="Arial" w:cs="Arial"/>
        </w:rPr>
      </w:pPr>
    </w:p>
    <w:p w:rsidR="00B30C3B" w:rsidRDefault="00B30C3B" w:rsidP="00CA287F">
      <w:pPr>
        <w:rPr>
          <w:rFonts w:ascii="Arial" w:hAnsi="Arial" w:cs="Arial"/>
        </w:rPr>
      </w:pPr>
      <w:r w:rsidRPr="001338B4">
        <w:rPr>
          <w:rFonts w:ascii="Arial" w:hAnsi="Arial" w:cs="Arial"/>
        </w:rPr>
        <w:t>Planning is underway to provide additional services in both peak and off peak periods, with new timetables to commence in 2014.</w:t>
      </w:r>
    </w:p>
    <w:p w:rsidR="00A50B7F" w:rsidRPr="006B1498" w:rsidRDefault="00A50B7F" w:rsidP="00CA287F">
      <w:pPr>
        <w:rPr>
          <w:rFonts w:ascii="Arial" w:hAnsi="Arial" w:cs="Arial"/>
        </w:rPr>
      </w:pPr>
    </w:p>
    <w:p w:rsidR="00A50B7F" w:rsidRPr="001338B4" w:rsidRDefault="00A50B7F" w:rsidP="00CA287F">
      <w:pPr>
        <w:rPr>
          <w:rFonts w:ascii="Arial" w:hAnsi="Arial" w:cs="Arial"/>
        </w:rPr>
      </w:pPr>
      <w:r>
        <w:rPr>
          <w:rFonts w:ascii="Arial" w:hAnsi="Arial" w:cs="Arial"/>
        </w:rPr>
        <w:t xml:space="preserve">PTV is </w:t>
      </w:r>
      <w:r w:rsidR="00054996">
        <w:rPr>
          <w:rFonts w:ascii="Arial" w:hAnsi="Arial" w:cs="Arial"/>
        </w:rPr>
        <w:t>part of the project team</w:t>
      </w:r>
      <w:r>
        <w:rPr>
          <w:rFonts w:ascii="Arial" w:hAnsi="Arial" w:cs="Arial"/>
        </w:rPr>
        <w:t xml:space="preserve"> delivering the Springvale Road level crossing grade separation.</w:t>
      </w:r>
    </w:p>
    <w:p w:rsidR="00B30C3B" w:rsidRPr="002F2A59" w:rsidRDefault="00B30C3B" w:rsidP="00CA287F">
      <w:pPr>
        <w:rPr>
          <w:rFonts w:ascii="Arial" w:hAnsi="Arial" w:cs="Arial"/>
          <w:b/>
        </w:rPr>
      </w:pPr>
    </w:p>
    <w:tbl>
      <w:tblPr>
        <w:tblW w:w="9882" w:type="dxa"/>
        <w:tblLayout w:type="fixed"/>
        <w:tblLook w:val="01E0" w:firstRow="1" w:lastRow="1" w:firstColumn="1" w:lastColumn="1" w:noHBand="0" w:noVBand="0"/>
      </w:tblPr>
      <w:tblGrid>
        <w:gridCol w:w="9882"/>
      </w:tblGrid>
      <w:tr w:rsidR="00B30C3B" w:rsidRPr="002F2A59" w:rsidTr="006F449C">
        <w:tc>
          <w:tcPr>
            <w:tcW w:w="9882" w:type="dxa"/>
            <w:shd w:val="clear" w:color="auto" w:fill="auto"/>
          </w:tcPr>
          <w:p w:rsidR="00B30C3B" w:rsidRPr="002F2A59" w:rsidRDefault="00B30C3B" w:rsidP="00ED42C3">
            <w:pPr>
              <w:pStyle w:val="Heading20"/>
            </w:pPr>
            <w:r w:rsidRPr="002F2A59">
              <w:t xml:space="preserve">Bayside rail improvements </w:t>
            </w:r>
          </w:p>
        </w:tc>
      </w:tr>
      <w:tr w:rsidR="00B30C3B" w:rsidRPr="002F2A59" w:rsidTr="006F449C">
        <w:tc>
          <w:tcPr>
            <w:tcW w:w="9882" w:type="dxa"/>
            <w:shd w:val="clear" w:color="auto" w:fill="auto"/>
          </w:tcPr>
          <w:p w:rsidR="00B30C3B" w:rsidRPr="001338B4" w:rsidRDefault="00B30C3B" w:rsidP="00CA287F">
            <w:pPr>
              <w:rPr>
                <w:rFonts w:ascii="Arial" w:hAnsi="Arial" w:cs="Arial"/>
              </w:rPr>
            </w:pPr>
            <w:r w:rsidRPr="001338B4">
              <w:rPr>
                <w:rFonts w:ascii="Arial" w:hAnsi="Arial" w:cs="Arial"/>
              </w:rPr>
              <w:t xml:space="preserve">Funding of $100 million was </w:t>
            </w:r>
            <w:r w:rsidR="001B03B1">
              <w:rPr>
                <w:rFonts w:ascii="Arial" w:hAnsi="Arial" w:cs="Arial"/>
              </w:rPr>
              <w:t>announced</w:t>
            </w:r>
            <w:r w:rsidRPr="001338B4">
              <w:rPr>
                <w:rFonts w:ascii="Arial" w:hAnsi="Arial" w:cs="Arial"/>
              </w:rPr>
              <w:t xml:space="preserve"> in the 2013-14 State Budget to upgrade the Frankston</w:t>
            </w:r>
            <w:r>
              <w:rPr>
                <w:rFonts w:ascii="Arial" w:hAnsi="Arial" w:cs="Arial"/>
              </w:rPr>
              <w:t>, Werribee and Williamstown</w:t>
            </w:r>
            <w:r w:rsidRPr="001338B4">
              <w:rPr>
                <w:rFonts w:ascii="Arial" w:hAnsi="Arial" w:cs="Arial"/>
              </w:rPr>
              <w:t xml:space="preserve"> line</w:t>
            </w:r>
            <w:r>
              <w:rPr>
                <w:rFonts w:ascii="Arial" w:hAnsi="Arial" w:cs="Arial"/>
              </w:rPr>
              <w:t>s</w:t>
            </w:r>
            <w:r w:rsidRPr="001338B4">
              <w:rPr>
                <w:rFonts w:ascii="Arial" w:hAnsi="Arial" w:cs="Arial"/>
              </w:rPr>
              <w:t xml:space="preserve"> over the next three years.</w:t>
            </w:r>
          </w:p>
          <w:p w:rsidR="00B30C3B" w:rsidRPr="002F2A59" w:rsidRDefault="00B30C3B" w:rsidP="00CA287F">
            <w:pPr>
              <w:rPr>
                <w:rFonts w:ascii="Arial" w:hAnsi="Arial" w:cs="Arial"/>
              </w:rPr>
            </w:pPr>
          </w:p>
          <w:p w:rsidR="00B30C3B" w:rsidRPr="001338B4" w:rsidRDefault="00B30C3B" w:rsidP="00CA287F">
            <w:pPr>
              <w:rPr>
                <w:rFonts w:ascii="Arial" w:hAnsi="Arial" w:cs="Arial"/>
              </w:rPr>
            </w:pPr>
            <w:r w:rsidRPr="001338B4">
              <w:rPr>
                <w:rFonts w:ascii="Arial" w:hAnsi="Arial" w:cs="Arial"/>
              </w:rPr>
              <w:t>Work will include upgrades to tracks, signalling, substations and maintenance facilities to improve service reliability and enable the introduction of X’Trapolis trains on the line</w:t>
            </w:r>
            <w:r>
              <w:rPr>
                <w:rFonts w:ascii="Arial" w:hAnsi="Arial" w:cs="Arial"/>
              </w:rPr>
              <w:t>s</w:t>
            </w:r>
            <w:r w:rsidRPr="001338B4">
              <w:rPr>
                <w:rFonts w:ascii="Arial" w:hAnsi="Arial" w:cs="Arial"/>
              </w:rPr>
              <w:t xml:space="preserve">. </w:t>
            </w:r>
          </w:p>
          <w:p w:rsidR="00B30C3B" w:rsidRPr="002F2A59" w:rsidRDefault="00B30C3B" w:rsidP="00CA287F">
            <w:pPr>
              <w:rPr>
                <w:rFonts w:ascii="Arial" w:hAnsi="Arial" w:cs="Arial"/>
              </w:rPr>
            </w:pPr>
          </w:p>
        </w:tc>
      </w:tr>
    </w:tbl>
    <w:p w:rsidR="001F7C09" w:rsidRPr="002F2A59" w:rsidRDefault="001F7C09" w:rsidP="00ED42C3">
      <w:pPr>
        <w:pStyle w:val="Heading20"/>
      </w:pPr>
      <w:r w:rsidRPr="002F2A59">
        <w:t xml:space="preserve">Syndal </w:t>
      </w:r>
      <w:r>
        <w:t xml:space="preserve">Station </w:t>
      </w:r>
      <w:r w:rsidRPr="002F2A59">
        <w:t>multi-deck car park</w:t>
      </w:r>
      <w:r>
        <w:t xml:space="preserve"> </w:t>
      </w:r>
    </w:p>
    <w:p w:rsidR="001F7C09" w:rsidRPr="002A2696" w:rsidRDefault="001F7C09" w:rsidP="00CA287F">
      <w:pPr>
        <w:rPr>
          <w:rFonts w:ascii="Arial" w:hAnsi="Arial" w:cs="Arial"/>
        </w:rPr>
      </w:pPr>
      <w:r w:rsidRPr="002A2696">
        <w:rPr>
          <w:rFonts w:ascii="Arial" w:hAnsi="Arial" w:cs="Arial"/>
        </w:rPr>
        <w:t>Planning is underway and project funding of $</w:t>
      </w:r>
      <w:r w:rsidR="00BA4421">
        <w:rPr>
          <w:rFonts w:ascii="Arial" w:hAnsi="Arial" w:cs="Arial"/>
        </w:rPr>
        <w:t>10.2 million has been secured</w:t>
      </w:r>
      <w:r w:rsidRPr="002A2696">
        <w:rPr>
          <w:rFonts w:ascii="Arial" w:hAnsi="Arial" w:cs="Arial"/>
        </w:rPr>
        <w:t xml:space="preserve"> to deliver a multi-deck car park to provide an additional 250 spaces at Syndal Station. </w:t>
      </w:r>
    </w:p>
    <w:p w:rsidR="001F7C09" w:rsidRPr="002F2A59" w:rsidRDefault="001F7C09" w:rsidP="00CA287F">
      <w:pPr>
        <w:rPr>
          <w:rFonts w:ascii="Arial" w:hAnsi="Arial" w:cs="Arial"/>
        </w:rPr>
      </w:pPr>
    </w:p>
    <w:p w:rsidR="001F7C09" w:rsidRPr="002A2696" w:rsidRDefault="001F7C09" w:rsidP="00CA287F">
      <w:pPr>
        <w:rPr>
          <w:rFonts w:ascii="Arial" w:hAnsi="Arial" w:cs="Arial"/>
        </w:rPr>
      </w:pPr>
      <w:r w:rsidRPr="002A2696">
        <w:rPr>
          <w:rFonts w:ascii="Arial" w:hAnsi="Arial" w:cs="Arial"/>
        </w:rPr>
        <w:t xml:space="preserve">The project is planned to be completed in 2014. </w:t>
      </w:r>
    </w:p>
    <w:p w:rsidR="001F7C09" w:rsidRPr="002F2A59" w:rsidRDefault="001F7C09" w:rsidP="00CA287F">
      <w:pPr>
        <w:rPr>
          <w:rFonts w:ascii="Arial" w:hAnsi="Arial" w:cs="Arial"/>
          <w:b/>
        </w:rPr>
      </w:pPr>
    </w:p>
    <w:p w:rsidR="001F7C09" w:rsidRPr="002F2A59" w:rsidRDefault="001F7C09" w:rsidP="00ED42C3">
      <w:pPr>
        <w:pStyle w:val="Heading20"/>
      </w:pPr>
      <w:r w:rsidRPr="002F2A59">
        <w:t xml:space="preserve">Epsom </w:t>
      </w:r>
      <w:r>
        <w:t xml:space="preserve">and </w:t>
      </w:r>
      <w:r w:rsidRPr="002F2A59">
        <w:t xml:space="preserve">Eaglehawk </w:t>
      </w:r>
      <w:r>
        <w:t xml:space="preserve">stations </w:t>
      </w:r>
    </w:p>
    <w:p w:rsidR="001F7C09" w:rsidRPr="002A2696" w:rsidRDefault="001F7C09" w:rsidP="00CA287F">
      <w:pPr>
        <w:rPr>
          <w:rFonts w:ascii="Arial" w:hAnsi="Arial" w:cs="Arial"/>
        </w:rPr>
      </w:pPr>
      <w:r w:rsidRPr="002A2696">
        <w:rPr>
          <w:rFonts w:ascii="Arial" w:hAnsi="Arial" w:cs="Arial"/>
        </w:rPr>
        <w:t>Project funding of $7.</w:t>
      </w:r>
      <w:r w:rsidR="00CD5515">
        <w:rPr>
          <w:rFonts w:ascii="Arial" w:hAnsi="Arial" w:cs="Arial"/>
        </w:rPr>
        <w:t>8</w:t>
      </w:r>
      <w:r w:rsidRPr="002A2696">
        <w:rPr>
          <w:rFonts w:ascii="Arial" w:hAnsi="Arial" w:cs="Arial"/>
        </w:rPr>
        <w:t xml:space="preserve"> million has been secured to construct a new station at Epsom and extend more Bendigo line services to Epsom and Eaglehawk</w:t>
      </w:r>
      <w:r>
        <w:rPr>
          <w:rFonts w:ascii="Arial" w:hAnsi="Arial" w:cs="Arial"/>
        </w:rPr>
        <w:t xml:space="preserve"> stations</w:t>
      </w:r>
      <w:r w:rsidRPr="002A2696">
        <w:rPr>
          <w:rFonts w:ascii="Arial" w:hAnsi="Arial" w:cs="Arial"/>
        </w:rPr>
        <w:t xml:space="preserve">. Planning for the station </w:t>
      </w:r>
      <w:r>
        <w:rPr>
          <w:rFonts w:ascii="Arial" w:hAnsi="Arial" w:cs="Arial"/>
        </w:rPr>
        <w:t xml:space="preserve">projects </w:t>
      </w:r>
      <w:r w:rsidRPr="002A2696">
        <w:rPr>
          <w:rFonts w:ascii="Arial" w:hAnsi="Arial" w:cs="Arial"/>
        </w:rPr>
        <w:t>is underway.</w:t>
      </w:r>
    </w:p>
    <w:p w:rsidR="001F7C09" w:rsidRPr="002F2A59" w:rsidRDefault="001F7C09" w:rsidP="00CA287F">
      <w:pPr>
        <w:rPr>
          <w:rFonts w:ascii="Arial" w:hAnsi="Arial" w:cs="Arial"/>
        </w:rPr>
      </w:pPr>
    </w:p>
    <w:p w:rsidR="001F7C09" w:rsidRPr="002F2A59" w:rsidRDefault="001F7C09" w:rsidP="00ED42C3">
      <w:pPr>
        <w:pStyle w:val="Heading20"/>
      </w:pPr>
      <w:r w:rsidRPr="002F2A59">
        <w:t>Grovedale Station</w:t>
      </w:r>
      <w:r>
        <w:t xml:space="preserve"> </w:t>
      </w:r>
    </w:p>
    <w:p w:rsidR="001F7C09" w:rsidRPr="002A2696" w:rsidRDefault="001F7C09" w:rsidP="00CA287F">
      <w:pPr>
        <w:rPr>
          <w:rFonts w:ascii="Arial" w:hAnsi="Arial" w:cs="Arial"/>
        </w:rPr>
      </w:pPr>
      <w:r w:rsidRPr="002A2696">
        <w:rPr>
          <w:rFonts w:ascii="Arial" w:hAnsi="Arial" w:cs="Arial"/>
        </w:rPr>
        <w:t>Planning is underway for the new $25.9 million Grovedale Station project, which will construct a new premium station serving Armstrong Creek in Geelong.</w:t>
      </w:r>
    </w:p>
    <w:p w:rsidR="001F7C09" w:rsidRPr="002F2A59" w:rsidRDefault="001F7C09" w:rsidP="00CA287F">
      <w:pPr>
        <w:rPr>
          <w:rFonts w:ascii="Arial" w:hAnsi="Arial" w:cs="Arial"/>
        </w:rPr>
      </w:pPr>
    </w:p>
    <w:p w:rsidR="001F7C09" w:rsidRPr="002A2696" w:rsidRDefault="001F7C09" w:rsidP="00CA287F">
      <w:pPr>
        <w:rPr>
          <w:rFonts w:ascii="Arial" w:hAnsi="Arial" w:cs="Arial"/>
        </w:rPr>
      </w:pPr>
      <w:r w:rsidRPr="002A2696">
        <w:rPr>
          <w:rFonts w:ascii="Arial" w:hAnsi="Arial" w:cs="Arial"/>
        </w:rPr>
        <w:t>Buses will connect the station to Waurn Ponds Shopping Centre and Deakin University. The project will also deliver track and signal upgrades to maximise the number of train services.</w:t>
      </w:r>
    </w:p>
    <w:p w:rsidR="001F7C09" w:rsidRPr="002F2A59" w:rsidRDefault="001F7C09" w:rsidP="00CA287F">
      <w:pPr>
        <w:rPr>
          <w:rFonts w:ascii="Arial" w:hAnsi="Arial" w:cs="Arial"/>
        </w:rPr>
      </w:pPr>
    </w:p>
    <w:p w:rsidR="001F7C09" w:rsidRPr="002A2696" w:rsidRDefault="001F7C09" w:rsidP="00CA287F">
      <w:pPr>
        <w:rPr>
          <w:rFonts w:ascii="Arial" w:hAnsi="Arial" w:cs="Arial"/>
        </w:rPr>
      </w:pPr>
      <w:r w:rsidRPr="002A2696">
        <w:rPr>
          <w:rFonts w:ascii="Arial" w:hAnsi="Arial" w:cs="Arial"/>
        </w:rPr>
        <w:t>The station is expected to be completed by the end of 2014.</w:t>
      </w:r>
    </w:p>
    <w:p w:rsidR="003E657B" w:rsidRDefault="003E657B" w:rsidP="00CA287F">
      <w:pPr>
        <w:rPr>
          <w:rFonts w:ascii="Arial" w:hAnsi="Arial" w:cs="Arial"/>
          <w:b/>
        </w:rPr>
      </w:pPr>
    </w:p>
    <w:p w:rsidR="00B47CC8" w:rsidRPr="002F2A59" w:rsidRDefault="00B47CC8" w:rsidP="00ED42C3">
      <w:pPr>
        <w:pStyle w:val="Heading20"/>
        <w:rPr>
          <w:i/>
        </w:rPr>
      </w:pPr>
      <w:r w:rsidRPr="002F2A59">
        <w:t>Rowville Rail Study</w:t>
      </w:r>
      <w:r>
        <w:t xml:space="preserve"> </w:t>
      </w:r>
    </w:p>
    <w:p w:rsidR="00B47CC8" w:rsidRPr="000D0551" w:rsidRDefault="00B47CC8" w:rsidP="00CA287F">
      <w:pPr>
        <w:rPr>
          <w:rFonts w:ascii="Arial" w:hAnsi="Arial" w:cs="Arial"/>
        </w:rPr>
      </w:pPr>
      <w:r w:rsidRPr="000D0551">
        <w:rPr>
          <w:rFonts w:ascii="Arial" w:hAnsi="Arial" w:cs="Arial"/>
        </w:rPr>
        <w:t>The Stage 1 Rowville Rail Study Final Report</w:t>
      </w:r>
      <w:r w:rsidRPr="002F2A59">
        <w:t> </w:t>
      </w:r>
      <w:r w:rsidRPr="000D0551">
        <w:rPr>
          <w:rFonts w:ascii="Arial" w:hAnsi="Arial" w:cs="Arial"/>
        </w:rPr>
        <w:t xml:space="preserve">was released in March 2013. </w:t>
      </w:r>
    </w:p>
    <w:p w:rsidR="00B47CC8" w:rsidRPr="002F2A59" w:rsidRDefault="00B47CC8" w:rsidP="00CA287F">
      <w:pPr>
        <w:rPr>
          <w:rFonts w:ascii="Arial" w:hAnsi="Arial" w:cs="Arial"/>
        </w:rPr>
      </w:pPr>
    </w:p>
    <w:p w:rsidR="00B47CC8" w:rsidRPr="000D0551" w:rsidRDefault="00B47CC8" w:rsidP="00CA287F">
      <w:pPr>
        <w:rPr>
          <w:rFonts w:ascii="Arial" w:hAnsi="Arial" w:cs="Arial"/>
        </w:rPr>
      </w:pPr>
      <w:r w:rsidRPr="000D0551">
        <w:rPr>
          <w:rFonts w:ascii="Arial" w:hAnsi="Arial" w:cs="Arial"/>
        </w:rPr>
        <w:t>The study concluded that the Rowville rail line is dependent on capacity improvements on the Dandenong line and the Melbourne Metro project, with interim action needed to continue the progress already made in improving public transport in the area.</w:t>
      </w:r>
    </w:p>
    <w:p w:rsidR="00B47CC8" w:rsidRPr="002F2A59" w:rsidRDefault="00B47CC8" w:rsidP="00CA287F">
      <w:pPr>
        <w:rPr>
          <w:rFonts w:ascii="Arial" w:hAnsi="Arial" w:cs="Arial"/>
        </w:rPr>
      </w:pPr>
    </w:p>
    <w:p w:rsidR="00B47CC8" w:rsidRPr="000D0551" w:rsidRDefault="00B47CC8" w:rsidP="00CA287F">
      <w:pPr>
        <w:rPr>
          <w:rFonts w:ascii="Arial" w:hAnsi="Arial" w:cs="Arial"/>
        </w:rPr>
      </w:pPr>
      <w:r w:rsidRPr="000D0551">
        <w:rPr>
          <w:rFonts w:ascii="Arial" w:hAnsi="Arial" w:cs="Arial"/>
        </w:rPr>
        <w:t xml:space="preserve">Planning work is continuing on the interim actions recommended for the Rowville project. </w:t>
      </w:r>
    </w:p>
    <w:p w:rsidR="00B47CC8" w:rsidRPr="002F2A59" w:rsidRDefault="00B47CC8" w:rsidP="00CA287F">
      <w:pPr>
        <w:rPr>
          <w:rFonts w:ascii="Arial" w:hAnsi="Arial" w:cs="Arial"/>
          <w:b/>
        </w:rPr>
      </w:pPr>
    </w:p>
    <w:p w:rsidR="00B47CC8" w:rsidRPr="002F2A59" w:rsidRDefault="00B47CC8" w:rsidP="00ED42C3">
      <w:pPr>
        <w:pStyle w:val="Heading20"/>
      </w:pPr>
      <w:r w:rsidRPr="002F2A59">
        <w:t xml:space="preserve">Melbourne Airport Rail Link </w:t>
      </w:r>
      <w:r>
        <w:t xml:space="preserve">Study </w:t>
      </w:r>
    </w:p>
    <w:p w:rsidR="00B47CC8" w:rsidRPr="002A2696" w:rsidRDefault="00B47CC8" w:rsidP="00CA287F">
      <w:pPr>
        <w:rPr>
          <w:rFonts w:ascii="Arial" w:hAnsi="Arial" w:cs="Arial"/>
        </w:rPr>
      </w:pPr>
      <w:r w:rsidRPr="002A2696">
        <w:rPr>
          <w:rFonts w:ascii="Arial" w:hAnsi="Arial" w:cs="Arial"/>
        </w:rPr>
        <w:t xml:space="preserve">The Melbourne Airport Rail Link Study was released in March 2013. The study recommends the ‘Albion East’ route, having considered more than 80 alternatives. </w:t>
      </w:r>
    </w:p>
    <w:p w:rsidR="00B47CC8" w:rsidRPr="002F2A59" w:rsidRDefault="00B47CC8" w:rsidP="00CA287F">
      <w:pPr>
        <w:rPr>
          <w:rFonts w:ascii="Arial" w:hAnsi="Arial" w:cs="Arial"/>
        </w:rPr>
      </w:pPr>
    </w:p>
    <w:p w:rsidR="00B47CC8" w:rsidRPr="002A2696" w:rsidRDefault="00B47CC8" w:rsidP="00CA287F">
      <w:pPr>
        <w:rPr>
          <w:rFonts w:ascii="Arial" w:hAnsi="Arial" w:cs="Arial"/>
        </w:rPr>
      </w:pPr>
      <w:r w:rsidRPr="002A2696">
        <w:rPr>
          <w:rFonts w:ascii="Arial" w:hAnsi="Arial" w:cs="Arial"/>
        </w:rPr>
        <w:t xml:space="preserve">The proposed route runs from the Melbourne Airport boundary via new tracks through reserved land and a freight corridor, using the existing rail tracks from Sunbury and connecting with the Melbourne Metro rail tunnel. </w:t>
      </w:r>
    </w:p>
    <w:p w:rsidR="001F7C09" w:rsidRDefault="001F7C09" w:rsidP="00CA287F">
      <w:pPr>
        <w:rPr>
          <w:rFonts w:ascii="Arial" w:hAnsi="Arial" w:cs="Arial"/>
        </w:rPr>
      </w:pPr>
    </w:p>
    <w:p w:rsidR="001B03B1" w:rsidRPr="002F2A59" w:rsidRDefault="001B03B1" w:rsidP="00ED42C3">
      <w:pPr>
        <w:pStyle w:val="Heading20"/>
      </w:pPr>
      <w:r w:rsidRPr="002F2A59">
        <w:t>Doncaster Rail Study</w:t>
      </w:r>
      <w:r>
        <w:t xml:space="preserve"> </w:t>
      </w:r>
    </w:p>
    <w:p w:rsidR="001B03B1" w:rsidRDefault="001B03B1" w:rsidP="00CA287F">
      <w:pPr>
        <w:rPr>
          <w:rFonts w:ascii="Arial" w:hAnsi="Arial" w:cs="Arial"/>
        </w:rPr>
      </w:pPr>
      <w:r w:rsidRPr="000D0551">
        <w:rPr>
          <w:rFonts w:ascii="Arial" w:hAnsi="Arial" w:cs="Arial"/>
        </w:rPr>
        <w:t xml:space="preserve">The Phase One Draft Recommendations Report, released in March 2013, detailed the findings of the independent study team’s investigations into the best route for a Doncaster rail line. </w:t>
      </w:r>
    </w:p>
    <w:p w:rsidR="001B03B1" w:rsidRDefault="001B03B1" w:rsidP="00CA287F">
      <w:pPr>
        <w:rPr>
          <w:rFonts w:ascii="Arial" w:hAnsi="Arial" w:cs="Arial"/>
        </w:rPr>
      </w:pPr>
    </w:p>
    <w:p w:rsidR="001B03B1" w:rsidRPr="000D0551" w:rsidRDefault="001B03B1" w:rsidP="00CA287F">
      <w:pPr>
        <w:rPr>
          <w:rFonts w:ascii="Arial" w:hAnsi="Arial" w:cs="Arial"/>
        </w:rPr>
      </w:pPr>
      <w:r w:rsidRPr="000D0551">
        <w:rPr>
          <w:rFonts w:ascii="Arial" w:hAnsi="Arial" w:cs="Arial"/>
        </w:rPr>
        <w:t>The report recommends an alignment from the Doncaster Park</w:t>
      </w:r>
      <w:r w:rsidR="00C44F1D">
        <w:rPr>
          <w:rFonts w:ascii="Arial" w:hAnsi="Arial" w:cs="Arial"/>
        </w:rPr>
        <w:t xml:space="preserve"> </w:t>
      </w:r>
      <w:r w:rsidRPr="000D0551">
        <w:rPr>
          <w:rFonts w:ascii="Arial" w:hAnsi="Arial" w:cs="Arial"/>
        </w:rPr>
        <w:t>and</w:t>
      </w:r>
      <w:r w:rsidR="00C44F1D">
        <w:rPr>
          <w:rFonts w:ascii="Arial" w:hAnsi="Arial" w:cs="Arial"/>
        </w:rPr>
        <w:t xml:space="preserve"> </w:t>
      </w:r>
      <w:r w:rsidRPr="000D0551">
        <w:rPr>
          <w:rFonts w:ascii="Arial" w:hAnsi="Arial" w:cs="Arial"/>
        </w:rPr>
        <w:t>Ride to the city, via the Eastern Freeway, connecting to the Hurstbridge line at around Victoria Park.</w:t>
      </w:r>
    </w:p>
    <w:p w:rsidR="001B03B1" w:rsidRDefault="001B03B1" w:rsidP="00CA287F">
      <w:pPr>
        <w:rPr>
          <w:rFonts w:ascii="Arial" w:hAnsi="Arial" w:cs="Arial"/>
        </w:rPr>
      </w:pPr>
    </w:p>
    <w:p w:rsidR="001B03B1" w:rsidRPr="000D0551" w:rsidRDefault="001B03B1" w:rsidP="00CA287F">
      <w:pPr>
        <w:rPr>
          <w:rFonts w:ascii="Arial" w:hAnsi="Arial" w:cs="Arial"/>
        </w:rPr>
      </w:pPr>
      <w:r w:rsidRPr="000D0551">
        <w:rPr>
          <w:rFonts w:ascii="Arial" w:hAnsi="Arial" w:cs="Arial"/>
        </w:rPr>
        <w:t xml:space="preserve">A number of rail network capacity challenges are identified in the study findings, which would need to be addressed before a rail line to Doncaster could be introduced. </w:t>
      </w:r>
    </w:p>
    <w:p w:rsidR="001B03B1" w:rsidRPr="002F2A59" w:rsidRDefault="001B03B1" w:rsidP="00CA287F">
      <w:pPr>
        <w:rPr>
          <w:rFonts w:ascii="Arial" w:hAnsi="Arial" w:cs="Arial"/>
        </w:rPr>
      </w:pPr>
    </w:p>
    <w:p w:rsidR="001B03B1" w:rsidRPr="002F2A59" w:rsidRDefault="001B03B1" w:rsidP="00ED42C3">
      <w:pPr>
        <w:pStyle w:val="Heading20"/>
      </w:pPr>
      <w:r w:rsidRPr="002F2A59">
        <w:t xml:space="preserve">Rail Revival </w:t>
      </w:r>
      <w:r w:rsidRPr="00B07465">
        <w:t>Study</w:t>
      </w:r>
      <w:r>
        <w:t xml:space="preserve"> </w:t>
      </w:r>
    </w:p>
    <w:p w:rsidR="001B03B1" w:rsidRPr="001338B4" w:rsidRDefault="001B03B1" w:rsidP="00CA287F">
      <w:pPr>
        <w:rPr>
          <w:rFonts w:ascii="Arial" w:hAnsi="Arial" w:cs="Arial"/>
        </w:rPr>
      </w:pPr>
      <w:r w:rsidRPr="001338B4">
        <w:rPr>
          <w:rFonts w:ascii="Arial" w:hAnsi="Arial" w:cs="Arial"/>
        </w:rPr>
        <w:t>The feasibility study into returning passenger trains between Geelong, Ballarat and Bendigo via Meredith and Newstead was released in March 2013.</w:t>
      </w:r>
    </w:p>
    <w:p w:rsidR="001B03B1" w:rsidRDefault="001B03B1" w:rsidP="00CA287F">
      <w:pPr>
        <w:rPr>
          <w:rFonts w:ascii="Arial" w:hAnsi="Arial" w:cs="Arial"/>
        </w:rPr>
      </w:pPr>
    </w:p>
    <w:p w:rsidR="001B03B1" w:rsidRPr="001338B4" w:rsidRDefault="001B03B1" w:rsidP="00CA287F">
      <w:pPr>
        <w:rPr>
          <w:rFonts w:ascii="Arial" w:hAnsi="Arial" w:cs="Arial"/>
        </w:rPr>
      </w:pPr>
      <w:r w:rsidRPr="001338B4">
        <w:rPr>
          <w:rFonts w:ascii="Arial" w:hAnsi="Arial" w:cs="Arial"/>
        </w:rPr>
        <w:t>The study recommended that existing rail reservations be kept in place</w:t>
      </w:r>
      <w:r>
        <w:rPr>
          <w:rFonts w:ascii="Arial" w:hAnsi="Arial" w:cs="Arial"/>
        </w:rPr>
        <w:t xml:space="preserve">, and that </w:t>
      </w:r>
      <w:r w:rsidRPr="001338B4">
        <w:rPr>
          <w:rFonts w:ascii="Arial" w:hAnsi="Arial" w:cs="Arial"/>
        </w:rPr>
        <w:t>improvements to V/Line coach schedules to better serve communities between Geelong, Ballarat and Castlemaine</w:t>
      </w:r>
      <w:r>
        <w:rPr>
          <w:rFonts w:ascii="Arial" w:hAnsi="Arial" w:cs="Arial"/>
        </w:rPr>
        <w:t xml:space="preserve"> be considered as a first stage of public transport improvements in the region</w:t>
      </w:r>
      <w:r w:rsidRPr="001338B4">
        <w:rPr>
          <w:rFonts w:ascii="Arial" w:hAnsi="Arial" w:cs="Arial"/>
        </w:rPr>
        <w:t>.</w:t>
      </w:r>
    </w:p>
    <w:p w:rsidR="001B03B1" w:rsidRDefault="001B03B1" w:rsidP="00CA287F">
      <w:pPr>
        <w:rPr>
          <w:rFonts w:ascii="Arial" w:hAnsi="Arial" w:cs="Arial"/>
        </w:rPr>
      </w:pPr>
    </w:p>
    <w:p w:rsidR="001B03B1" w:rsidRPr="002F2A59" w:rsidRDefault="001B03B1" w:rsidP="00CA287F">
      <w:pPr>
        <w:rPr>
          <w:rFonts w:ascii="Arial" w:hAnsi="Arial" w:cs="Arial"/>
        </w:rPr>
      </w:pPr>
    </w:p>
    <w:p w:rsidR="001F7C09" w:rsidRPr="00ED42C3" w:rsidRDefault="001F7C09" w:rsidP="00ED42C3">
      <w:pPr>
        <w:pStyle w:val="Heading10"/>
      </w:pPr>
      <w:bookmarkStart w:id="22" w:name="_Toc359938679"/>
      <w:r w:rsidRPr="00ED42C3">
        <w:t xml:space="preserve">TOURIST AND HERITAGE RAILWAYS </w:t>
      </w:r>
      <w:bookmarkEnd w:id="22"/>
    </w:p>
    <w:p w:rsidR="002554C4" w:rsidRDefault="002554C4" w:rsidP="00CA287F">
      <w:pPr>
        <w:rPr>
          <w:rFonts w:ascii="Helv" w:hAnsi="Helv" w:cs="Helv"/>
          <w:b/>
          <w:bCs/>
          <w:color w:val="000000"/>
          <w:sz w:val="20"/>
          <w:szCs w:val="20"/>
        </w:rPr>
      </w:pPr>
    </w:p>
    <w:p w:rsidR="002554C4" w:rsidRPr="006B1498" w:rsidRDefault="002554C4" w:rsidP="00CA287F">
      <w:pPr>
        <w:rPr>
          <w:rFonts w:ascii="Arial" w:hAnsi="Arial" w:cs="Arial"/>
        </w:rPr>
      </w:pPr>
      <w:r w:rsidRPr="006B1498">
        <w:rPr>
          <w:rFonts w:ascii="Arial" w:hAnsi="Arial" w:cs="Arial"/>
        </w:rPr>
        <w:t>In 2012-13</w:t>
      </w:r>
      <w:r w:rsidR="00BB4B27" w:rsidRPr="006B1498">
        <w:rPr>
          <w:rFonts w:ascii="Arial" w:hAnsi="Arial" w:cs="Arial"/>
        </w:rPr>
        <w:t>,</w:t>
      </w:r>
      <w:r w:rsidRPr="006B1498">
        <w:rPr>
          <w:rFonts w:ascii="Arial" w:hAnsi="Arial" w:cs="Arial"/>
        </w:rPr>
        <w:t xml:space="preserve"> 17 Tourist and Heritage groups achieved voluntary accreditation under the Tourist and Heritage Railways Act 2010.  </w:t>
      </w:r>
    </w:p>
    <w:p w:rsidR="002554C4" w:rsidRPr="006B1498" w:rsidRDefault="002554C4" w:rsidP="00CA287F">
      <w:pPr>
        <w:rPr>
          <w:rFonts w:ascii="Arial" w:hAnsi="Arial" w:cs="Arial"/>
        </w:rPr>
      </w:pPr>
    </w:p>
    <w:p w:rsidR="002554C4" w:rsidRPr="006B1498" w:rsidRDefault="002554C4" w:rsidP="00CA287F">
      <w:pPr>
        <w:rPr>
          <w:rFonts w:ascii="Arial" w:hAnsi="Arial" w:cs="Arial"/>
        </w:rPr>
      </w:pPr>
      <w:r w:rsidRPr="006B1498">
        <w:rPr>
          <w:rFonts w:ascii="Arial" w:hAnsi="Arial" w:cs="Arial"/>
        </w:rPr>
        <w:t>PTV identified and supplied key railway items, such as sleepers and signalling equipment, which were allocated following calls for expression</w:t>
      </w:r>
      <w:r w:rsidR="001D4821" w:rsidRPr="006B1498">
        <w:rPr>
          <w:rFonts w:ascii="Arial" w:hAnsi="Arial" w:cs="Arial"/>
        </w:rPr>
        <w:t>s</w:t>
      </w:r>
      <w:r w:rsidRPr="006B1498">
        <w:rPr>
          <w:rFonts w:ascii="Arial" w:hAnsi="Arial" w:cs="Arial"/>
        </w:rPr>
        <w:t xml:space="preserve"> of interest.  This provided the sector with necessary equipment while maximising the life of these assets.</w:t>
      </w:r>
    </w:p>
    <w:p w:rsidR="000E7B77" w:rsidRDefault="000E7B77">
      <w:pPr>
        <w:rPr>
          <w:rFonts w:ascii="Arial" w:hAnsi="Arial" w:cs="Arial"/>
        </w:rPr>
      </w:pPr>
    </w:p>
    <w:p w:rsidR="00D94C15" w:rsidRDefault="00D94C15" w:rsidP="001F7C09">
      <w:pPr>
        <w:rPr>
          <w:rFonts w:ascii="Arial" w:hAnsi="Arial" w:cs="Arial"/>
        </w:rPr>
      </w:pPr>
      <w:r>
        <w:rPr>
          <w:rFonts w:ascii="Arial" w:hAnsi="Arial" w:cs="Arial"/>
        </w:rPr>
        <w:br w:type="page"/>
      </w:r>
    </w:p>
    <w:p w:rsidR="00D94C15" w:rsidRPr="00CB2689" w:rsidRDefault="00D94C15" w:rsidP="00031F61">
      <w:pPr>
        <w:pStyle w:val="Heading10"/>
      </w:pPr>
      <w:r w:rsidRPr="00CB2689">
        <w:t>PTV PERFORMANCE REPORT</w:t>
      </w:r>
    </w:p>
    <w:p w:rsidR="000E7B77" w:rsidRPr="008A185A" w:rsidRDefault="000E7B77" w:rsidP="001F7C09">
      <w:pPr>
        <w:rPr>
          <w:rFonts w:ascii="Arial" w:hAnsi="Arial" w:cs="Arial"/>
        </w:rPr>
      </w:pPr>
    </w:p>
    <w:p w:rsidR="00D94C15" w:rsidRPr="008A185A" w:rsidRDefault="00D94C15" w:rsidP="001F7C09">
      <w:pPr>
        <w:rPr>
          <w:rFonts w:ascii="Arial" w:hAnsi="Arial" w:cs="Arial"/>
        </w:rPr>
      </w:pPr>
    </w:p>
    <w:p w:rsidR="00D94C15" w:rsidRPr="008A185A" w:rsidRDefault="009A5D05" w:rsidP="00D94C15">
      <w:pPr>
        <w:autoSpaceDE w:val="0"/>
        <w:autoSpaceDN w:val="0"/>
        <w:adjustRightInd w:val="0"/>
        <w:rPr>
          <w:rFonts w:ascii="Arial" w:hAnsi="Arial" w:cs="Arial"/>
          <w:sz w:val="18"/>
          <w:szCs w:val="18"/>
        </w:rPr>
      </w:pPr>
      <w:r w:rsidRPr="008A185A">
        <w:rPr>
          <w:rFonts w:ascii="Arial" w:hAnsi="Arial" w:cs="Arial"/>
          <w:sz w:val="18"/>
          <w:szCs w:val="18"/>
        </w:rPr>
        <w:t>17</w:t>
      </w:r>
      <w:r w:rsidR="00D94C15" w:rsidRPr="008A185A">
        <w:rPr>
          <w:rFonts w:ascii="Arial" w:hAnsi="Arial" w:cs="Arial"/>
          <w:sz w:val="18"/>
          <w:szCs w:val="18"/>
        </w:rPr>
        <w:t xml:space="preserve"> September 2013</w:t>
      </w:r>
    </w:p>
    <w:p w:rsidR="00D94C15" w:rsidRPr="008A185A" w:rsidRDefault="00D94C15" w:rsidP="00D94C15">
      <w:pPr>
        <w:autoSpaceDE w:val="0"/>
        <w:autoSpaceDN w:val="0"/>
        <w:adjustRightInd w:val="0"/>
        <w:rPr>
          <w:rFonts w:ascii="Arial" w:hAnsi="Arial" w:cs="Arial"/>
          <w:sz w:val="18"/>
          <w:szCs w:val="18"/>
        </w:rPr>
      </w:pPr>
    </w:p>
    <w:p w:rsidR="00D94C15" w:rsidRPr="008A185A" w:rsidRDefault="00D94C15" w:rsidP="00D94C15">
      <w:pPr>
        <w:autoSpaceDE w:val="0"/>
        <w:autoSpaceDN w:val="0"/>
        <w:adjustRightInd w:val="0"/>
        <w:rPr>
          <w:rFonts w:ascii="Arial" w:hAnsi="Arial" w:cs="Arial"/>
          <w:sz w:val="18"/>
          <w:szCs w:val="18"/>
        </w:rPr>
      </w:pPr>
      <w:r w:rsidRPr="008A185A">
        <w:rPr>
          <w:rFonts w:ascii="Arial" w:hAnsi="Arial" w:cs="Arial"/>
          <w:sz w:val="18"/>
          <w:szCs w:val="18"/>
        </w:rPr>
        <w:t>Hon Terry Mulder MP</w:t>
      </w:r>
    </w:p>
    <w:p w:rsidR="00D94C15" w:rsidRPr="008A185A" w:rsidRDefault="00D94C15" w:rsidP="00D94C15">
      <w:pPr>
        <w:autoSpaceDE w:val="0"/>
        <w:autoSpaceDN w:val="0"/>
        <w:adjustRightInd w:val="0"/>
        <w:rPr>
          <w:rFonts w:ascii="Arial" w:hAnsi="Arial" w:cs="Arial"/>
          <w:sz w:val="18"/>
          <w:szCs w:val="18"/>
        </w:rPr>
      </w:pPr>
      <w:r w:rsidRPr="008A185A">
        <w:rPr>
          <w:rFonts w:ascii="Arial" w:hAnsi="Arial" w:cs="Arial"/>
          <w:sz w:val="18"/>
          <w:szCs w:val="18"/>
        </w:rPr>
        <w:t>Minister for Public Transport</w:t>
      </w:r>
    </w:p>
    <w:p w:rsidR="00D94C15" w:rsidRPr="008A185A" w:rsidRDefault="00D94C15" w:rsidP="00D94C15">
      <w:pPr>
        <w:autoSpaceDE w:val="0"/>
        <w:autoSpaceDN w:val="0"/>
        <w:adjustRightInd w:val="0"/>
        <w:rPr>
          <w:rFonts w:ascii="Arial" w:hAnsi="Arial" w:cs="Arial"/>
          <w:sz w:val="18"/>
          <w:szCs w:val="18"/>
        </w:rPr>
      </w:pPr>
      <w:r w:rsidRPr="008A185A">
        <w:rPr>
          <w:rFonts w:ascii="Arial" w:hAnsi="Arial" w:cs="Arial"/>
          <w:sz w:val="18"/>
          <w:szCs w:val="18"/>
        </w:rPr>
        <w:t>Level 16</w:t>
      </w:r>
    </w:p>
    <w:p w:rsidR="00D94C15" w:rsidRPr="008A185A" w:rsidRDefault="00D94C15" w:rsidP="00D94C15">
      <w:pPr>
        <w:autoSpaceDE w:val="0"/>
        <w:autoSpaceDN w:val="0"/>
        <w:adjustRightInd w:val="0"/>
        <w:rPr>
          <w:rFonts w:ascii="Arial" w:hAnsi="Arial" w:cs="Arial"/>
          <w:sz w:val="18"/>
          <w:szCs w:val="18"/>
        </w:rPr>
      </w:pPr>
      <w:r w:rsidRPr="008A185A">
        <w:rPr>
          <w:rFonts w:ascii="Arial" w:hAnsi="Arial" w:cs="Arial"/>
          <w:sz w:val="18"/>
          <w:szCs w:val="18"/>
        </w:rPr>
        <w:t>121 Exhibition Street</w:t>
      </w:r>
    </w:p>
    <w:p w:rsidR="00D94C15" w:rsidRPr="008A185A" w:rsidRDefault="00D94C15" w:rsidP="00D94C15">
      <w:pPr>
        <w:autoSpaceDE w:val="0"/>
        <w:autoSpaceDN w:val="0"/>
        <w:adjustRightInd w:val="0"/>
        <w:rPr>
          <w:rFonts w:ascii="Arial" w:hAnsi="Arial" w:cs="Arial"/>
          <w:sz w:val="18"/>
          <w:szCs w:val="18"/>
        </w:rPr>
      </w:pPr>
      <w:r w:rsidRPr="008A185A">
        <w:rPr>
          <w:rFonts w:ascii="Arial" w:hAnsi="Arial" w:cs="Arial"/>
          <w:sz w:val="18"/>
          <w:szCs w:val="18"/>
        </w:rPr>
        <w:t>Melbourne VIC 3000</w:t>
      </w:r>
    </w:p>
    <w:p w:rsidR="00D94C15" w:rsidRPr="008A185A" w:rsidRDefault="00D94C15" w:rsidP="00D94C15">
      <w:pPr>
        <w:autoSpaceDE w:val="0"/>
        <w:autoSpaceDN w:val="0"/>
        <w:adjustRightInd w:val="0"/>
        <w:rPr>
          <w:rFonts w:ascii="Arial" w:hAnsi="Arial" w:cs="Arial"/>
          <w:sz w:val="18"/>
          <w:szCs w:val="18"/>
        </w:rPr>
      </w:pPr>
    </w:p>
    <w:p w:rsidR="00D94C15" w:rsidRPr="008A185A" w:rsidRDefault="00D94C15" w:rsidP="00D94C15">
      <w:pPr>
        <w:autoSpaceDE w:val="0"/>
        <w:autoSpaceDN w:val="0"/>
        <w:adjustRightInd w:val="0"/>
        <w:rPr>
          <w:rFonts w:ascii="Arial" w:hAnsi="Arial" w:cs="Arial"/>
          <w:sz w:val="18"/>
          <w:szCs w:val="18"/>
        </w:rPr>
      </w:pPr>
    </w:p>
    <w:p w:rsidR="00D94C15" w:rsidRPr="008A185A" w:rsidRDefault="00D94C15" w:rsidP="00D94C15">
      <w:pPr>
        <w:autoSpaceDE w:val="0"/>
        <w:autoSpaceDN w:val="0"/>
        <w:adjustRightInd w:val="0"/>
        <w:rPr>
          <w:rFonts w:ascii="Arial" w:hAnsi="Arial" w:cs="Arial"/>
          <w:sz w:val="18"/>
          <w:szCs w:val="18"/>
        </w:rPr>
      </w:pPr>
      <w:r w:rsidRPr="008A185A">
        <w:rPr>
          <w:rFonts w:ascii="Arial" w:hAnsi="Arial" w:cs="Arial"/>
          <w:sz w:val="18"/>
          <w:szCs w:val="18"/>
        </w:rPr>
        <w:t>Dear Minister</w:t>
      </w:r>
    </w:p>
    <w:p w:rsidR="002C0923" w:rsidRPr="008A185A" w:rsidRDefault="002C0923" w:rsidP="00D94C15">
      <w:pPr>
        <w:autoSpaceDE w:val="0"/>
        <w:autoSpaceDN w:val="0"/>
        <w:adjustRightInd w:val="0"/>
        <w:rPr>
          <w:rFonts w:ascii="Arial" w:hAnsi="Arial" w:cs="Arial"/>
          <w:sz w:val="18"/>
          <w:szCs w:val="18"/>
        </w:rPr>
      </w:pPr>
    </w:p>
    <w:p w:rsidR="00D94C15" w:rsidRPr="008A185A" w:rsidRDefault="00D94C15" w:rsidP="00D94C15">
      <w:pPr>
        <w:autoSpaceDE w:val="0"/>
        <w:autoSpaceDN w:val="0"/>
        <w:adjustRightInd w:val="0"/>
        <w:rPr>
          <w:rFonts w:ascii="Arial" w:hAnsi="Arial" w:cs="Arial"/>
          <w:b/>
          <w:sz w:val="18"/>
          <w:szCs w:val="18"/>
        </w:rPr>
      </w:pPr>
      <w:r w:rsidRPr="008A185A">
        <w:rPr>
          <w:rFonts w:ascii="Arial" w:hAnsi="Arial" w:cs="Arial"/>
          <w:b/>
          <w:sz w:val="18"/>
          <w:szCs w:val="18"/>
        </w:rPr>
        <w:t>PUBLIC TRANSPORT SYSTEM PERFORMANCE REPORT</w:t>
      </w:r>
    </w:p>
    <w:p w:rsidR="002C0923" w:rsidRPr="008A185A" w:rsidRDefault="002C0923" w:rsidP="00D94C15">
      <w:pPr>
        <w:autoSpaceDE w:val="0"/>
        <w:autoSpaceDN w:val="0"/>
        <w:adjustRightInd w:val="0"/>
        <w:rPr>
          <w:rFonts w:ascii="Arial" w:hAnsi="Arial" w:cs="Arial"/>
          <w:sz w:val="18"/>
          <w:szCs w:val="18"/>
        </w:rPr>
      </w:pPr>
    </w:p>
    <w:p w:rsidR="00D94C15" w:rsidRPr="008A185A" w:rsidRDefault="00D94C15" w:rsidP="00D94C15">
      <w:pPr>
        <w:autoSpaceDE w:val="0"/>
        <w:autoSpaceDN w:val="0"/>
        <w:adjustRightInd w:val="0"/>
        <w:rPr>
          <w:rFonts w:ascii="Arial" w:hAnsi="Arial" w:cs="Arial"/>
          <w:sz w:val="18"/>
          <w:szCs w:val="18"/>
        </w:rPr>
      </w:pPr>
      <w:r w:rsidRPr="008A185A">
        <w:rPr>
          <w:rFonts w:ascii="Arial" w:hAnsi="Arial" w:cs="Arial"/>
          <w:sz w:val="18"/>
          <w:szCs w:val="18"/>
        </w:rPr>
        <w:t>On behalf of Public Transport Victoria I a</w:t>
      </w:r>
      <w:r w:rsidR="002C0923" w:rsidRPr="008A185A">
        <w:rPr>
          <w:rFonts w:ascii="Arial" w:hAnsi="Arial" w:cs="Arial"/>
          <w:sz w:val="18"/>
          <w:szCs w:val="18"/>
        </w:rPr>
        <w:t xml:space="preserve">m pleased to submit PTV’s </w:t>
      </w:r>
      <w:r w:rsidRPr="008A185A">
        <w:rPr>
          <w:rFonts w:ascii="Arial" w:hAnsi="Arial" w:cs="Arial"/>
          <w:sz w:val="18"/>
          <w:szCs w:val="18"/>
        </w:rPr>
        <w:t xml:space="preserve">report under section 79W of the </w:t>
      </w:r>
      <w:r w:rsidRPr="008A185A">
        <w:rPr>
          <w:rFonts w:ascii="Arial" w:hAnsi="Arial" w:cs="Arial"/>
          <w:i/>
          <w:iCs/>
          <w:sz w:val="18"/>
          <w:szCs w:val="18"/>
        </w:rPr>
        <w:t>Transport</w:t>
      </w:r>
      <w:r w:rsidR="002C0923" w:rsidRPr="008A185A">
        <w:rPr>
          <w:rFonts w:ascii="Arial" w:hAnsi="Arial" w:cs="Arial"/>
          <w:i/>
          <w:iCs/>
          <w:sz w:val="18"/>
          <w:szCs w:val="18"/>
        </w:rPr>
        <w:t xml:space="preserve"> </w:t>
      </w:r>
      <w:r w:rsidRPr="008A185A">
        <w:rPr>
          <w:rFonts w:ascii="Arial" w:hAnsi="Arial" w:cs="Arial"/>
          <w:i/>
          <w:iCs/>
          <w:sz w:val="18"/>
          <w:szCs w:val="18"/>
        </w:rPr>
        <w:t xml:space="preserve">Integration Act 2010 </w:t>
      </w:r>
      <w:r w:rsidRPr="008A185A">
        <w:rPr>
          <w:rFonts w:ascii="Arial" w:hAnsi="Arial" w:cs="Arial"/>
          <w:sz w:val="18"/>
          <w:szCs w:val="18"/>
        </w:rPr>
        <w:t>on the performance of Victoria’s public transport system.</w:t>
      </w:r>
    </w:p>
    <w:p w:rsidR="002C0923" w:rsidRPr="008A185A" w:rsidRDefault="002C0923" w:rsidP="00D94C15">
      <w:pPr>
        <w:autoSpaceDE w:val="0"/>
        <w:autoSpaceDN w:val="0"/>
        <w:adjustRightInd w:val="0"/>
        <w:rPr>
          <w:rFonts w:ascii="Arial" w:hAnsi="Arial" w:cs="Arial"/>
          <w:sz w:val="18"/>
          <w:szCs w:val="18"/>
        </w:rPr>
      </w:pPr>
    </w:p>
    <w:p w:rsidR="002C0923" w:rsidRPr="008A185A" w:rsidRDefault="00D94C15" w:rsidP="002C0923">
      <w:pPr>
        <w:autoSpaceDE w:val="0"/>
        <w:autoSpaceDN w:val="0"/>
        <w:adjustRightInd w:val="0"/>
        <w:rPr>
          <w:rFonts w:ascii="Arial" w:hAnsi="Arial" w:cs="Arial"/>
          <w:sz w:val="18"/>
          <w:szCs w:val="18"/>
        </w:rPr>
      </w:pPr>
      <w:r w:rsidRPr="008A185A">
        <w:rPr>
          <w:rFonts w:ascii="Arial" w:hAnsi="Arial" w:cs="Arial"/>
          <w:sz w:val="18"/>
          <w:szCs w:val="18"/>
        </w:rPr>
        <w:t>This report provides information on the performance of trains, trams and buses across Vic</w:t>
      </w:r>
      <w:r w:rsidR="002C0923" w:rsidRPr="008A185A">
        <w:rPr>
          <w:rFonts w:ascii="Arial" w:hAnsi="Arial" w:cs="Arial"/>
          <w:sz w:val="18"/>
          <w:szCs w:val="18"/>
        </w:rPr>
        <w:t>toria for the period 1 July 2012 to 30 June 2013</w:t>
      </w:r>
      <w:r w:rsidRPr="008A185A">
        <w:rPr>
          <w:rFonts w:ascii="Arial" w:hAnsi="Arial" w:cs="Arial"/>
          <w:sz w:val="18"/>
          <w:szCs w:val="18"/>
        </w:rPr>
        <w:t>, through measurements in the key areas of customer satisfaction, service punctuality, service reliability</w:t>
      </w:r>
      <w:r w:rsidR="002C0923" w:rsidRPr="008A185A">
        <w:rPr>
          <w:rFonts w:ascii="Arial" w:hAnsi="Arial" w:cs="Arial"/>
          <w:sz w:val="18"/>
          <w:szCs w:val="18"/>
        </w:rPr>
        <w:t xml:space="preserve"> </w:t>
      </w:r>
      <w:r w:rsidRPr="008A185A">
        <w:rPr>
          <w:rFonts w:ascii="Arial" w:hAnsi="Arial" w:cs="Arial"/>
          <w:sz w:val="18"/>
          <w:szCs w:val="18"/>
        </w:rPr>
        <w:t xml:space="preserve">and scheduled kilometres. </w:t>
      </w:r>
    </w:p>
    <w:p w:rsidR="002C0923" w:rsidRPr="008A185A" w:rsidRDefault="002C0923" w:rsidP="002C0923">
      <w:pPr>
        <w:autoSpaceDE w:val="0"/>
        <w:autoSpaceDN w:val="0"/>
        <w:adjustRightInd w:val="0"/>
        <w:rPr>
          <w:rFonts w:ascii="Arial" w:hAnsi="Arial" w:cs="Arial"/>
          <w:sz w:val="18"/>
          <w:szCs w:val="18"/>
        </w:rPr>
      </w:pPr>
    </w:p>
    <w:p w:rsidR="002C0923" w:rsidRPr="008A185A" w:rsidRDefault="002C0923" w:rsidP="002C0923">
      <w:pPr>
        <w:autoSpaceDE w:val="0"/>
        <w:autoSpaceDN w:val="0"/>
        <w:adjustRightInd w:val="0"/>
        <w:rPr>
          <w:rFonts w:ascii="Arial" w:hAnsi="Arial" w:cs="Arial"/>
          <w:sz w:val="18"/>
          <w:szCs w:val="18"/>
        </w:rPr>
      </w:pPr>
      <w:r w:rsidRPr="008A185A">
        <w:rPr>
          <w:rFonts w:ascii="Arial" w:hAnsi="Arial" w:cs="Arial"/>
          <w:sz w:val="18"/>
          <w:szCs w:val="18"/>
        </w:rPr>
        <w:t>In addition, this report has been enlarged to include patronage, load standa</w:t>
      </w:r>
      <w:r w:rsidR="0065269C" w:rsidRPr="008A185A">
        <w:rPr>
          <w:rFonts w:ascii="Arial" w:hAnsi="Arial" w:cs="Arial"/>
          <w:sz w:val="18"/>
          <w:szCs w:val="18"/>
        </w:rPr>
        <w:t>rds and fare evasion statistics</w:t>
      </w:r>
      <w:r w:rsidRPr="008A185A">
        <w:rPr>
          <w:rFonts w:ascii="Arial" w:hAnsi="Arial" w:cs="Arial"/>
          <w:sz w:val="18"/>
          <w:szCs w:val="18"/>
        </w:rPr>
        <w:t xml:space="preserve"> to provide a more comprehensive view of Victoria’s public transport.</w:t>
      </w:r>
    </w:p>
    <w:p w:rsidR="002C0923" w:rsidRPr="008A185A" w:rsidRDefault="002C0923" w:rsidP="002C0923">
      <w:pPr>
        <w:autoSpaceDE w:val="0"/>
        <w:autoSpaceDN w:val="0"/>
        <w:adjustRightInd w:val="0"/>
        <w:rPr>
          <w:rFonts w:ascii="Arial" w:hAnsi="Arial" w:cs="Arial"/>
          <w:sz w:val="18"/>
          <w:szCs w:val="18"/>
        </w:rPr>
      </w:pPr>
    </w:p>
    <w:p w:rsidR="002C0923" w:rsidRPr="008A185A" w:rsidRDefault="002C0923" w:rsidP="002C0923">
      <w:pPr>
        <w:autoSpaceDE w:val="0"/>
        <w:autoSpaceDN w:val="0"/>
        <w:adjustRightInd w:val="0"/>
        <w:rPr>
          <w:rFonts w:ascii="Arial" w:hAnsi="Arial" w:cs="Arial"/>
          <w:sz w:val="18"/>
          <w:szCs w:val="18"/>
        </w:rPr>
      </w:pPr>
    </w:p>
    <w:p w:rsidR="002C0923" w:rsidRPr="008A185A" w:rsidRDefault="002C0923" w:rsidP="002C0923">
      <w:pPr>
        <w:autoSpaceDE w:val="0"/>
        <w:autoSpaceDN w:val="0"/>
        <w:adjustRightInd w:val="0"/>
        <w:rPr>
          <w:rFonts w:ascii="Arial" w:hAnsi="Arial" w:cs="Arial"/>
          <w:sz w:val="18"/>
          <w:szCs w:val="18"/>
        </w:rPr>
      </w:pPr>
    </w:p>
    <w:p w:rsidR="002C0923" w:rsidRPr="008A185A" w:rsidRDefault="002C0923" w:rsidP="002C0923">
      <w:pPr>
        <w:autoSpaceDE w:val="0"/>
        <w:autoSpaceDN w:val="0"/>
        <w:adjustRightInd w:val="0"/>
        <w:rPr>
          <w:rFonts w:ascii="Arial" w:hAnsi="Arial" w:cs="Arial"/>
          <w:sz w:val="18"/>
          <w:szCs w:val="18"/>
        </w:rPr>
      </w:pPr>
      <w:r w:rsidRPr="008A185A">
        <w:rPr>
          <w:rFonts w:ascii="Arial" w:hAnsi="Arial" w:cs="Arial"/>
          <w:sz w:val="18"/>
          <w:szCs w:val="18"/>
        </w:rPr>
        <w:t>[SIGNATURE]</w:t>
      </w:r>
    </w:p>
    <w:p w:rsidR="002C0923" w:rsidRPr="008A185A" w:rsidRDefault="002C0923" w:rsidP="002C0923">
      <w:pPr>
        <w:autoSpaceDE w:val="0"/>
        <w:autoSpaceDN w:val="0"/>
        <w:adjustRightInd w:val="0"/>
        <w:rPr>
          <w:rFonts w:ascii="Arial" w:hAnsi="Arial" w:cs="Arial"/>
          <w:sz w:val="18"/>
          <w:szCs w:val="18"/>
        </w:rPr>
      </w:pPr>
    </w:p>
    <w:p w:rsidR="00D94C15" w:rsidRPr="008A185A" w:rsidRDefault="00D94C15" w:rsidP="002C0923">
      <w:pPr>
        <w:autoSpaceDE w:val="0"/>
        <w:autoSpaceDN w:val="0"/>
        <w:adjustRightInd w:val="0"/>
        <w:rPr>
          <w:rFonts w:ascii="Arial" w:hAnsi="Arial" w:cs="Arial"/>
          <w:sz w:val="18"/>
          <w:szCs w:val="18"/>
        </w:rPr>
      </w:pPr>
      <w:r w:rsidRPr="008A185A">
        <w:rPr>
          <w:rFonts w:ascii="Arial" w:hAnsi="Arial" w:cs="Arial"/>
          <w:sz w:val="18"/>
          <w:szCs w:val="18"/>
        </w:rPr>
        <w:t>Ian Dobbs</w:t>
      </w:r>
    </w:p>
    <w:p w:rsidR="002C0923" w:rsidRPr="008A185A" w:rsidRDefault="002C0923" w:rsidP="002C0923">
      <w:pPr>
        <w:autoSpaceDE w:val="0"/>
        <w:autoSpaceDN w:val="0"/>
        <w:adjustRightInd w:val="0"/>
        <w:rPr>
          <w:rFonts w:ascii="Arial" w:hAnsi="Arial" w:cs="Arial"/>
          <w:sz w:val="18"/>
          <w:szCs w:val="18"/>
        </w:rPr>
      </w:pPr>
    </w:p>
    <w:p w:rsidR="00D94C15" w:rsidRPr="008A185A" w:rsidRDefault="00D94C15" w:rsidP="00D94C15">
      <w:pPr>
        <w:rPr>
          <w:rFonts w:ascii="Arial" w:hAnsi="Arial" w:cs="Arial"/>
        </w:rPr>
      </w:pPr>
      <w:r w:rsidRPr="008A185A">
        <w:rPr>
          <w:rFonts w:ascii="Arial" w:hAnsi="Arial" w:cs="Arial"/>
          <w:sz w:val="18"/>
          <w:szCs w:val="18"/>
        </w:rPr>
        <w:t>Chair and Chief Executive</w:t>
      </w:r>
    </w:p>
    <w:p w:rsidR="00D94C15" w:rsidRPr="008A185A" w:rsidRDefault="00D94C15" w:rsidP="001F7C09">
      <w:pPr>
        <w:rPr>
          <w:rFonts w:ascii="Arial" w:hAnsi="Arial" w:cs="Arial"/>
        </w:rPr>
      </w:pPr>
    </w:p>
    <w:p w:rsidR="00D7428B" w:rsidRPr="00AD22A8" w:rsidRDefault="00D7428B">
      <w:pPr>
        <w:rPr>
          <w:rFonts w:ascii="Arial" w:hAnsi="Arial" w:cs="Arial"/>
          <w:b/>
          <w:bCs/>
          <w:color w:val="365F91"/>
          <w:sz w:val="28"/>
          <w:szCs w:val="28"/>
        </w:rPr>
      </w:pPr>
      <w:bookmarkStart w:id="23" w:name="_Toc361739319"/>
      <w:r>
        <w:rPr>
          <w:rFonts w:ascii="Arial" w:hAnsi="Arial" w:cs="Arial"/>
        </w:rPr>
        <w:br w:type="page"/>
      </w:r>
    </w:p>
    <w:p w:rsidR="00D7428B" w:rsidRPr="00A8436C" w:rsidRDefault="00D7428B" w:rsidP="00031F61">
      <w:pPr>
        <w:pStyle w:val="Heading10"/>
      </w:pPr>
      <w:r w:rsidRPr="00A8436C">
        <w:t>Metropolitan Public Transport Performance</w:t>
      </w:r>
      <w:bookmarkEnd w:id="23"/>
    </w:p>
    <w:p w:rsidR="00D7428B" w:rsidRPr="00A8436C" w:rsidRDefault="00D7428B" w:rsidP="00031F61">
      <w:pPr>
        <w:pStyle w:val="Heading10"/>
      </w:pPr>
      <w:bookmarkStart w:id="24" w:name="_Toc361739320"/>
      <w:r w:rsidRPr="00A8436C">
        <w:t>Metropolitan Train</w:t>
      </w:r>
      <w:bookmarkEnd w:id="24"/>
    </w:p>
    <w:p w:rsidR="00031F61" w:rsidRDefault="00031F61" w:rsidP="00CA287F">
      <w:pPr>
        <w:rPr>
          <w:rFonts w:ascii="Arial" w:hAnsi="Arial" w:cs="Arial"/>
        </w:rPr>
      </w:pPr>
    </w:p>
    <w:p w:rsidR="00D7428B" w:rsidRDefault="00D7428B" w:rsidP="00CA287F">
      <w:pPr>
        <w:rPr>
          <w:rFonts w:ascii="Arial" w:hAnsi="Arial" w:cs="Arial"/>
        </w:rPr>
      </w:pPr>
      <w:r w:rsidRPr="00A8436C">
        <w:rPr>
          <w:rFonts w:ascii="Arial" w:hAnsi="Arial" w:cs="Arial"/>
        </w:rPr>
        <w:t>Performance Summary – 12 months to 30 June 2013</w:t>
      </w:r>
      <w:r w:rsidR="00A50B7F">
        <w:rPr>
          <w:rStyle w:val="FootnoteReference"/>
          <w:rFonts w:ascii="Arial" w:hAnsi="Arial" w:cs="Arial"/>
        </w:rPr>
        <w:footnoteReference w:id="1"/>
      </w:r>
    </w:p>
    <w:p w:rsidR="00031F61" w:rsidRPr="00A8436C" w:rsidRDefault="00031F61" w:rsidP="00CA287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694"/>
        <w:gridCol w:w="1553"/>
        <w:gridCol w:w="1560"/>
      </w:tblGrid>
      <w:tr w:rsidR="00D7428B" w:rsidRPr="00D7428B" w:rsidTr="00D94C15">
        <w:tc>
          <w:tcPr>
            <w:tcW w:w="2103" w:type="pct"/>
            <w:shd w:val="clear" w:color="auto" w:fill="auto"/>
          </w:tcPr>
          <w:p w:rsidR="00D7428B" w:rsidRPr="00A8436C" w:rsidRDefault="00D7428B" w:rsidP="00CA287F">
            <w:pPr>
              <w:rPr>
                <w:rFonts w:ascii="Arial" w:hAnsi="Arial" w:cs="Arial"/>
                <w:b/>
              </w:rPr>
            </w:pPr>
            <w:r w:rsidRPr="00A8436C">
              <w:rPr>
                <w:rFonts w:ascii="Arial" w:hAnsi="Arial" w:cs="Arial"/>
                <w:b/>
              </w:rPr>
              <w:t>Measure</w:t>
            </w:r>
          </w:p>
        </w:tc>
        <w:tc>
          <w:tcPr>
            <w:tcW w:w="1021" w:type="pct"/>
            <w:shd w:val="clear" w:color="auto" w:fill="auto"/>
          </w:tcPr>
          <w:p w:rsidR="00D7428B" w:rsidRPr="00A8436C" w:rsidRDefault="00D7428B" w:rsidP="00CA287F">
            <w:pPr>
              <w:rPr>
                <w:rFonts w:ascii="Arial" w:hAnsi="Arial" w:cs="Arial"/>
                <w:b/>
              </w:rPr>
            </w:pPr>
            <w:r w:rsidRPr="00A8436C">
              <w:rPr>
                <w:rFonts w:ascii="Arial" w:hAnsi="Arial" w:cs="Arial"/>
                <w:b/>
              </w:rPr>
              <w:t>Unit</w:t>
            </w:r>
          </w:p>
        </w:tc>
        <w:tc>
          <w:tcPr>
            <w:tcW w:w="936" w:type="pct"/>
          </w:tcPr>
          <w:p w:rsidR="00D7428B" w:rsidRPr="00A8436C" w:rsidRDefault="00D7428B" w:rsidP="00CA287F">
            <w:pPr>
              <w:rPr>
                <w:rFonts w:ascii="Arial" w:hAnsi="Arial" w:cs="Arial"/>
                <w:b/>
              </w:rPr>
            </w:pPr>
            <w:r w:rsidRPr="00A8436C">
              <w:rPr>
                <w:rFonts w:ascii="Arial" w:hAnsi="Arial" w:cs="Arial"/>
                <w:b/>
              </w:rPr>
              <w:t>Target</w:t>
            </w:r>
          </w:p>
        </w:tc>
        <w:tc>
          <w:tcPr>
            <w:tcW w:w="940" w:type="pct"/>
            <w:shd w:val="clear" w:color="auto" w:fill="auto"/>
          </w:tcPr>
          <w:p w:rsidR="00D7428B" w:rsidRPr="00A8436C" w:rsidRDefault="00D7428B" w:rsidP="00CA287F">
            <w:pPr>
              <w:rPr>
                <w:rFonts w:ascii="Arial" w:hAnsi="Arial" w:cs="Arial"/>
                <w:b/>
              </w:rPr>
            </w:pPr>
            <w:r w:rsidRPr="00A8436C">
              <w:rPr>
                <w:rFonts w:ascii="Arial" w:hAnsi="Arial" w:cs="Arial"/>
                <w:b/>
              </w:rPr>
              <w:t>Actual</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Customer satisfaction index</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Score (/100)</w:t>
            </w:r>
          </w:p>
        </w:tc>
        <w:tc>
          <w:tcPr>
            <w:tcW w:w="936" w:type="pct"/>
          </w:tcPr>
          <w:p w:rsidR="00D7428B" w:rsidRPr="00A8436C" w:rsidRDefault="00D7428B" w:rsidP="00CA287F">
            <w:pPr>
              <w:rPr>
                <w:rFonts w:ascii="Arial" w:hAnsi="Arial" w:cs="Arial"/>
              </w:rPr>
            </w:pPr>
            <w:r w:rsidRPr="00A8436C">
              <w:rPr>
                <w:rFonts w:ascii="Arial" w:hAnsi="Arial" w:cs="Arial"/>
              </w:rPr>
              <w:t>68.0</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67.0</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Service punctuality</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per cent</w:t>
            </w:r>
          </w:p>
        </w:tc>
        <w:tc>
          <w:tcPr>
            <w:tcW w:w="936" w:type="pct"/>
          </w:tcPr>
          <w:p w:rsidR="00D7428B" w:rsidRPr="00A8436C" w:rsidRDefault="00D7428B" w:rsidP="00CA287F">
            <w:pPr>
              <w:rPr>
                <w:rFonts w:ascii="Arial" w:hAnsi="Arial" w:cs="Arial"/>
              </w:rPr>
            </w:pPr>
            <w:r w:rsidRPr="00A8436C">
              <w:rPr>
                <w:rFonts w:ascii="Arial" w:hAnsi="Arial" w:cs="Arial"/>
              </w:rPr>
              <w:t>89.0</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92.1</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Scheduled services delivered (reliability)</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per cent</w:t>
            </w:r>
          </w:p>
        </w:tc>
        <w:tc>
          <w:tcPr>
            <w:tcW w:w="936" w:type="pct"/>
          </w:tcPr>
          <w:p w:rsidR="00D7428B" w:rsidRPr="00A8436C" w:rsidRDefault="00D7428B" w:rsidP="00CA287F">
            <w:pPr>
              <w:rPr>
                <w:rFonts w:ascii="Arial" w:hAnsi="Arial" w:cs="Arial"/>
              </w:rPr>
            </w:pPr>
            <w:r w:rsidRPr="00A8436C">
              <w:rPr>
                <w:rFonts w:ascii="Arial" w:hAnsi="Arial" w:cs="Arial"/>
              </w:rPr>
              <w:t>98.7</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98.4</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Total kilometres scheduled</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km (million)</w:t>
            </w:r>
          </w:p>
        </w:tc>
        <w:tc>
          <w:tcPr>
            <w:tcW w:w="936" w:type="pct"/>
          </w:tcPr>
          <w:p w:rsidR="00D7428B" w:rsidRPr="00A8436C" w:rsidRDefault="00D7428B" w:rsidP="00CA287F">
            <w:pPr>
              <w:rPr>
                <w:rFonts w:ascii="Arial" w:hAnsi="Arial" w:cs="Arial"/>
              </w:rPr>
            </w:pPr>
            <w:r w:rsidRPr="00A8436C">
              <w:rPr>
                <w:rFonts w:ascii="Arial" w:hAnsi="Arial" w:cs="Arial"/>
              </w:rPr>
              <w:t>21.7</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21.9</w:t>
            </w:r>
          </w:p>
        </w:tc>
      </w:tr>
    </w:tbl>
    <w:p w:rsidR="00D7428B" w:rsidRPr="00A8436C" w:rsidRDefault="00D7428B" w:rsidP="00CA287F">
      <w:pPr>
        <w:rPr>
          <w:rFonts w:ascii="Arial" w:hAnsi="Arial" w:cs="Arial"/>
          <w:i/>
          <w:sz w:val="17"/>
          <w:szCs w:val="17"/>
        </w:rPr>
      </w:pPr>
    </w:p>
    <w:p w:rsidR="00D7428B" w:rsidRPr="00A8436C" w:rsidRDefault="00D7428B" w:rsidP="00ED42C3">
      <w:pPr>
        <w:pStyle w:val="Heading20"/>
      </w:pPr>
      <w:r w:rsidRPr="00A8436C">
        <w:t xml:space="preserve">Customer </w:t>
      </w:r>
      <w:r w:rsidR="00A50B7F">
        <w:t>s</w:t>
      </w:r>
      <w:r w:rsidRPr="00A8436C">
        <w:t>atisfaction</w:t>
      </w:r>
    </w:p>
    <w:p w:rsidR="00D7428B" w:rsidRPr="00A8436C" w:rsidRDefault="00D7428B" w:rsidP="00CA287F">
      <w:pPr>
        <w:rPr>
          <w:rFonts w:ascii="Arial" w:hAnsi="Arial" w:cs="Arial"/>
        </w:rPr>
      </w:pPr>
      <w:r w:rsidRPr="00A8436C">
        <w:rPr>
          <w:rFonts w:ascii="Arial" w:hAnsi="Arial" w:cs="Arial"/>
        </w:rPr>
        <w:t xml:space="preserve">Overall customer satisfaction with metropolitan trains for the 12 months to 30 June 2013 was 67.0.  The result is stable compared to the previous 12 month period (66.8) but is an increase on the 12 months to June 2011 (64.2). </w:t>
      </w:r>
    </w:p>
    <w:p w:rsidR="00D7428B" w:rsidRDefault="00D7428B" w:rsidP="00CA287F">
      <w:pPr>
        <w:rPr>
          <w:rFonts w:ascii="Arial" w:hAnsi="Arial" w:cs="Arial"/>
        </w:rPr>
      </w:pPr>
      <w:r w:rsidRPr="00A8436C">
        <w:rPr>
          <w:rFonts w:ascii="Arial" w:hAnsi="Arial" w:cs="Arial"/>
        </w:rPr>
        <w:t xml:space="preserve">The strongest driver of customer satisfaction for metropolitan trains </w:t>
      </w:r>
      <w:r w:rsidR="004C60C8">
        <w:rPr>
          <w:rFonts w:ascii="Arial" w:hAnsi="Arial" w:cs="Arial"/>
        </w:rPr>
        <w:t>wa</w:t>
      </w:r>
      <w:r w:rsidRPr="00A8436C">
        <w:rPr>
          <w:rFonts w:ascii="Arial" w:hAnsi="Arial" w:cs="Arial"/>
        </w:rPr>
        <w:t xml:space="preserve">s service delivery, which incorporates a number of operational elements including trains running on time, number of trains cancelled and travel time.  Satisfaction with service delivery was 68.0 for the 12 months to 30 June 2013, which is an improvement on the result from the same period in 2012 (67.0). Over this same time period satisfaction with overall personal security also increased by 1.4 points </w:t>
      </w:r>
      <w:r w:rsidR="004C60C8">
        <w:rPr>
          <w:rFonts w:ascii="Arial" w:hAnsi="Arial" w:cs="Arial"/>
        </w:rPr>
        <w:t xml:space="preserve"> to </w:t>
      </w:r>
      <w:r w:rsidRPr="00A8436C">
        <w:rPr>
          <w:rFonts w:ascii="Arial" w:hAnsi="Arial" w:cs="Arial"/>
        </w:rPr>
        <w:t xml:space="preserve">66.1. </w:t>
      </w:r>
    </w:p>
    <w:p w:rsidR="00031F61" w:rsidRPr="00A8436C" w:rsidRDefault="00031F61" w:rsidP="00CA287F">
      <w:pPr>
        <w:rPr>
          <w:rFonts w:ascii="Arial" w:hAnsi="Arial" w:cs="Arial"/>
        </w:rPr>
      </w:pPr>
    </w:p>
    <w:p w:rsidR="00D7428B" w:rsidRPr="00A8436C" w:rsidRDefault="00D7428B" w:rsidP="00ED42C3">
      <w:pPr>
        <w:pStyle w:val="Heading20"/>
      </w:pPr>
      <w:r w:rsidRPr="00A8436C">
        <w:t xml:space="preserve">Punctuality, </w:t>
      </w:r>
      <w:r w:rsidR="00A50B7F">
        <w:t>r</w:t>
      </w:r>
      <w:r w:rsidRPr="00A8436C">
        <w:t xml:space="preserve">eliability and </w:t>
      </w:r>
      <w:r w:rsidR="00A50B7F">
        <w:t>t</w:t>
      </w:r>
      <w:r w:rsidRPr="00A8436C">
        <w:t xml:space="preserve">otal </w:t>
      </w:r>
      <w:r w:rsidR="00A50B7F">
        <w:t>k</w:t>
      </w:r>
      <w:r w:rsidRPr="00A8436C">
        <w:t xml:space="preserve">ilometres scheduled </w:t>
      </w:r>
    </w:p>
    <w:p w:rsidR="00D7428B" w:rsidRDefault="00D7428B" w:rsidP="00CA287F">
      <w:pPr>
        <w:rPr>
          <w:rFonts w:ascii="Arial" w:hAnsi="Arial" w:cs="Arial"/>
        </w:rPr>
      </w:pPr>
      <w:r w:rsidRPr="00A8436C">
        <w:rPr>
          <w:rFonts w:ascii="Arial" w:hAnsi="Arial" w:cs="Arial"/>
        </w:rPr>
        <w:t xml:space="preserve">Metro exceeded the contractual thresholds for punctuality in each quarter of </w:t>
      </w:r>
      <w:r w:rsidR="004C60C8">
        <w:rPr>
          <w:rFonts w:ascii="Arial" w:hAnsi="Arial" w:cs="Arial"/>
        </w:rPr>
        <w:t>2012-</w:t>
      </w:r>
      <w:r w:rsidRPr="00A8436C">
        <w:rPr>
          <w:rFonts w:ascii="Arial" w:hAnsi="Arial" w:cs="Arial"/>
        </w:rPr>
        <w:t xml:space="preserve">13 and for three out of four quarters for reliability in </w:t>
      </w:r>
      <w:r w:rsidR="004C60C8">
        <w:rPr>
          <w:rFonts w:ascii="Arial" w:hAnsi="Arial" w:cs="Arial"/>
        </w:rPr>
        <w:t>2012-</w:t>
      </w:r>
      <w:r w:rsidRPr="00A8436C">
        <w:rPr>
          <w:rFonts w:ascii="Arial" w:hAnsi="Arial" w:cs="Arial"/>
        </w:rPr>
        <w:t>2013.  Every month Metro exceeded its published punctuality target and customer compensation threshold of 88.0 per cent.  Metro met its customer compensation reliability threshold of 98.0 per cent for timetable</w:t>
      </w:r>
      <w:r w:rsidR="004C60C8">
        <w:rPr>
          <w:rFonts w:ascii="Arial" w:hAnsi="Arial" w:cs="Arial"/>
        </w:rPr>
        <w:t>d</w:t>
      </w:r>
      <w:r w:rsidRPr="00A8436C">
        <w:rPr>
          <w:rFonts w:ascii="Arial" w:hAnsi="Arial" w:cs="Arial"/>
        </w:rPr>
        <w:t xml:space="preserve"> services delivered for all but four months of </w:t>
      </w:r>
      <w:r w:rsidR="004C60C8">
        <w:rPr>
          <w:rFonts w:ascii="Arial" w:hAnsi="Arial" w:cs="Arial"/>
        </w:rPr>
        <w:t>2012-</w:t>
      </w:r>
      <w:r w:rsidRPr="00A8436C">
        <w:rPr>
          <w:rFonts w:ascii="Arial" w:hAnsi="Arial" w:cs="Arial"/>
        </w:rPr>
        <w:t>2013.</w:t>
      </w:r>
    </w:p>
    <w:p w:rsidR="00D7428B" w:rsidRPr="00A8436C" w:rsidRDefault="00D7428B" w:rsidP="00CA287F">
      <w:pPr>
        <w:rPr>
          <w:rFonts w:ascii="Arial" w:hAnsi="Arial" w:cs="Arial"/>
        </w:rPr>
      </w:pPr>
    </w:p>
    <w:p w:rsidR="00D7428B" w:rsidRPr="00A8436C" w:rsidRDefault="00D7428B" w:rsidP="00CA287F">
      <w:pPr>
        <w:rPr>
          <w:rFonts w:ascii="Arial" w:hAnsi="Arial" w:cs="Arial"/>
          <w:color w:val="000000"/>
        </w:rPr>
      </w:pPr>
      <w:r w:rsidRPr="00A8436C">
        <w:rPr>
          <w:rFonts w:ascii="Arial" w:hAnsi="Arial" w:cs="Arial"/>
          <w:color w:val="000000"/>
        </w:rPr>
        <w:t>There has been an increase in metropolitan train kilometres predominantly due to an additional 90 standard weekly services introduced on 18 November 2012 and service extensions on 28 April 2013.</w:t>
      </w:r>
    </w:p>
    <w:p w:rsidR="00D7428B" w:rsidRPr="00A8436C" w:rsidRDefault="00D7428B" w:rsidP="00031F61">
      <w:pPr>
        <w:pStyle w:val="Heading10"/>
      </w:pPr>
      <w:r w:rsidRPr="00A8436C">
        <w:rPr>
          <w:color w:val="000000"/>
        </w:rPr>
        <w:br w:type="page"/>
      </w:r>
      <w:bookmarkStart w:id="25" w:name="_Toc361739321"/>
      <w:r w:rsidRPr="00A8436C">
        <w:t>Tram</w:t>
      </w:r>
      <w:bookmarkEnd w:id="25"/>
    </w:p>
    <w:p w:rsidR="00031F61" w:rsidRDefault="00031F61" w:rsidP="00CA287F">
      <w:pPr>
        <w:rPr>
          <w:rFonts w:ascii="Arial" w:hAnsi="Arial" w:cs="Arial"/>
        </w:rPr>
      </w:pPr>
    </w:p>
    <w:p w:rsidR="00D7428B" w:rsidRPr="00A8436C" w:rsidRDefault="00D7428B" w:rsidP="00CA287F">
      <w:pPr>
        <w:rPr>
          <w:rFonts w:ascii="Arial" w:hAnsi="Arial" w:cs="Arial"/>
        </w:rPr>
      </w:pPr>
      <w:r w:rsidRPr="00A8436C">
        <w:rPr>
          <w:rFonts w:ascii="Arial" w:hAnsi="Arial" w:cs="Arial"/>
        </w:rPr>
        <w:t>Performance Summary – 12 months to 30 June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694"/>
        <w:gridCol w:w="1553"/>
        <w:gridCol w:w="1560"/>
      </w:tblGrid>
      <w:tr w:rsidR="00D7428B" w:rsidRPr="00D7428B" w:rsidTr="00D94C15">
        <w:tc>
          <w:tcPr>
            <w:tcW w:w="2103" w:type="pct"/>
            <w:shd w:val="clear" w:color="auto" w:fill="auto"/>
          </w:tcPr>
          <w:p w:rsidR="00D7428B" w:rsidRPr="00A8436C" w:rsidRDefault="00D7428B" w:rsidP="00CA287F">
            <w:pPr>
              <w:rPr>
                <w:rFonts w:ascii="Arial" w:hAnsi="Arial" w:cs="Arial"/>
                <w:b/>
              </w:rPr>
            </w:pPr>
            <w:r w:rsidRPr="00A8436C">
              <w:rPr>
                <w:rFonts w:ascii="Arial" w:hAnsi="Arial" w:cs="Arial"/>
                <w:b/>
              </w:rPr>
              <w:t>Measure</w:t>
            </w:r>
          </w:p>
        </w:tc>
        <w:tc>
          <w:tcPr>
            <w:tcW w:w="1021" w:type="pct"/>
            <w:shd w:val="clear" w:color="auto" w:fill="auto"/>
          </w:tcPr>
          <w:p w:rsidR="00D7428B" w:rsidRPr="00A8436C" w:rsidRDefault="00D7428B" w:rsidP="00CA287F">
            <w:pPr>
              <w:rPr>
                <w:rFonts w:ascii="Arial" w:hAnsi="Arial" w:cs="Arial"/>
                <w:b/>
              </w:rPr>
            </w:pPr>
            <w:r w:rsidRPr="00A8436C">
              <w:rPr>
                <w:rFonts w:ascii="Arial" w:hAnsi="Arial" w:cs="Arial"/>
                <w:b/>
              </w:rPr>
              <w:t>Unit</w:t>
            </w:r>
          </w:p>
        </w:tc>
        <w:tc>
          <w:tcPr>
            <w:tcW w:w="936" w:type="pct"/>
          </w:tcPr>
          <w:p w:rsidR="00D7428B" w:rsidRPr="00A8436C" w:rsidRDefault="00D7428B" w:rsidP="00CA287F">
            <w:pPr>
              <w:rPr>
                <w:rFonts w:ascii="Arial" w:hAnsi="Arial" w:cs="Arial"/>
                <w:b/>
              </w:rPr>
            </w:pPr>
            <w:r w:rsidRPr="00A8436C">
              <w:rPr>
                <w:rFonts w:ascii="Arial" w:hAnsi="Arial" w:cs="Arial"/>
                <w:b/>
              </w:rPr>
              <w:t>Target</w:t>
            </w:r>
          </w:p>
        </w:tc>
        <w:tc>
          <w:tcPr>
            <w:tcW w:w="940" w:type="pct"/>
            <w:shd w:val="clear" w:color="auto" w:fill="auto"/>
          </w:tcPr>
          <w:p w:rsidR="00D7428B" w:rsidRPr="00A8436C" w:rsidRDefault="00D7428B" w:rsidP="00CA287F">
            <w:pPr>
              <w:rPr>
                <w:rFonts w:ascii="Arial" w:hAnsi="Arial" w:cs="Arial"/>
                <w:b/>
              </w:rPr>
            </w:pPr>
            <w:r w:rsidRPr="00A8436C">
              <w:rPr>
                <w:rFonts w:ascii="Arial" w:hAnsi="Arial" w:cs="Arial"/>
                <w:b/>
              </w:rPr>
              <w:t>Actual</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Customer satisfaction index</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Score (/100)</w:t>
            </w:r>
          </w:p>
        </w:tc>
        <w:tc>
          <w:tcPr>
            <w:tcW w:w="936" w:type="pct"/>
          </w:tcPr>
          <w:p w:rsidR="00D7428B" w:rsidRPr="00A8436C" w:rsidRDefault="00D7428B" w:rsidP="00CA287F">
            <w:pPr>
              <w:rPr>
                <w:rFonts w:ascii="Arial" w:hAnsi="Arial" w:cs="Arial"/>
              </w:rPr>
            </w:pPr>
            <w:r w:rsidRPr="00A8436C">
              <w:rPr>
                <w:rFonts w:ascii="Arial" w:hAnsi="Arial" w:cs="Arial"/>
              </w:rPr>
              <w:t>72.0</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73.1</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Service punctuality</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per cent</w:t>
            </w:r>
          </w:p>
        </w:tc>
        <w:tc>
          <w:tcPr>
            <w:tcW w:w="936" w:type="pct"/>
          </w:tcPr>
          <w:p w:rsidR="00D7428B" w:rsidRPr="00A8436C" w:rsidRDefault="00D7428B" w:rsidP="00CA287F">
            <w:pPr>
              <w:rPr>
                <w:rFonts w:ascii="Arial" w:hAnsi="Arial" w:cs="Arial"/>
              </w:rPr>
            </w:pPr>
            <w:r w:rsidRPr="00A8436C">
              <w:rPr>
                <w:rFonts w:ascii="Arial" w:hAnsi="Arial" w:cs="Arial"/>
              </w:rPr>
              <w:t>82.0</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81.7</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Scheduled services delivered (reliability)</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per cent</w:t>
            </w:r>
          </w:p>
        </w:tc>
        <w:tc>
          <w:tcPr>
            <w:tcW w:w="936" w:type="pct"/>
          </w:tcPr>
          <w:p w:rsidR="00D7428B" w:rsidRPr="00A8436C" w:rsidRDefault="00D7428B" w:rsidP="00CA287F">
            <w:pPr>
              <w:rPr>
                <w:rFonts w:ascii="Arial" w:hAnsi="Arial" w:cs="Arial"/>
              </w:rPr>
            </w:pPr>
            <w:r w:rsidRPr="00A8436C">
              <w:rPr>
                <w:rFonts w:ascii="Arial" w:hAnsi="Arial" w:cs="Arial"/>
              </w:rPr>
              <w:t>99.2</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99.0</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Total kilometres scheduled</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km (million)</w:t>
            </w:r>
          </w:p>
        </w:tc>
        <w:tc>
          <w:tcPr>
            <w:tcW w:w="936" w:type="pct"/>
          </w:tcPr>
          <w:p w:rsidR="00D7428B" w:rsidRPr="00A8436C" w:rsidRDefault="00D7428B" w:rsidP="00CA287F">
            <w:pPr>
              <w:rPr>
                <w:rFonts w:ascii="Arial" w:hAnsi="Arial" w:cs="Arial"/>
              </w:rPr>
            </w:pPr>
            <w:r w:rsidRPr="00A8436C">
              <w:rPr>
                <w:rFonts w:ascii="Arial" w:hAnsi="Arial" w:cs="Arial"/>
              </w:rPr>
              <w:t>23.6</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23.6</w:t>
            </w:r>
          </w:p>
        </w:tc>
      </w:tr>
    </w:tbl>
    <w:p w:rsidR="00031F61" w:rsidRDefault="00031F61" w:rsidP="00CA287F">
      <w:pPr>
        <w:rPr>
          <w:rFonts w:ascii="Arial" w:hAnsi="Arial" w:cs="Arial"/>
        </w:rPr>
      </w:pPr>
    </w:p>
    <w:p w:rsidR="00D7428B" w:rsidRPr="00A8436C" w:rsidRDefault="00D7428B" w:rsidP="00ED42C3">
      <w:pPr>
        <w:pStyle w:val="Heading20"/>
      </w:pPr>
      <w:r w:rsidRPr="00A8436C">
        <w:t xml:space="preserve">Customer </w:t>
      </w:r>
      <w:r w:rsidR="00A50B7F">
        <w:t>s</w:t>
      </w:r>
      <w:r w:rsidRPr="00A8436C">
        <w:t xml:space="preserve">atisfaction </w:t>
      </w:r>
    </w:p>
    <w:p w:rsidR="00D7428B" w:rsidRPr="00A8436C" w:rsidRDefault="00D7428B" w:rsidP="00CA287F">
      <w:pPr>
        <w:rPr>
          <w:rFonts w:ascii="Arial" w:hAnsi="Arial" w:cs="Arial"/>
        </w:rPr>
      </w:pPr>
      <w:r w:rsidRPr="00A8436C">
        <w:rPr>
          <w:rFonts w:ascii="Arial" w:hAnsi="Arial" w:cs="Arial"/>
        </w:rPr>
        <w:t xml:space="preserve">Overall customer satisfaction with trams for the 12 months to 30 June 2013 was 73.1. The result is stable compared to the same period last year (72.8) but is an increase on the 12 months to June 2011 (71.6). </w:t>
      </w:r>
    </w:p>
    <w:p w:rsidR="00D7428B" w:rsidRPr="00A8436C" w:rsidRDefault="00D7428B" w:rsidP="00CA287F">
      <w:pPr>
        <w:rPr>
          <w:rFonts w:ascii="Arial" w:hAnsi="Arial" w:cs="Arial"/>
        </w:rPr>
      </w:pPr>
      <w:r w:rsidRPr="00A8436C">
        <w:rPr>
          <w:rFonts w:ascii="Arial" w:hAnsi="Arial" w:cs="Arial"/>
        </w:rPr>
        <w:t xml:space="preserve">The largest improvements in customer satisfaction for trams were with stops up 1.0 points in the 12 months to June 2013 to 73.4, information up from 70.1 to 70.8 and tram drivers up from 73.5 to 74.2. </w:t>
      </w:r>
    </w:p>
    <w:p w:rsidR="00031F61" w:rsidRDefault="00031F61" w:rsidP="00CA287F">
      <w:pPr>
        <w:rPr>
          <w:rFonts w:ascii="Arial" w:hAnsi="Arial" w:cs="Arial"/>
        </w:rPr>
      </w:pPr>
    </w:p>
    <w:p w:rsidR="00D7428B" w:rsidRPr="00A8436C" w:rsidRDefault="00D7428B" w:rsidP="00ED42C3">
      <w:pPr>
        <w:pStyle w:val="Heading20"/>
      </w:pPr>
      <w:r w:rsidRPr="00A8436C">
        <w:t>Punctuality</w:t>
      </w:r>
      <w:r w:rsidR="00A50B7F">
        <w:t xml:space="preserve"> and</w:t>
      </w:r>
      <w:r w:rsidR="00031F61">
        <w:t xml:space="preserve"> </w:t>
      </w:r>
      <w:r w:rsidR="00A50B7F">
        <w:t>r</w:t>
      </w:r>
      <w:r w:rsidRPr="00A8436C">
        <w:t xml:space="preserve">eliability </w:t>
      </w:r>
    </w:p>
    <w:p w:rsidR="00D7428B" w:rsidRPr="00A8436C" w:rsidRDefault="00D7428B" w:rsidP="00CA287F">
      <w:pPr>
        <w:rPr>
          <w:rFonts w:ascii="Arial" w:hAnsi="Arial" w:cs="Arial"/>
        </w:rPr>
      </w:pPr>
      <w:r w:rsidRPr="00A8436C">
        <w:rPr>
          <w:rFonts w:ascii="Arial" w:hAnsi="Arial" w:cs="Arial"/>
        </w:rPr>
        <w:t xml:space="preserve">Tram service performance remained consistent with recent years. Yarra Trams exceeded customer compensation thresholds for all 12 months of </w:t>
      </w:r>
      <w:r w:rsidR="004C60C8">
        <w:rPr>
          <w:rFonts w:ascii="Arial" w:hAnsi="Arial" w:cs="Arial"/>
        </w:rPr>
        <w:t>2012-</w:t>
      </w:r>
      <w:r w:rsidRPr="00A8436C">
        <w:rPr>
          <w:rFonts w:ascii="Arial" w:hAnsi="Arial" w:cs="Arial"/>
        </w:rPr>
        <w:t>2013.</w:t>
      </w:r>
    </w:p>
    <w:p w:rsidR="00D7428B" w:rsidRPr="00A8436C" w:rsidRDefault="00D7428B" w:rsidP="00CA287F">
      <w:pPr>
        <w:rPr>
          <w:rFonts w:ascii="Arial" w:hAnsi="Arial" w:cs="Arial"/>
          <w:color w:val="000000"/>
        </w:rPr>
      </w:pPr>
    </w:p>
    <w:p w:rsidR="00D7428B" w:rsidRPr="00A8436C" w:rsidRDefault="00D7428B" w:rsidP="00CA287F">
      <w:pPr>
        <w:rPr>
          <w:rFonts w:ascii="Arial" w:hAnsi="Arial" w:cs="Arial"/>
          <w:color w:val="000000"/>
        </w:rPr>
      </w:pPr>
    </w:p>
    <w:p w:rsidR="00D7428B" w:rsidRPr="00A8436C" w:rsidRDefault="00D7428B" w:rsidP="00031F61">
      <w:pPr>
        <w:pStyle w:val="Heading10"/>
      </w:pPr>
      <w:r w:rsidRPr="00A8436C">
        <w:br w:type="page"/>
      </w:r>
      <w:bookmarkStart w:id="26" w:name="_Toc361739322"/>
      <w:r w:rsidR="00057257">
        <w:t>Metropolitan b</w:t>
      </w:r>
      <w:r w:rsidRPr="00A8436C">
        <w:t>us</w:t>
      </w:r>
      <w:bookmarkEnd w:id="26"/>
    </w:p>
    <w:p w:rsidR="00031F61" w:rsidRDefault="00031F61" w:rsidP="00CA287F">
      <w:pPr>
        <w:rPr>
          <w:rFonts w:ascii="Arial" w:hAnsi="Arial" w:cs="Arial"/>
        </w:rPr>
      </w:pPr>
    </w:p>
    <w:p w:rsidR="00D7428B" w:rsidRPr="00A8436C" w:rsidRDefault="00D7428B" w:rsidP="00CA287F">
      <w:pPr>
        <w:rPr>
          <w:rFonts w:ascii="Arial" w:hAnsi="Arial" w:cs="Arial"/>
        </w:rPr>
      </w:pPr>
      <w:r w:rsidRPr="00A8436C">
        <w:rPr>
          <w:rFonts w:ascii="Arial" w:hAnsi="Arial" w:cs="Arial"/>
        </w:rPr>
        <w:t>Performance Summary – 12 months to 30 June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694"/>
        <w:gridCol w:w="1553"/>
        <w:gridCol w:w="1560"/>
      </w:tblGrid>
      <w:tr w:rsidR="00D7428B" w:rsidRPr="00D7428B" w:rsidTr="00D94C15">
        <w:tc>
          <w:tcPr>
            <w:tcW w:w="2103" w:type="pct"/>
            <w:shd w:val="clear" w:color="auto" w:fill="auto"/>
          </w:tcPr>
          <w:p w:rsidR="00D7428B" w:rsidRPr="00A8436C" w:rsidRDefault="00D7428B" w:rsidP="00CA287F">
            <w:pPr>
              <w:rPr>
                <w:rFonts w:ascii="Arial" w:hAnsi="Arial" w:cs="Arial"/>
                <w:b/>
              </w:rPr>
            </w:pPr>
            <w:r w:rsidRPr="00A8436C">
              <w:rPr>
                <w:rFonts w:ascii="Arial" w:hAnsi="Arial" w:cs="Arial"/>
                <w:b/>
              </w:rPr>
              <w:t>Measure</w:t>
            </w:r>
          </w:p>
        </w:tc>
        <w:tc>
          <w:tcPr>
            <w:tcW w:w="1021" w:type="pct"/>
            <w:shd w:val="clear" w:color="auto" w:fill="auto"/>
          </w:tcPr>
          <w:p w:rsidR="00D7428B" w:rsidRPr="00A8436C" w:rsidRDefault="00D7428B" w:rsidP="00CA287F">
            <w:pPr>
              <w:rPr>
                <w:rFonts w:ascii="Arial" w:hAnsi="Arial" w:cs="Arial"/>
                <w:b/>
              </w:rPr>
            </w:pPr>
            <w:r w:rsidRPr="00A8436C">
              <w:rPr>
                <w:rFonts w:ascii="Arial" w:hAnsi="Arial" w:cs="Arial"/>
                <w:b/>
              </w:rPr>
              <w:t>Unit</w:t>
            </w:r>
          </w:p>
        </w:tc>
        <w:tc>
          <w:tcPr>
            <w:tcW w:w="936" w:type="pct"/>
          </w:tcPr>
          <w:p w:rsidR="00D7428B" w:rsidRPr="00A8436C" w:rsidRDefault="00D7428B" w:rsidP="00CA287F">
            <w:pPr>
              <w:rPr>
                <w:rFonts w:ascii="Arial" w:hAnsi="Arial" w:cs="Arial"/>
                <w:b/>
              </w:rPr>
            </w:pPr>
            <w:r w:rsidRPr="00A8436C">
              <w:rPr>
                <w:rFonts w:ascii="Arial" w:hAnsi="Arial" w:cs="Arial"/>
                <w:b/>
              </w:rPr>
              <w:t>Target</w:t>
            </w:r>
          </w:p>
        </w:tc>
        <w:tc>
          <w:tcPr>
            <w:tcW w:w="940" w:type="pct"/>
            <w:shd w:val="clear" w:color="auto" w:fill="auto"/>
          </w:tcPr>
          <w:p w:rsidR="00D7428B" w:rsidRPr="00A8436C" w:rsidRDefault="00D7428B" w:rsidP="00CA287F">
            <w:pPr>
              <w:rPr>
                <w:rFonts w:ascii="Arial" w:hAnsi="Arial" w:cs="Arial"/>
                <w:b/>
              </w:rPr>
            </w:pPr>
            <w:r w:rsidRPr="00A8436C">
              <w:rPr>
                <w:rFonts w:ascii="Arial" w:hAnsi="Arial" w:cs="Arial"/>
                <w:b/>
              </w:rPr>
              <w:t>Actual</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Customer satisfaction index</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Score (/100)</w:t>
            </w:r>
          </w:p>
        </w:tc>
        <w:tc>
          <w:tcPr>
            <w:tcW w:w="936" w:type="pct"/>
          </w:tcPr>
          <w:p w:rsidR="00D7428B" w:rsidRPr="00A8436C" w:rsidRDefault="00D7428B" w:rsidP="00CA287F">
            <w:pPr>
              <w:rPr>
                <w:rFonts w:ascii="Arial" w:hAnsi="Arial" w:cs="Arial"/>
              </w:rPr>
            </w:pPr>
            <w:r w:rsidRPr="00A8436C">
              <w:rPr>
                <w:rFonts w:ascii="Arial" w:hAnsi="Arial" w:cs="Arial"/>
              </w:rPr>
              <w:t>77.0</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75.5</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Service punctuality</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per cent</w:t>
            </w:r>
          </w:p>
        </w:tc>
        <w:tc>
          <w:tcPr>
            <w:tcW w:w="936" w:type="pct"/>
          </w:tcPr>
          <w:p w:rsidR="00D7428B" w:rsidRPr="00A8436C" w:rsidRDefault="00D7428B" w:rsidP="00CA287F">
            <w:pPr>
              <w:rPr>
                <w:rFonts w:ascii="Arial" w:hAnsi="Arial" w:cs="Arial"/>
              </w:rPr>
            </w:pPr>
            <w:r w:rsidRPr="00A8436C">
              <w:rPr>
                <w:rFonts w:ascii="Arial" w:hAnsi="Arial" w:cs="Arial"/>
              </w:rPr>
              <w:t>95.0</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94.</w:t>
            </w:r>
            <w:r w:rsidR="007B7030">
              <w:rPr>
                <w:rFonts w:ascii="Arial" w:hAnsi="Arial" w:cs="Arial"/>
              </w:rPr>
              <w:t>3</w:t>
            </w:r>
            <w:r w:rsidR="004C60C8">
              <w:rPr>
                <w:rFonts w:ascii="Arial" w:hAnsi="Arial" w:cs="Arial"/>
              </w:rPr>
              <w:t>*</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Scheduled services delivered (reliability)</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per cent</w:t>
            </w:r>
          </w:p>
        </w:tc>
        <w:tc>
          <w:tcPr>
            <w:tcW w:w="936" w:type="pct"/>
          </w:tcPr>
          <w:p w:rsidR="00D7428B" w:rsidRPr="00A8436C" w:rsidRDefault="00D7428B" w:rsidP="00CA287F">
            <w:pPr>
              <w:rPr>
                <w:rFonts w:ascii="Arial" w:hAnsi="Arial" w:cs="Arial"/>
              </w:rPr>
            </w:pPr>
            <w:r w:rsidRPr="00A8436C">
              <w:rPr>
                <w:rFonts w:ascii="Arial" w:hAnsi="Arial" w:cs="Arial"/>
              </w:rPr>
              <w:t>99.9</w:t>
            </w:r>
          </w:p>
        </w:tc>
        <w:tc>
          <w:tcPr>
            <w:tcW w:w="940" w:type="pct"/>
            <w:shd w:val="clear" w:color="auto" w:fill="auto"/>
          </w:tcPr>
          <w:p w:rsidR="00D7428B" w:rsidRPr="00A8436C" w:rsidRDefault="007B7030" w:rsidP="00CA287F">
            <w:pPr>
              <w:rPr>
                <w:rFonts w:ascii="Arial" w:hAnsi="Arial" w:cs="Arial"/>
              </w:rPr>
            </w:pPr>
            <w:r>
              <w:rPr>
                <w:rFonts w:ascii="Arial" w:hAnsi="Arial" w:cs="Arial"/>
              </w:rPr>
              <w:t>&gt;99.9</w:t>
            </w:r>
            <w:r w:rsidR="004C60C8">
              <w:rPr>
                <w:rFonts w:ascii="Arial" w:hAnsi="Arial" w:cs="Arial"/>
              </w:rPr>
              <w:t>*</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Total kilometres scheduled</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km (million)</w:t>
            </w:r>
          </w:p>
        </w:tc>
        <w:tc>
          <w:tcPr>
            <w:tcW w:w="936" w:type="pct"/>
          </w:tcPr>
          <w:p w:rsidR="00D7428B" w:rsidRPr="00A8436C" w:rsidRDefault="00D7428B" w:rsidP="00CA287F">
            <w:pPr>
              <w:rPr>
                <w:rFonts w:ascii="Arial" w:hAnsi="Arial" w:cs="Arial"/>
              </w:rPr>
            </w:pPr>
            <w:r w:rsidRPr="00A8436C">
              <w:rPr>
                <w:rFonts w:ascii="Arial" w:hAnsi="Arial" w:cs="Arial"/>
              </w:rPr>
              <w:t>114.4</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113.6</w:t>
            </w:r>
          </w:p>
        </w:tc>
      </w:tr>
    </w:tbl>
    <w:p w:rsidR="00031F61" w:rsidRDefault="00031F61" w:rsidP="00031F61">
      <w:pPr>
        <w:pStyle w:val="Heading30"/>
      </w:pPr>
    </w:p>
    <w:p w:rsidR="00D7428B" w:rsidRPr="00A8436C" w:rsidRDefault="00D7428B" w:rsidP="00ED42C3">
      <w:pPr>
        <w:pStyle w:val="Heading20"/>
      </w:pPr>
      <w:r w:rsidRPr="00A8436C">
        <w:t xml:space="preserve">Customer </w:t>
      </w:r>
      <w:r w:rsidR="003C691A">
        <w:t>s</w:t>
      </w:r>
      <w:r w:rsidRPr="00A8436C">
        <w:t xml:space="preserve">atisfaction </w:t>
      </w:r>
    </w:p>
    <w:p w:rsidR="00D7428B" w:rsidRDefault="00D7428B" w:rsidP="00CA287F">
      <w:pPr>
        <w:rPr>
          <w:rFonts w:ascii="Arial" w:hAnsi="Arial" w:cs="Arial"/>
        </w:rPr>
      </w:pPr>
      <w:r w:rsidRPr="00A8436C">
        <w:rPr>
          <w:rFonts w:ascii="Arial" w:hAnsi="Arial" w:cs="Arial"/>
        </w:rPr>
        <w:t>Overall customer satisfaction with metropolitan buses for the 12 months to June 2013 was 75.5. The result is stable compared to the 12 months to June 2012 (75.3), and has increased 1.3 points on the 12 months to June 2011.</w:t>
      </w:r>
    </w:p>
    <w:p w:rsidR="004C60C8" w:rsidRPr="00A8436C" w:rsidRDefault="004C60C8" w:rsidP="00CA287F">
      <w:pPr>
        <w:rPr>
          <w:rFonts w:ascii="Arial" w:hAnsi="Arial" w:cs="Arial"/>
        </w:rPr>
      </w:pPr>
    </w:p>
    <w:p w:rsidR="00D7428B" w:rsidRPr="00A8436C" w:rsidRDefault="00D7428B" w:rsidP="00CA287F">
      <w:pPr>
        <w:rPr>
          <w:rFonts w:ascii="Arial" w:hAnsi="Arial" w:cs="Arial"/>
        </w:rPr>
      </w:pPr>
      <w:r w:rsidRPr="00A8436C">
        <w:rPr>
          <w:rFonts w:ascii="Arial" w:hAnsi="Arial" w:cs="Arial"/>
        </w:rPr>
        <w:t xml:space="preserve">The strongest driver of customer satisfaction on metropolitan buses </w:t>
      </w:r>
      <w:r w:rsidR="00C20A50">
        <w:rPr>
          <w:rFonts w:ascii="Arial" w:hAnsi="Arial" w:cs="Arial"/>
        </w:rPr>
        <w:t>wa</w:t>
      </w:r>
      <w:r w:rsidRPr="00A8436C">
        <w:rPr>
          <w:rFonts w:ascii="Arial" w:hAnsi="Arial" w:cs="Arial"/>
        </w:rPr>
        <w:t xml:space="preserve">s overall running of services, which incorporates a number of operational elements including buses running on time, number of buses cancelled, and service frequency.  Satisfaction with service delivery was 72.9, for the 12 months to June 2013 and remains stable compared with the same period in 2011-12 (73.1).  </w:t>
      </w:r>
    </w:p>
    <w:p w:rsidR="00D7428B" w:rsidRPr="00A8436C" w:rsidRDefault="00D7428B" w:rsidP="00CA287F">
      <w:pPr>
        <w:rPr>
          <w:rFonts w:ascii="Arial" w:hAnsi="Arial" w:cs="Arial"/>
          <w:lang w:eastAsia="x-none"/>
        </w:rPr>
      </w:pPr>
    </w:p>
    <w:p w:rsidR="00D7428B" w:rsidRPr="00A8436C" w:rsidRDefault="00D7428B" w:rsidP="00ED42C3">
      <w:pPr>
        <w:pStyle w:val="Heading20"/>
      </w:pPr>
      <w:r w:rsidRPr="00A8436C">
        <w:t>Punctuality</w:t>
      </w:r>
      <w:r w:rsidR="0049702C">
        <w:t xml:space="preserve"> </w:t>
      </w:r>
      <w:r w:rsidR="00057257">
        <w:t>and</w:t>
      </w:r>
      <w:r w:rsidRPr="00A8436C">
        <w:t xml:space="preserve"> </w:t>
      </w:r>
      <w:r w:rsidR="003C691A">
        <w:t>r</w:t>
      </w:r>
      <w:r w:rsidRPr="00A8436C">
        <w:t xml:space="preserve">eliability </w:t>
      </w:r>
    </w:p>
    <w:p w:rsidR="00D7428B" w:rsidRPr="00A8436C" w:rsidRDefault="00D7428B" w:rsidP="00CA287F">
      <w:pPr>
        <w:rPr>
          <w:rFonts w:ascii="Arial" w:hAnsi="Arial" w:cs="Arial"/>
        </w:rPr>
      </w:pPr>
      <w:r w:rsidRPr="00A8436C">
        <w:rPr>
          <w:rFonts w:ascii="Arial" w:hAnsi="Arial" w:cs="Arial"/>
        </w:rPr>
        <w:t>Metropolitan bus punctuality for the 12 months to 30 June 2013 has been tracking consistently with around 94.</w:t>
      </w:r>
      <w:r w:rsidR="007B7030">
        <w:rPr>
          <w:rFonts w:ascii="Arial" w:hAnsi="Arial" w:cs="Arial"/>
        </w:rPr>
        <w:t>3</w:t>
      </w:r>
      <w:r w:rsidRPr="00A8436C">
        <w:rPr>
          <w:rFonts w:ascii="Arial" w:hAnsi="Arial" w:cs="Arial"/>
        </w:rPr>
        <w:t xml:space="preserve"> per cent of services arriving on time.  Reported reliability remains consistently above 99.9 per cent.</w:t>
      </w:r>
      <w:r w:rsidR="00A50B7F">
        <w:rPr>
          <w:rStyle w:val="FootnoteReference"/>
          <w:rFonts w:ascii="Arial" w:hAnsi="Arial" w:cs="Arial"/>
        </w:rPr>
        <w:footnoteReference w:id="2"/>
      </w:r>
      <w:r w:rsidRPr="00A8436C">
        <w:rPr>
          <w:rFonts w:ascii="Arial" w:hAnsi="Arial" w:cs="Arial"/>
        </w:rPr>
        <w:t xml:space="preserve"> </w:t>
      </w:r>
    </w:p>
    <w:p w:rsidR="00870A1B" w:rsidRDefault="00D7428B" w:rsidP="00CA287F">
      <w:pPr>
        <w:rPr>
          <w:rFonts w:ascii="Arial" w:hAnsi="Arial" w:cs="Arial"/>
        </w:rPr>
      </w:pPr>
      <w:bookmarkStart w:id="27" w:name="_Toc361739323"/>
      <w:r w:rsidRPr="00D7428B" w:rsidDel="00D7428B">
        <w:rPr>
          <w:rFonts w:ascii="Arial" w:hAnsi="Arial" w:cs="Arial"/>
        </w:rPr>
        <w:t xml:space="preserve"> </w:t>
      </w:r>
      <w:bookmarkEnd w:id="27"/>
    </w:p>
    <w:p w:rsidR="00870A1B" w:rsidRPr="00AD22A8" w:rsidRDefault="00870A1B" w:rsidP="00CA287F">
      <w:pPr>
        <w:rPr>
          <w:rFonts w:ascii="Arial" w:hAnsi="Arial" w:cs="Arial"/>
          <w:b/>
          <w:bCs/>
          <w:color w:val="4F81BD"/>
          <w:sz w:val="26"/>
          <w:szCs w:val="26"/>
        </w:rPr>
      </w:pPr>
      <w:r>
        <w:rPr>
          <w:rFonts w:ascii="Arial" w:hAnsi="Arial" w:cs="Arial"/>
        </w:rPr>
        <w:br w:type="page"/>
      </w:r>
    </w:p>
    <w:p w:rsidR="00D7428B" w:rsidRPr="00A8436C" w:rsidRDefault="00D7428B" w:rsidP="00031F61">
      <w:pPr>
        <w:pStyle w:val="Heading10"/>
      </w:pPr>
      <w:bookmarkStart w:id="28" w:name="_Toc361739326"/>
      <w:r w:rsidRPr="00A8436C">
        <w:t>Regional Public Transport Performance</w:t>
      </w:r>
      <w:bookmarkEnd w:id="28"/>
    </w:p>
    <w:p w:rsidR="00D7428B" w:rsidRPr="00A8436C" w:rsidRDefault="00D7428B" w:rsidP="00031F61">
      <w:pPr>
        <w:pStyle w:val="Heading10"/>
      </w:pPr>
      <w:bookmarkStart w:id="29" w:name="_Toc361739327"/>
      <w:r w:rsidRPr="00A8436C">
        <w:t>Regional (V/Line) Train and Coach</w:t>
      </w:r>
      <w:bookmarkEnd w:id="29"/>
      <w:r w:rsidR="003C691A">
        <w:rPr>
          <w:rStyle w:val="FootnoteReference"/>
        </w:rPr>
        <w:footnoteReference w:id="3"/>
      </w:r>
    </w:p>
    <w:p w:rsidR="00031F61" w:rsidRDefault="00031F61" w:rsidP="00CA287F">
      <w:pPr>
        <w:rPr>
          <w:rFonts w:ascii="Arial" w:hAnsi="Arial" w:cs="Arial"/>
        </w:rPr>
      </w:pPr>
    </w:p>
    <w:p w:rsidR="00D7428B" w:rsidRPr="00A8436C" w:rsidRDefault="00D7428B" w:rsidP="00CA287F">
      <w:pPr>
        <w:rPr>
          <w:rFonts w:ascii="Arial" w:hAnsi="Arial" w:cs="Arial"/>
        </w:rPr>
      </w:pPr>
      <w:r w:rsidRPr="00A8436C">
        <w:rPr>
          <w:rFonts w:ascii="Arial" w:hAnsi="Arial" w:cs="Arial"/>
        </w:rPr>
        <w:t>Performance Summary – 12 months to 30 June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694"/>
        <w:gridCol w:w="1553"/>
        <w:gridCol w:w="1560"/>
      </w:tblGrid>
      <w:tr w:rsidR="00D7428B" w:rsidRPr="00D7428B" w:rsidTr="00D94C15">
        <w:tc>
          <w:tcPr>
            <w:tcW w:w="2103" w:type="pct"/>
            <w:shd w:val="clear" w:color="auto" w:fill="auto"/>
          </w:tcPr>
          <w:p w:rsidR="00D7428B" w:rsidRPr="00A8436C" w:rsidRDefault="00D7428B" w:rsidP="00CA287F">
            <w:pPr>
              <w:rPr>
                <w:rFonts w:ascii="Arial" w:hAnsi="Arial" w:cs="Arial"/>
                <w:b/>
              </w:rPr>
            </w:pPr>
            <w:r w:rsidRPr="00A8436C">
              <w:rPr>
                <w:rFonts w:ascii="Arial" w:hAnsi="Arial" w:cs="Arial"/>
                <w:b/>
              </w:rPr>
              <w:t>Measure</w:t>
            </w:r>
          </w:p>
        </w:tc>
        <w:tc>
          <w:tcPr>
            <w:tcW w:w="1021" w:type="pct"/>
            <w:shd w:val="clear" w:color="auto" w:fill="auto"/>
          </w:tcPr>
          <w:p w:rsidR="00D7428B" w:rsidRPr="00A8436C" w:rsidRDefault="00D7428B" w:rsidP="00CA287F">
            <w:pPr>
              <w:rPr>
                <w:rFonts w:ascii="Arial" w:hAnsi="Arial" w:cs="Arial"/>
                <w:b/>
              </w:rPr>
            </w:pPr>
            <w:r w:rsidRPr="00A8436C">
              <w:rPr>
                <w:rFonts w:ascii="Arial" w:hAnsi="Arial" w:cs="Arial"/>
                <w:b/>
              </w:rPr>
              <w:t>Unit</w:t>
            </w:r>
          </w:p>
        </w:tc>
        <w:tc>
          <w:tcPr>
            <w:tcW w:w="936" w:type="pct"/>
          </w:tcPr>
          <w:p w:rsidR="00D7428B" w:rsidRPr="00A8436C" w:rsidRDefault="00D7428B" w:rsidP="00CA287F">
            <w:pPr>
              <w:rPr>
                <w:rFonts w:ascii="Arial" w:hAnsi="Arial" w:cs="Arial"/>
                <w:b/>
              </w:rPr>
            </w:pPr>
            <w:r w:rsidRPr="00A8436C">
              <w:rPr>
                <w:rFonts w:ascii="Arial" w:hAnsi="Arial" w:cs="Arial"/>
                <w:b/>
              </w:rPr>
              <w:t>Target</w:t>
            </w:r>
          </w:p>
        </w:tc>
        <w:tc>
          <w:tcPr>
            <w:tcW w:w="940" w:type="pct"/>
            <w:shd w:val="clear" w:color="auto" w:fill="auto"/>
          </w:tcPr>
          <w:p w:rsidR="00D7428B" w:rsidRPr="00A8436C" w:rsidRDefault="00D7428B" w:rsidP="00CA287F">
            <w:pPr>
              <w:rPr>
                <w:rFonts w:ascii="Arial" w:hAnsi="Arial" w:cs="Arial"/>
                <w:b/>
              </w:rPr>
            </w:pPr>
            <w:r w:rsidRPr="00A8436C">
              <w:rPr>
                <w:rFonts w:ascii="Arial" w:hAnsi="Arial" w:cs="Arial"/>
                <w:b/>
              </w:rPr>
              <w:t>Actual</w:t>
            </w:r>
          </w:p>
        </w:tc>
      </w:tr>
      <w:tr w:rsidR="00D7428B" w:rsidRPr="00031F61" w:rsidTr="00D94C15">
        <w:tc>
          <w:tcPr>
            <w:tcW w:w="2103" w:type="pct"/>
            <w:shd w:val="clear" w:color="auto" w:fill="auto"/>
          </w:tcPr>
          <w:p w:rsidR="00D7428B" w:rsidRPr="00031F61" w:rsidRDefault="00D7428B" w:rsidP="00CA287F">
            <w:pPr>
              <w:rPr>
                <w:rFonts w:ascii="Arial" w:hAnsi="Arial" w:cs="Arial"/>
              </w:rPr>
            </w:pPr>
            <w:r w:rsidRPr="00031F61">
              <w:rPr>
                <w:rFonts w:ascii="Arial" w:hAnsi="Arial" w:cs="Arial"/>
              </w:rPr>
              <w:t>Customer satisfaction index: regional train</w:t>
            </w:r>
          </w:p>
        </w:tc>
        <w:tc>
          <w:tcPr>
            <w:tcW w:w="1021" w:type="pct"/>
            <w:shd w:val="clear" w:color="auto" w:fill="auto"/>
          </w:tcPr>
          <w:p w:rsidR="00D7428B" w:rsidRPr="00031F61" w:rsidRDefault="00D7428B" w:rsidP="00CA287F">
            <w:pPr>
              <w:rPr>
                <w:rFonts w:ascii="Arial" w:hAnsi="Arial" w:cs="Arial"/>
              </w:rPr>
            </w:pPr>
            <w:r w:rsidRPr="00031F61">
              <w:rPr>
                <w:rFonts w:ascii="Arial" w:hAnsi="Arial" w:cs="Arial"/>
              </w:rPr>
              <w:t>Score (/100)</w:t>
            </w:r>
          </w:p>
        </w:tc>
        <w:tc>
          <w:tcPr>
            <w:tcW w:w="936" w:type="pct"/>
          </w:tcPr>
          <w:p w:rsidR="00D7428B" w:rsidRPr="00031F61" w:rsidRDefault="00D7428B" w:rsidP="00CA287F">
            <w:pPr>
              <w:rPr>
                <w:rFonts w:ascii="Arial" w:hAnsi="Arial" w:cs="Arial"/>
              </w:rPr>
            </w:pPr>
            <w:r w:rsidRPr="00031F61">
              <w:rPr>
                <w:rFonts w:ascii="Arial" w:hAnsi="Arial" w:cs="Arial"/>
              </w:rPr>
              <w:t>77.0</w:t>
            </w:r>
          </w:p>
        </w:tc>
        <w:tc>
          <w:tcPr>
            <w:tcW w:w="940" w:type="pct"/>
            <w:shd w:val="clear" w:color="auto" w:fill="auto"/>
          </w:tcPr>
          <w:p w:rsidR="00D7428B" w:rsidRPr="00031F61" w:rsidRDefault="00D7428B" w:rsidP="00CA287F">
            <w:pPr>
              <w:rPr>
                <w:rFonts w:ascii="Arial" w:hAnsi="Arial" w:cs="Arial"/>
              </w:rPr>
            </w:pPr>
            <w:r w:rsidRPr="00031F61">
              <w:rPr>
                <w:rFonts w:ascii="Arial" w:hAnsi="Arial" w:cs="Arial"/>
              </w:rPr>
              <w:t>75.8</w:t>
            </w:r>
          </w:p>
        </w:tc>
      </w:tr>
      <w:tr w:rsidR="00D7428B" w:rsidRPr="00031F61" w:rsidTr="00D94C15">
        <w:tc>
          <w:tcPr>
            <w:tcW w:w="2103" w:type="pct"/>
            <w:shd w:val="clear" w:color="auto" w:fill="auto"/>
          </w:tcPr>
          <w:p w:rsidR="00D7428B" w:rsidRPr="00031F61" w:rsidRDefault="00D7428B" w:rsidP="00CA287F">
            <w:pPr>
              <w:rPr>
                <w:rFonts w:ascii="Arial" w:hAnsi="Arial" w:cs="Arial"/>
              </w:rPr>
            </w:pPr>
            <w:r w:rsidRPr="00031F61">
              <w:rPr>
                <w:rFonts w:ascii="Arial" w:hAnsi="Arial" w:cs="Arial"/>
              </w:rPr>
              <w:t>Customer satisfaction index: regional coach</w:t>
            </w:r>
          </w:p>
        </w:tc>
        <w:tc>
          <w:tcPr>
            <w:tcW w:w="1021" w:type="pct"/>
            <w:shd w:val="clear" w:color="auto" w:fill="auto"/>
          </w:tcPr>
          <w:p w:rsidR="00D7428B" w:rsidRPr="00031F61" w:rsidRDefault="00D7428B" w:rsidP="00CA287F">
            <w:pPr>
              <w:rPr>
                <w:rFonts w:ascii="Arial" w:hAnsi="Arial" w:cs="Arial"/>
              </w:rPr>
            </w:pPr>
            <w:r w:rsidRPr="00031F61">
              <w:rPr>
                <w:rFonts w:ascii="Arial" w:hAnsi="Arial" w:cs="Arial"/>
              </w:rPr>
              <w:t>Score (/100)</w:t>
            </w:r>
          </w:p>
        </w:tc>
        <w:tc>
          <w:tcPr>
            <w:tcW w:w="936" w:type="pct"/>
          </w:tcPr>
          <w:p w:rsidR="00D7428B" w:rsidRPr="00031F61" w:rsidRDefault="00D7428B" w:rsidP="00CA287F">
            <w:pPr>
              <w:rPr>
                <w:rFonts w:ascii="Arial" w:hAnsi="Arial" w:cs="Arial"/>
              </w:rPr>
            </w:pPr>
            <w:r w:rsidRPr="00031F61">
              <w:rPr>
                <w:rFonts w:ascii="Arial" w:hAnsi="Arial" w:cs="Arial"/>
              </w:rPr>
              <w:t>80.0</w:t>
            </w:r>
          </w:p>
        </w:tc>
        <w:tc>
          <w:tcPr>
            <w:tcW w:w="940" w:type="pct"/>
            <w:shd w:val="clear" w:color="auto" w:fill="auto"/>
          </w:tcPr>
          <w:p w:rsidR="00D7428B" w:rsidRPr="00031F61" w:rsidRDefault="00D7428B" w:rsidP="00CA287F">
            <w:pPr>
              <w:rPr>
                <w:rFonts w:ascii="Arial" w:hAnsi="Arial" w:cs="Arial"/>
              </w:rPr>
            </w:pPr>
            <w:r w:rsidRPr="00031F61">
              <w:rPr>
                <w:rFonts w:ascii="Arial" w:hAnsi="Arial" w:cs="Arial"/>
              </w:rPr>
              <w:t>82.1</w:t>
            </w:r>
          </w:p>
        </w:tc>
      </w:tr>
      <w:tr w:rsidR="00D7428B" w:rsidRPr="00031F61" w:rsidTr="00D94C15">
        <w:tc>
          <w:tcPr>
            <w:tcW w:w="2103" w:type="pct"/>
            <w:shd w:val="clear" w:color="auto" w:fill="auto"/>
          </w:tcPr>
          <w:p w:rsidR="00D7428B" w:rsidRPr="00031F61" w:rsidRDefault="00D7428B" w:rsidP="00CA287F">
            <w:pPr>
              <w:rPr>
                <w:rFonts w:ascii="Arial" w:hAnsi="Arial" w:cs="Arial"/>
              </w:rPr>
            </w:pPr>
            <w:r w:rsidRPr="00031F61">
              <w:rPr>
                <w:rFonts w:ascii="Arial" w:hAnsi="Arial" w:cs="Arial"/>
              </w:rPr>
              <w:t>Service punctuality: regional train</w:t>
            </w:r>
          </w:p>
        </w:tc>
        <w:tc>
          <w:tcPr>
            <w:tcW w:w="1021" w:type="pct"/>
            <w:shd w:val="clear" w:color="auto" w:fill="auto"/>
          </w:tcPr>
          <w:p w:rsidR="00D7428B" w:rsidRPr="00031F61" w:rsidRDefault="00D7428B" w:rsidP="00CA287F">
            <w:pPr>
              <w:rPr>
                <w:rFonts w:ascii="Arial" w:hAnsi="Arial" w:cs="Arial"/>
              </w:rPr>
            </w:pPr>
            <w:r w:rsidRPr="00031F61">
              <w:rPr>
                <w:rFonts w:ascii="Arial" w:hAnsi="Arial" w:cs="Arial"/>
              </w:rPr>
              <w:t>per cent</w:t>
            </w:r>
          </w:p>
        </w:tc>
        <w:tc>
          <w:tcPr>
            <w:tcW w:w="936" w:type="pct"/>
          </w:tcPr>
          <w:p w:rsidR="00D7428B" w:rsidRPr="00031F61" w:rsidRDefault="00D7428B" w:rsidP="00CA287F">
            <w:pPr>
              <w:rPr>
                <w:rFonts w:ascii="Arial" w:hAnsi="Arial" w:cs="Arial"/>
              </w:rPr>
            </w:pPr>
            <w:r w:rsidRPr="00031F61">
              <w:rPr>
                <w:rFonts w:ascii="Arial" w:hAnsi="Arial" w:cs="Arial"/>
              </w:rPr>
              <w:t>92.0</w:t>
            </w:r>
          </w:p>
        </w:tc>
        <w:tc>
          <w:tcPr>
            <w:tcW w:w="940" w:type="pct"/>
            <w:shd w:val="clear" w:color="auto" w:fill="auto"/>
          </w:tcPr>
          <w:p w:rsidR="00D7428B" w:rsidRPr="00031F61" w:rsidRDefault="00D7428B" w:rsidP="00CA287F">
            <w:pPr>
              <w:rPr>
                <w:rFonts w:ascii="Arial" w:hAnsi="Arial" w:cs="Arial"/>
              </w:rPr>
            </w:pPr>
            <w:r w:rsidRPr="00031F61">
              <w:rPr>
                <w:rFonts w:ascii="Arial" w:hAnsi="Arial" w:cs="Arial"/>
              </w:rPr>
              <w:t>83.8</w:t>
            </w:r>
          </w:p>
        </w:tc>
      </w:tr>
      <w:tr w:rsidR="00D7428B" w:rsidRPr="00031F61" w:rsidTr="00D94C15">
        <w:tc>
          <w:tcPr>
            <w:tcW w:w="2103" w:type="pct"/>
            <w:shd w:val="clear" w:color="auto" w:fill="auto"/>
          </w:tcPr>
          <w:p w:rsidR="00D7428B" w:rsidRPr="00031F61" w:rsidRDefault="00D7428B" w:rsidP="00CA287F">
            <w:pPr>
              <w:rPr>
                <w:rFonts w:ascii="Arial" w:hAnsi="Arial" w:cs="Arial"/>
              </w:rPr>
            </w:pPr>
            <w:r w:rsidRPr="00031F61">
              <w:rPr>
                <w:rFonts w:ascii="Arial" w:hAnsi="Arial" w:cs="Arial"/>
              </w:rPr>
              <w:t>Scheduled services delivered: regional train (reliability)</w:t>
            </w:r>
          </w:p>
        </w:tc>
        <w:tc>
          <w:tcPr>
            <w:tcW w:w="1021" w:type="pct"/>
            <w:shd w:val="clear" w:color="auto" w:fill="auto"/>
          </w:tcPr>
          <w:p w:rsidR="00D7428B" w:rsidRPr="00031F61" w:rsidRDefault="00D7428B" w:rsidP="00CA287F">
            <w:pPr>
              <w:rPr>
                <w:rFonts w:ascii="Arial" w:hAnsi="Arial" w:cs="Arial"/>
              </w:rPr>
            </w:pPr>
            <w:r w:rsidRPr="00031F61">
              <w:rPr>
                <w:rFonts w:ascii="Arial" w:hAnsi="Arial" w:cs="Arial"/>
              </w:rPr>
              <w:t>per cent</w:t>
            </w:r>
          </w:p>
        </w:tc>
        <w:tc>
          <w:tcPr>
            <w:tcW w:w="936" w:type="pct"/>
          </w:tcPr>
          <w:p w:rsidR="00D7428B" w:rsidRPr="00031F61" w:rsidRDefault="00D7428B" w:rsidP="00CA287F">
            <w:pPr>
              <w:rPr>
                <w:rFonts w:ascii="Arial" w:hAnsi="Arial" w:cs="Arial"/>
              </w:rPr>
            </w:pPr>
            <w:r w:rsidRPr="00031F61">
              <w:rPr>
                <w:rFonts w:ascii="Arial" w:hAnsi="Arial" w:cs="Arial"/>
              </w:rPr>
              <w:t>98.5</w:t>
            </w:r>
          </w:p>
        </w:tc>
        <w:tc>
          <w:tcPr>
            <w:tcW w:w="940" w:type="pct"/>
            <w:shd w:val="clear" w:color="auto" w:fill="auto"/>
          </w:tcPr>
          <w:p w:rsidR="00D7428B" w:rsidRPr="00031F61" w:rsidRDefault="00D7428B" w:rsidP="00CA287F">
            <w:pPr>
              <w:rPr>
                <w:rFonts w:ascii="Arial" w:hAnsi="Arial" w:cs="Arial"/>
              </w:rPr>
            </w:pPr>
            <w:r w:rsidRPr="00031F61">
              <w:rPr>
                <w:rFonts w:ascii="Arial" w:hAnsi="Arial" w:cs="Arial"/>
              </w:rPr>
              <w:t>97.4</w:t>
            </w:r>
          </w:p>
        </w:tc>
      </w:tr>
      <w:tr w:rsidR="00D7428B" w:rsidRPr="00031F61" w:rsidTr="00D94C15">
        <w:tc>
          <w:tcPr>
            <w:tcW w:w="2103" w:type="pct"/>
            <w:shd w:val="clear" w:color="auto" w:fill="auto"/>
          </w:tcPr>
          <w:p w:rsidR="00D7428B" w:rsidRPr="00031F61" w:rsidRDefault="00D7428B" w:rsidP="00CA287F">
            <w:pPr>
              <w:rPr>
                <w:rFonts w:ascii="Arial" w:hAnsi="Arial" w:cs="Arial"/>
              </w:rPr>
            </w:pPr>
            <w:r w:rsidRPr="00031F61">
              <w:rPr>
                <w:rFonts w:ascii="Arial" w:hAnsi="Arial" w:cs="Arial"/>
              </w:rPr>
              <w:t>Total kilometres scheduled: regional train and coach</w:t>
            </w:r>
          </w:p>
        </w:tc>
        <w:tc>
          <w:tcPr>
            <w:tcW w:w="1021" w:type="pct"/>
            <w:shd w:val="clear" w:color="auto" w:fill="auto"/>
          </w:tcPr>
          <w:p w:rsidR="00D7428B" w:rsidRPr="00031F61" w:rsidRDefault="00D7428B" w:rsidP="00CA287F">
            <w:pPr>
              <w:rPr>
                <w:rFonts w:ascii="Arial" w:hAnsi="Arial" w:cs="Arial"/>
              </w:rPr>
            </w:pPr>
            <w:r w:rsidRPr="00031F61">
              <w:rPr>
                <w:rFonts w:ascii="Arial" w:hAnsi="Arial" w:cs="Arial"/>
              </w:rPr>
              <w:t>km (million)</w:t>
            </w:r>
          </w:p>
        </w:tc>
        <w:tc>
          <w:tcPr>
            <w:tcW w:w="936" w:type="pct"/>
          </w:tcPr>
          <w:p w:rsidR="00D7428B" w:rsidRPr="00031F61" w:rsidRDefault="00D7428B" w:rsidP="00CA287F">
            <w:pPr>
              <w:rPr>
                <w:rFonts w:ascii="Arial" w:hAnsi="Arial" w:cs="Arial"/>
              </w:rPr>
            </w:pPr>
            <w:r w:rsidRPr="00031F61">
              <w:rPr>
                <w:rFonts w:ascii="Arial" w:hAnsi="Arial" w:cs="Arial"/>
              </w:rPr>
              <w:t>21.8</w:t>
            </w:r>
          </w:p>
        </w:tc>
        <w:tc>
          <w:tcPr>
            <w:tcW w:w="940" w:type="pct"/>
            <w:shd w:val="clear" w:color="auto" w:fill="auto"/>
          </w:tcPr>
          <w:p w:rsidR="00D7428B" w:rsidRPr="00031F61" w:rsidRDefault="00D7428B" w:rsidP="00CA287F">
            <w:pPr>
              <w:rPr>
                <w:rFonts w:ascii="Arial" w:hAnsi="Arial" w:cs="Arial"/>
              </w:rPr>
            </w:pPr>
            <w:r w:rsidRPr="00031F61">
              <w:rPr>
                <w:rFonts w:ascii="Arial" w:hAnsi="Arial" w:cs="Arial"/>
              </w:rPr>
              <w:t>22.1</w:t>
            </w:r>
          </w:p>
        </w:tc>
      </w:tr>
    </w:tbl>
    <w:p w:rsidR="00D7428B" w:rsidRPr="00A8436C" w:rsidRDefault="00D7428B" w:rsidP="00CA287F">
      <w:pPr>
        <w:rPr>
          <w:rFonts w:ascii="Arial" w:hAnsi="Arial" w:cs="Arial"/>
          <w:i/>
          <w:sz w:val="17"/>
          <w:szCs w:val="17"/>
        </w:rPr>
      </w:pPr>
    </w:p>
    <w:p w:rsidR="00D7428B" w:rsidRPr="00A8436C" w:rsidRDefault="00D7428B" w:rsidP="00ED42C3">
      <w:pPr>
        <w:pStyle w:val="Heading20"/>
      </w:pPr>
      <w:r w:rsidRPr="00A8436C">
        <w:t xml:space="preserve">Customer Satisfaction </w:t>
      </w:r>
    </w:p>
    <w:p w:rsidR="00D7428B" w:rsidRDefault="00D7428B" w:rsidP="00CA287F">
      <w:pPr>
        <w:rPr>
          <w:rFonts w:ascii="Arial" w:hAnsi="Arial" w:cs="Arial"/>
        </w:rPr>
      </w:pPr>
      <w:r w:rsidRPr="00A8436C">
        <w:rPr>
          <w:rFonts w:ascii="Arial" w:hAnsi="Arial" w:cs="Arial"/>
        </w:rPr>
        <w:t>Satisfaction with V/Line trains was lower (75.8) for the 12 months to June 2013 compared with the previous 12 month period (76.4). Small customer satisfaction improvements were made in the 12 months to June 2013 with stations at 76.6 up from 76.1 and conductors up by 0.8 points to 85.2.</w:t>
      </w:r>
    </w:p>
    <w:p w:rsidR="00031F61" w:rsidRPr="00A8436C" w:rsidRDefault="00031F61" w:rsidP="00CA287F">
      <w:pPr>
        <w:rPr>
          <w:rFonts w:ascii="Arial" w:hAnsi="Arial" w:cs="Arial"/>
        </w:rPr>
      </w:pPr>
    </w:p>
    <w:p w:rsidR="00D7428B" w:rsidRDefault="00D7428B" w:rsidP="00CA287F">
      <w:pPr>
        <w:rPr>
          <w:rFonts w:ascii="Arial" w:hAnsi="Arial" w:cs="Arial"/>
        </w:rPr>
      </w:pPr>
      <w:r w:rsidRPr="00A8436C">
        <w:rPr>
          <w:rFonts w:ascii="Arial" w:hAnsi="Arial" w:cs="Arial"/>
        </w:rPr>
        <w:t>Satisfaction with V/Line coach services was higher (82.1) for the 12 months to June 2013 compared with the previous 12 month period (81.6). The largest improvements in customer satisfaction for V/Line coach services in the 12 months to June 2013 were with information up from 78.8 to 80.0 and drivers up by 1.0 points from 87.4 to 88.4.</w:t>
      </w:r>
    </w:p>
    <w:p w:rsidR="00031F61" w:rsidRPr="00A8436C" w:rsidRDefault="00031F61" w:rsidP="00CA287F">
      <w:pPr>
        <w:rPr>
          <w:rFonts w:ascii="Arial" w:hAnsi="Arial" w:cs="Arial"/>
        </w:rPr>
      </w:pPr>
    </w:p>
    <w:p w:rsidR="00D7428B" w:rsidRPr="00A8436C" w:rsidRDefault="00D7428B" w:rsidP="00ED42C3">
      <w:pPr>
        <w:pStyle w:val="Heading20"/>
      </w:pPr>
      <w:r w:rsidRPr="00A8436C">
        <w:t xml:space="preserve">Punctuality, Reliability and Total Kilometres scheduled </w:t>
      </w:r>
    </w:p>
    <w:p w:rsidR="00D7428B" w:rsidRDefault="00D7428B" w:rsidP="00CA287F">
      <w:pPr>
        <w:rPr>
          <w:rFonts w:ascii="Arial" w:hAnsi="Arial" w:cs="Arial"/>
        </w:rPr>
      </w:pPr>
      <w:r w:rsidRPr="00A8436C">
        <w:rPr>
          <w:rFonts w:ascii="Arial" w:hAnsi="Arial" w:cs="Arial"/>
        </w:rPr>
        <w:t xml:space="preserve">For the 12 months to June 2013 punctuality of V/Line </w:t>
      </w:r>
      <w:r w:rsidR="00870A1B">
        <w:rPr>
          <w:rFonts w:ascii="Arial" w:hAnsi="Arial" w:cs="Arial"/>
        </w:rPr>
        <w:t xml:space="preserve">train </w:t>
      </w:r>
      <w:r w:rsidRPr="00A8436C">
        <w:rPr>
          <w:rFonts w:ascii="Arial" w:hAnsi="Arial" w:cs="Arial"/>
        </w:rPr>
        <w:t xml:space="preserve">services was 83.8 per cent.  V/Line did not meet its contractual punctuality threshold of 92 per cent in any quarter during 2012-13. Punctuality was lowest in January, with only 78.3 per cent of services arriving on time.  September was the best performing month, with 87.6 per cent of services arriving on time. Regional train punctuality is affected by a range of factors, and projects such as Regional Rail Link are crucial </w:t>
      </w:r>
      <w:r w:rsidR="00057257">
        <w:rPr>
          <w:rFonts w:ascii="Arial" w:hAnsi="Arial" w:cs="Arial"/>
        </w:rPr>
        <w:t>to</w:t>
      </w:r>
      <w:r w:rsidR="00057257" w:rsidRPr="00A8436C">
        <w:rPr>
          <w:rFonts w:ascii="Arial" w:hAnsi="Arial" w:cs="Arial"/>
        </w:rPr>
        <w:t xml:space="preserve"> </w:t>
      </w:r>
      <w:r w:rsidRPr="00A8436C">
        <w:rPr>
          <w:rFonts w:ascii="Arial" w:hAnsi="Arial" w:cs="Arial"/>
        </w:rPr>
        <w:t>relieving the infrastructure capacity issues impacting performance on the regional and metropolitan networks.</w:t>
      </w:r>
    </w:p>
    <w:p w:rsidR="00D7428B" w:rsidRPr="00A8436C" w:rsidRDefault="00D7428B" w:rsidP="00CA287F">
      <w:pPr>
        <w:rPr>
          <w:rFonts w:ascii="Arial" w:hAnsi="Arial" w:cs="Arial"/>
        </w:rPr>
      </w:pPr>
    </w:p>
    <w:p w:rsidR="00D7428B" w:rsidRPr="00A8436C" w:rsidRDefault="00D7428B" w:rsidP="00CA287F">
      <w:pPr>
        <w:rPr>
          <w:rFonts w:ascii="Arial" w:hAnsi="Arial" w:cs="Arial"/>
        </w:rPr>
      </w:pPr>
      <w:r w:rsidRPr="00A8436C">
        <w:rPr>
          <w:rFonts w:ascii="Arial" w:hAnsi="Arial" w:cs="Arial"/>
        </w:rPr>
        <w:t>Regional train reliability was 97.4 per cent for the 12 months to June 2013</w:t>
      </w:r>
      <w:r w:rsidR="00EB222E">
        <w:rPr>
          <w:rFonts w:ascii="Arial" w:hAnsi="Arial" w:cs="Arial"/>
        </w:rPr>
        <w:t>,</w:t>
      </w:r>
      <w:r w:rsidRPr="00A8436C">
        <w:rPr>
          <w:rFonts w:ascii="Arial" w:hAnsi="Arial" w:cs="Arial"/>
        </w:rPr>
        <w:t xml:space="preserve"> exceeding V/Line</w:t>
      </w:r>
      <w:r w:rsidR="00EB222E">
        <w:rPr>
          <w:rFonts w:ascii="Arial" w:hAnsi="Arial" w:cs="Arial"/>
        </w:rPr>
        <w:t>’</w:t>
      </w:r>
      <w:r w:rsidRPr="00A8436C">
        <w:rPr>
          <w:rFonts w:ascii="Arial" w:hAnsi="Arial" w:cs="Arial"/>
        </w:rPr>
        <w:t>s contractual threshold of 96 per cent in each quarter for the year.  Cancellation levels were highest in August 2012, with 4.0 per cent of services cancelled. Regional train reliability has fallen, with a 12 month average of 97.4 per cent for 2013, compared to 97.8 per cent in 2012.</w:t>
      </w:r>
    </w:p>
    <w:p w:rsidR="00D7428B" w:rsidRPr="00A8436C" w:rsidRDefault="00D7428B" w:rsidP="00CA287F">
      <w:pPr>
        <w:rPr>
          <w:rFonts w:ascii="Arial" w:hAnsi="Arial" w:cs="Arial"/>
          <w:color w:val="000000"/>
        </w:rPr>
      </w:pPr>
      <w:r w:rsidRPr="00A8436C">
        <w:rPr>
          <w:rFonts w:ascii="Arial" w:hAnsi="Arial" w:cs="Arial"/>
          <w:color w:val="000000"/>
        </w:rPr>
        <w:t>There has been a small decrease in regional train kilometres predominantly due to reductions associated with Sunbury electrification, although this has been offset by additional standard weekly services introduced on 18 November 2012.</w:t>
      </w:r>
    </w:p>
    <w:p w:rsidR="00D7428B" w:rsidRPr="00A8436C" w:rsidRDefault="00D7428B" w:rsidP="00031F61">
      <w:pPr>
        <w:pStyle w:val="Heading10"/>
      </w:pPr>
      <w:r w:rsidRPr="00A8436C">
        <w:br w:type="page"/>
      </w:r>
      <w:bookmarkStart w:id="30" w:name="_Toc361739328"/>
      <w:r w:rsidRPr="00A8436C">
        <w:t>Regional Bus (town bus services)</w:t>
      </w:r>
      <w:bookmarkEnd w:id="30"/>
    </w:p>
    <w:p w:rsidR="00031F61" w:rsidRDefault="00031F61" w:rsidP="00CA287F">
      <w:pPr>
        <w:rPr>
          <w:rFonts w:ascii="Arial" w:hAnsi="Arial" w:cs="Arial"/>
        </w:rPr>
      </w:pPr>
    </w:p>
    <w:p w:rsidR="00D7428B" w:rsidRPr="00A8436C" w:rsidRDefault="00D7428B" w:rsidP="00CA287F">
      <w:pPr>
        <w:rPr>
          <w:rFonts w:ascii="Arial" w:hAnsi="Arial" w:cs="Arial"/>
        </w:rPr>
      </w:pPr>
      <w:r w:rsidRPr="00A8436C">
        <w:rPr>
          <w:rFonts w:ascii="Arial" w:hAnsi="Arial" w:cs="Arial"/>
        </w:rPr>
        <w:t>Performance Summary – 12 months to 30 June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694"/>
        <w:gridCol w:w="1553"/>
        <w:gridCol w:w="1560"/>
      </w:tblGrid>
      <w:tr w:rsidR="00D7428B" w:rsidRPr="00D7428B" w:rsidTr="00D94C15">
        <w:tc>
          <w:tcPr>
            <w:tcW w:w="2103" w:type="pct"/>
            <w:shd w:val="clear" w:color="auto" w:fill="auto"/>
          </w:tcPr>
          <w:p w:rsidR="00D7428B" w:rsidRPr="00A8436C" w:rsidRDefault="00D7428B" w:rsidP="00CA287F">
            <w:pPr>
              <w:rPr>
                <w:rFonts w:ascii="Arial" w:hAnsi="Arial" w:cs="Arial"/>
                <w:b/>
              </w:rPr>
            </w:pPr>
            <w:r w:rsidRPr="00A8436C">
              <w:rPr>
                <w:rFonts w:ascii="Arial" w:hAnsi="Arial" w:cs="Arial"/>
                <w:b/>
              </w:rPr>
              <w:t>Measure</w:t>
            </w:r>
          </w:p>
        </w:tc>
        <w:tc>
          <w:tcPr>
            <w:tcW w:w="1021" w:type="pct"/>
            <w:shd w:val="clear" w:color="auto" w:fill="auto"/>
          </w:tcPr>
          <w:p w:rsidR="00D7428B" w:rsidRPr="00A8436C" w:rsidRDefault="00D7428B" w:rsidP="00CA287F">
            <w:pPr>
              <w:rPr>
                <w:rFonts w:ascii="Arial" w:hAnsi="Arial" w:cs="Arial"/>
                <w:b/>
              </w:rPr>
            </w:pPr>
            <w:r w:rsidRPr="00A8436C">
              <w:rPr>
                <w:rFonts w:ascii="Arial" w:hAnsi="Arial" w:cs="Arial"/>
                <w:b/>
              </w:rPr>
              <w:t>Unit</w:t>
            </w:r>
          </w:p>
        </w:tc>
        <w:tc>
          <w:tcPr>
            <w:tcW w:w="936" w:type="pct"/>
          </w:tcPr>
          <w:p w:rsidR="00D7428B" w:rsidRPr="00A8436C" w:rsidRDefault="00D7428B" w:rsidP="00CA287F">
            <w:pPr>
              <w:rPr>
                <w:rFonts w:ascii="Arial" w:hAnsi="Arial" w:cs="Arial"/>
                <w:b/>
              </w:rPr>
            </w:pPr>
            <w:r w:rsidRPr="00A8436C">
              <w:rPr>
                <w:rFonts w:ascii="Arial" w:hAnsi="Arial" w:cs="Arial"/>
                <w:b/>
              </w:rPr>
              <w:t>Target</w:t>
            </w:r>
          </w:p>
        </w:tc>
        <w:tc>
          <w:tcPr>
            <w:tcW w:w="940" w:type="pct"/>
            <w:shd w:val="clear" w:color="auto" w:fill="auto"/>
          </w:tcPr>
          <w:p w:rsidR="00D7428B" w:rsidRPr="00A8436C" w:rsidRDefault="00D7428B" w:rsidP="00CA287F">
            <w:pPr>
              <w:rPr>
                <w:rFonts w:ascii="Arial" w:hAnsi="Arial" w:cs="Arial"/>
                <w:b/>
              </w:rPr>
            </w:pPr>
            <w:r w:rsidRPr="00A8436C">
              <w:rPr>
                <w:rFonts w:ascii="Arial" w:hAnsi="Arial" w:cs="Arial"/>
                <w:b/>
              </w:rPr>
              <w:t>Actual</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Customer satisfaction index</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Score (/100)</w:t>
            </w:r>
          </w:p>
        </w:tc>
        <w:tc>
          <w:tcPr>
            <w:tcW w:w="936" w:type="pct"/>
          </w:tcPr>
          <w:p w:rsidR="00D7428B" w:rsidRPr="00A8436C" w:rsidRDefault="00D7428B" w:rsidP="00CA287F">
            <w:pPr>
              <w:rPr>
                <w:rFonts w:ascii="Arial" w:hAnsi="Arial" w:cs="Arial"/>
              </w:rPr>
            </w:pPr>
            <w:r w:rsidRPr="00A8436C">
              <w:rPr>
                <w:rFonts w:ascii="Arial" w:hAnsi="Arial" w:cs="Arial"/>
              </w:rPr>
              <w:t>N/A</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80.8</w:t>
            </w:r>
            <w:r w:rsidR="003C691A">
              <w:rPr>
                <w:rStyle w:val="FootnoteReference"/>
                <w:rFonts w:ascii="Arial" w:hAnsi="Arial" w:cs="Arial"/>
              </w:rPr>
              <w:footnoteReference w:id="4"/>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Service punctuality</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per cent</w:t>
            </w:r>
          </w:p>
        </w:tc>
        <w:tc>
          <w:tcPr>
            <w:tcW w:w="936" w:type="pct"/>
          </w:tcPr>
          <w:p w:rsidR="00D7428B" w:rsidRPr="00A8436C" w:rsidRDefault="00D7428B" w:rsidP="00CA287F">
            <w:pPr>
              <w:rPr>
                <w:rFonts w:ascii="Arial" w:hAnsi="Arial" w:cs="Arial"/>
              </w:rPr>
            </w:pPr>
            <w:r w:rsidRPr="00A8436C">
              <w:rPr>
                <w:rFonts w:ascii="Arial" w:hAnsi="Arial" w:cs="Arial"/>
              </w:rPr>
              <w:t>99.0</w:t>
            </w:r>
          </w:p>
        </w:tc>
        <w:tc>
          <w:tcPr>
            <w:tcW w:w="940" w:type="pct"/>
            <w:shd w:val="clear" w:color="auto" w:fill="auto"/>
          </w:tcPr>
          <w:p w:rsidR="00D7428B" w:rsidRPr="00A8436C" w:rsidRDefault="007B7030" w:rsidP="00CA287F">
            <w:pPr>
              <w:rPr>
                <w:rFonts w:ascii="Arial" w:hAnsi="Arial" w:cs="Arial"/>
              </w:rPr>
            </w:pPr>
            <w:r>
              <w:rPr>
                <w:rFonts w:ascii="Arial" w:hAnsi="Arial" w:cs="Arial"/>
              </w:rPr>
              <w:t>94.0</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Scheduled services delivered (reliability)</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per cent</w:t>
            </w:r>
          </w:p>
        </w:tc>
        <w:tc>
          <w:tcPr>
            <w:tcW w:w="936" w:type="pct"/>
          </w:tcPr>
          <w:p w:rsidR="00D7428B" w:rsidRPr="00A8436C" w:rsidRDefault="00D7428B" w:rsidP="00CA287F">
            <w:pPr>
              <w:rPr>
                <w:rFonts w:ascii="Arial" w:hAnsi="Arial" w:cs="Arial"/>
              </w:rPr>
            </w:pPr>
            <w:r w:rsidRPr="00A8436C">
              <w:rPr>
                <w:rFonts w:ascii="Arial" w:hAnsi="Arial" w:cs="Arial"/>
              </w:rPr>
              <w:t>99.0</w:t>
            </w:r>
          </w:p>
        </w:tc>
        <w:tc>
          <w:tcPr>
            <w:tcW w:w="940" w:type="pct"/>
            <w:shd w:val="clear" w:color="auto" w:fill="auto"/>
          </w:tcPr>
          <w:p w:rsidR="00D7428B" w:rsidRPr="00A8436C" w:rsidRDefault="007B7030" w:rsidP="00CA287F">
            <w:pPr>
              <w:rPr>
                <w:rFonts w:ascii="Arial" w:hAnsi="Arial" w:cs="Arial"/>
              </w:rPr>
            </w:pPr>
            <w:r>
              <w:rPr>
                <w:rFonts w:ascii="Arial" w:hAnsi="Arial" w:cs="Arial"/>
              </w:rPr>
              <w:t>&gt;99.9</w:t>
            </w:r>
          </w:p>
        </w:tc>
      </w:tr>
      <w:tr w:rsidR="00D7428B" w:rsidRPr="00D7428B" w:rsidTr="00D94C15">
        <w:tc>
          <w:tcPr>
            <w:tcW w:w="2103" w:type="pct"/>
            <w:shd w:val="clear" w:color="auto" w:fill="auto"/>
          </w:tcPr>
          <w:p w:rsidR="00D7428B" w:rsidRPr="00A8436C" w:rsidRDefault="00D7428B" w:rsidP="00CA287F">
            <w:pPr>
              <w:rPr>
                <w:rFonts w:ascii="Arial" w:hAnsi="Arial" w:cs="Arial"/>
              </w:rPr>
            </w:pPr>
            <w:r w:rsidRPr="00A8436C">
              <w:rPr>
                <w:rFonts w:ascii="Arial" w:hAnsi="Arial" w:cs="Arial"/>
              </w:rPr>
              <w:t>Total kilometres scheduled</w:t>
            </w:r>
          </w:p>
        </w:tc>
        <w:tc>
          <w:tcPr>
            <w:tcW w:w="1021" w:type="pct"/>
            <w:shd w:val="clear" w:color="auto" w:fill="auto"/>
          </w:tcPr>
          <w:p w:rsidR="00D7428B" w:rsidRPr="00A8436C" w:rsidRDefault="00D7428B" w:rsidP="00CA287F">
            <w:pPr>
              <w:rPr>
                <w:rFonts w:ascii="Arial" w:hAnsi="Arial" w:cs="Arial"/>
              </w:rPr>
            </w:pPr>
            <w:r w:rsidRPr="00A8436C">
              <w:rPr>
                <w:rFonts w:ascii="Arial" w:hAnsi="Arial" w:cs="Arial"/>
              </w:rPr>
              <w:t>km (million)</w:t>
            </w:r>
          </w:p>
        </w:tc>
        <w:tc>
          <w:tcPr>
            <w:tcW w:w="936" w:type="pct"/>
          </w:tcPr>
          <w:p w:rsidR="00D7428B" w:rsidRPr="00A8436C" w:rsidRDefault="00D7428B" w:rsidP="00CA287F">
            <w:pPr>
              <w:rPr>
                <w:rFonts w:ascii="Arial" w:hAnsi="Arial" w:cs="Arial"/>
              </w:rPr>
            </w:pPr>
            <w:r w:rsidRPr="00A8436C">
              <w:rPr>
                <w:rFonts w:ascii="Arial" w:hAnsi="Arial" w:cs="Arial"/>
              </w:rPr>
              <w:t>20.9</w:t>
            </w:r>
          </w:p>
        </w:tc>
        <w:tc>
          <w:tcPr>
            <w:tcW w:w="940" w:type="pct"/>
            <w:shd w:val="clear" w:color="auto" w:fill="auto"/>
          </w:tcPr>
          <w:p w:rsidR="00D7428B" w:rsidRPr="00A8436C" w:rsidRDefault="00D7428B" w:rsidP="00CA287F">
            <w:pPr>
              <w:rPr>
                <w:rFonts w:ascii="Arial" w:hAnsi="Arial" w:cs="Arial"/>
              </w:rPr>
            </w:pPr>
            <w:r w:rsidRPr="00A8436C">
              <w:rPr>
                <w:rFonts w:ascii="Arial" w:hAnsi="Arial" w:cs="Arial"/>
              </w:rPr>
              <w:t>22.3</w:t>
            </w:r>
          </w:p>
        </w:tc>
      </w:tr>
    </w:tbl>
    <w:p w:rsidR="00031F61" w:rsidRDefault="00031F61" w:rsidP="00CA287F">
      <w:pPr>
        <w:rPr>
          <w:rFonts w:ascii="Arial" w:hAnsi="Arial" w:cs="Arial"/>
          <w:i/>
          <w:sz w:val="17"/>
          <w:szCs w:val="17"/>
        </w:rPr>
      </w:pPr>
    </w:p>
    <w:p w:rsidR="00D7428B" w:rsidRPr="00A8436C" w:rsidRDefault="00D7428B" w:rsidP="00ED42C3">
      <w:pPr>
        <w:pStyle w:val="Heading20"/>
      </w:pPr>
      <w:r w:rsidRPr="00A8436C">
        <w:t xml:space="preserve">Customer Satisfaction </w:t>
      </w:r>
    </w:p>
    <w:p w:rsidR="00D7428B" w:rsidRDefault="00D7428B" w:rsidP="00CA287F">
      <w:pPr>
        <w:rPr>
          <w:rFonts w:ascii="Arial" w:hAnsi="Arial" w:cs="Arial"/>
        </w:rPr>
      </w:pPr>
      <w:r w:rsidRPr="00A8436C">
        <w:rPr>
          <w:rFonts w:ascii="Arial" w:hAnsi="Arial" w:cs="Arial"/>
        </w:rPr>
        <w:t xml:space="preserve">Of the centres where data was available, customer satisfaction with town bus services in Ballarat, Geelong, Bendigo, Latrobe Valley, and Shepparton / Wangaratta / Wodonga had an average score for the 12 months to the end of June 2013 of 80.8. </w:t>
      </w:r>
    </w:p>
    <w:p w:rsidR="00031F61" w:rsidRPr="00A8436C" w:rsidRDefault="00031F61" w:rsidP="00CA287F">
      <w:pPr>
        <w:rPr>
          <w:rFonts w:ascii="Arial" w:hAnsi="Arial" w:cs="Arial"/>
        </w:rPr>
      </w:pPr>
    </w:p>
    <w:p w:rsidR="00D7428B" w:rsidRPr="00A8436C" w:rsidRDefault="00D7428B" w:rsidP="00CA287F">
      <w:pPr>
        <w:rPr>
          <w:rFonts w:ascii="Arial" w:hAnsi="Arial" w:cs="Arial"/>
        </w:rPr>
      </w:pPr>
      <w:r w:rsidRPr="00A8436C">
        <w:rPr>
          <w:rFonts w:ascii="Arial" w:hAnsi="Arial" w:cs="Arial"/>
        </w:rPr>
        <w:t>Regular surveying of regional town bus customers in defined locations commenced in early 2012 to allow for reporting on a rolling basis.</w:t>
      </w:r>
    </w:p>
    <w:p w:rsidR="00D7428B" w:rsidRDefault="00D7428B" w:rsidP="00CA287F">
      <w:pPr>
        <w:rPr>
          <w:rFonts w:ascii="Arial" w:hAnsi="Arial" w:cs="Arial"/>
        </w:rPr>
      </w:pPr>
      <w:r w:rsidRPr="00A8436C">
        <w:rPr>
          <w:rFonts w:ascii="Arial" w:hAnsi="Arial" w:cs="Arial"/>
        </w:rPr>
        <w:t>Punctuality</w:t>
      </w:r>
      <w:r w:rsidR="006B5647">
        <w:rPr>
          <w:rFonts w:ascii="Arial" w:hAnsi="Arial" w:cs="Arial"/>
        </w:rPr>
        <w:t xml:space="preserve"> and</w:t>
      </w:r>
      <w:r w:rsidR="0049702C">
        <w:rPr>
          <w:rFonts w:ascii="Arial" w:hAnsi="Arial" w:cs="Arial"/>
        </w:rPr>
        <w:t xml:space="preserve"> </w:t>
      </w:r>
      <w:r w:rsidR="006B5647">
        <w:rPr>
          <w:rFonts w:ascii="Arial" w:hAnsi="Arial" w:cs="Arial"/>
        </w:rPr>
        <w:t>r</w:t>
      </w:r>
      <w:r w:rsidRPr="00A8436C">
        <w:rPr>
          <w:rFonts w:ascii="Arial" w:hAnsi="Arial" w:cs="Arial"/>
        </w:rPr>
        <w:t xml:space="preserve">eliability </w:t>
      </w:r>
    </w:p>
    <w:p w:rsidR="00031F61" w:rsidRPr="00A8436C" w:rsidRDefault="00031F61" w:rsidP="00CA287F">
      <w:pPr>
        <w:rPr>
          <w:rFonts w:ascii="Arial" w:hAnsi="Arial" w:cs="Arial"/>
        </w:rPr>
      </w:pPr>
    </w:p>
    <w:p w:rsidR="00D7428B" w:rsidRPr="00A8436C" w:rsidRDefault="00D7428B" w:rsidP="00CA287F">
      <w:pPr>
        <w:rPr>
          <w:rFonts w:ascii="Arial" w:hAnsi="Arial" w:cs="Arial"/>
        </w:rPr>
      </w:pPr>
      <w:r w:rsidRPr="00A8436C">
        <w:rPr>
          <w:rFonts w:ascii="Arial" w:hAnsi="Arial" w:cs="Arial"/>
        </w:rPr>
        <w:t xml:space="preserve">For the 12 months to 30 June 2013 the percentage of regional bus services delivered and punctuality are estimated to be </w:t>
      </w:r>
      <w:r w:rsidR="00057257">
        <w:rPr>
          <w:rFonts w:ascii="Arial" w:hAnsi="Arial" w:cs="Arial"/>
        </w:rPr>
        <w:t>greater than</w:t>
      </w:r>
      <w:r w:rsidR="0049702C">
        <w:rPr>
          <w:rFonts w:ascii="Arial" w:hAnsi="Arial" w:cs="Arial"/>
        </w:rPr>
        <w:t xml:space="preserve"> </w:t>
      </w:r>
      <w:r w:rsidRPr="00A8436C">
        <w:rPr>
          <w:rFonts w:ascii="Arial" w:hAnsi="Arial" w:cs="Arial"/>
        </w:rPr>
        <w:t xml:space="preserve">99.9 per cent and </w:t>
      </w:r>
      <w:r w:rsidR="007B7030">
        <w:rPr>
          <w:rFonts w:ascii="Arial" w:hAnsi="Arial" w:cs="Arial"/>
        </w:rPr>
        <w:t>94.0</w:t>
      </w:r>
      <w:r w:rsidRPr="00A8436C">
        <w:rPr>
          <w:rFonts w:ascii="Arial" w:hAnsi="Arial" w:cs="Arial"/>
        </w:rPr>
        <w:t xml:space="preserve"> per cent respectively.</w:t>
      </w:r>
      <w:r w:rsidR="00064A3F">
        <w:rPr>
          <w:rStyle w:val="FootnoteReference"/>
          <w:rFonts w:ascii="Arial" w:hAnsi="Arial" w:cs="Arial"/>
        </w:rPr>
        <w:footnoteReference w:id="5"/>
      </w:r>
      <w:r w:rsidRPr="00A8436C">
        <w:rPr>
          <w:rFonts w:ascii="Arial" w:hAnsi="Arial" w:cs="Arial"/>
        </w:rPr>
        <w:t xml:space="preserve"> </w:t>
      </w:r>
    </w:p>
    <w:p w:rsidR="00D7428B" w:rsidRPr="00A8436C" w:rsidRDefault="00D7428B" w:rsidP="00CA287F">
      <w:pPr>
        <w:rPr>
          <w:rFonts w:ascii="Arial" w:hAnsi="Arial" w:cs="Arial"/>
        </w:rPr>
      </w:pPr>
    </w:p>
    <w:p w:rsidR="00D7428B" w:rsidRPr="00F51CC9" w:rsidRDefault="00D7428B" w:rsidP="00031F61">
      <w:pPr>
        <w:pStyle w:val="Heading10"/>
      </w:pPr>
      <w:r w:rsidRPr="00A8436C">
        <w:br w:type="page"/>
      </w:r>
      <w:r w:rsidRPr="00F51CC9">
        <w:t xml:space="preserve">Patronage </w:t>
      </w:r>
    </w:p>
    <w:p w:rsidR="0049702C" w:rsidRDefault="0049702C" w:rsidP="00CA287F">
      <w:pPr>
        <w:rPr>
          <w:rFonts w:ascii="Arial" w:hAnsi="Arial" w:cs="Arial"/>
          <w:b/>
        </w:rPr>
      </w:pPr>
    </w:p>
    <w:p w:rsidR="0049702C" w:rsidRPr="00E642A5" w:rsidRDefault="0049702C" w:rsidP="00ED42C3">
      <w:pPr>
        <w:pStyle w:val="Heading20"/>
      </w:pPr>
      <w:r w:rsidRPr="00E642A5">
        <w:t>Metropolitan</w:t>
      </w:r>
    </w:p>
    <w:p w:rsidR="0049702C" w:rsidRDefault="0049702C" w:rsidP="00CA287F">
      <w:pPr>
        <w:rPr>
          <w:rFonts w:ascii="Arial" w:hAnsi="Arial" w:cs="Arial"/>
          <w:color w:val="000000"/>
        </w:rPr>
      </w:pPr>
      <w:r w:rsidRPr="00E642A5">
        <w:rPr>
          <w:rFonts w:ascii="Arial" w:hAnsi="Arial" w:cs="Arial"/>
          <w:color w:val="000000"/>
        </w:rPr>
        <w:t xml:space="preserve">Metropolitan public transport services carried 523.9 million passengers in the 12 months to 30 June 2013, a decrease of </w:t>
      </w:r>
      <w:r w:rsidR="00810CBC">
        <w:rPr>
          <w:rFonts w:ascii="Arial" w:hAnsi="Arial" w:cs="Arial"/>
          <w:color w:val="000000"/>
        </w:rPr>
        <w:t>2.0</w:t>
      </w:r>
      <w:r w:rsidRPr="00E642A5">
        <w:rPr>
          <w:rFonts w:ascii="Arial" w:hAnsi="Arial" w:cs="Arial"/>
          <w:color w:val="000000"/>
        </w:rPr>
        <w:t xml:space="preserve"> per cent when compared with the previous year. </w:t>
      </w:r>
    </w:p>
    <w:p w:rsidR="0049702C" w:rsidRPr="00E642A5" w:rsidRDefault="0049702C" w:rsidP="00CA287F">
      <w:pPr>
        <w:rPr>
          <w:rFonts w:ascii="Arial" w:hAnsi="Arial" w:cs="Arial"/>
          <w:color w:val="000000"/>
        </w:rPr>
      </w:pPr>
    </w:p>
    <w:p w:rsidR="0049702C" w:rsidRDefault="0049702C" w:rsidP="00CA287F">
      <w:pPr>
        <w:rPr>
          <w:rFonts w:ascii="Arial" w:hAnsi="Arial" w:cs="Arial"/>
          <w:color w:val="000000"/>
        </w:rPr>
      </w:pPr>
      <w:r w:rsidRPr="00E642A5">
        <w:rPr>
          <w:rFonts w:ascii="Arial" w:hAnsi="Arial" w:cs="Arial"/>
          <w:color w:val="000000"/>
        </w:rPr>
        <w:t xml:space="preserve">Metropolitan train services carried 225.5 million passengers for the 12 months to 30 June 2013, an increase of 2.0 per cent for the year. . The growth in train patronage can be attributed to improved performance and to investment such as the Sunbury Electrification Project. </w:t>
      </w:r>
    </w:p>
    <w:p w:rsidR="0049702C" w:rsidRPr="00E642A5" w:rsidRDefault="0049702C" w:rsidP="00CA287F">
      <w:pPr>
        <w:rPr>
          <w:rFonts w:ascii="Arial" w:hAnsi="Arial" w:cs="Arial"/>
          <w:color w:val="000000"/>
        </w:rPr>
      </w:pPr>
    </w:p>
    <w:p w:rsidR="0049702C" w:rsidRPr="00E642A5" w:rsidRDefault="0049702C" w:rsidP="00CA287F">
      <w:pPr>
        <w:rPr>
          <w:rFonts w:ascii="Arial" w:hAnsi="Arial" w:cs="Arial"/>
          <w:color w:val="000000"/>
        </w:rPr>
      </w:pPr>
      <w:r w:rsidRPr="00E642A5">
        <w:rPr>
          <w:rFonts w:ascii="Arial" w:hAnsi="Arial" w:cs="Arial"/>
          <w:color w:val="000000"/>
        </w:rPr>
        <w:t xml:space="preserve">Tram services carried 182.7 million passengers for the 12 months to 30 June  2013, a decrease of 4.2 per cent for the year.  </w:t>
      </w:r>
      <w:r w:rsidR="001E1C65">
        <w:rPr>
          <w:rFonts w:ascii="Arial" w:hAnsi="Arial" w:cs="Arial"/>
          <w:color w:val="000000"/>
        </w:rPr>
        <w:t>I</w:t>
      </w:r>
      <w:r w:rsidRPr="00E642A5">
        <w:rPr>
          <w:rFonts w:ascii="Arial" w:hAnsi="Arial" w:cs="Arial"/>
          <w:color w:val="000000"/>
        </w:rPr>
        <w:t>t is expected that the progressive roll out of additional rolling stock across 2013-14 and 2014-15 and improving economic indicators will see tram patronage return to growth.</w:t>
      </w:r>
    </w:p>
    <w:p w:rsidR="0049702C" w:rsidRDefault="0049702C" w:rsidP="00CA287F">
      <w:pPr>
        <w:rPr>
          <w:rFonts w:ascii="Arial" w:hAnsi="Arial" w:cs="Arial"/>
          <w:color w:val="000000"/>
        </w:rPr>
      </w:pPr>
    </w:p>
    <w:p w:rsidR="0049702C" w:rsidRDefault="0049702C" w:rsidP="00CA287F">
      <w:pPr>
        <w:rPr>
          <w:rFonts w:ascii="Arial" w:hAnsi="Arial" w:cs="Arial"/>
          <w:color w:val="000000"/>
        </w:rPr>
      </w:pPr>
      <w:r w:rsidRPr="00E642A5">
        <w:rPr>
          <w:rFonts w:ascii="Arial" w:hAnsi="Arial" w:cs="Arial"/>
          <w:color w:val="000000"/>
        </w:rPr>
        <w:t xml:space="preserve">Metropolitan bus services carried 115.7 million passengers for the 12 months to 30 June 2013, a decrease of </w:t>
      </w:r>
      <w:r w:rsidR="00810CBC">
        <w:rPr>
          <w:rFonts w:ascii="Arial" w:hAnsi="Arial" w:cs="Arial"/>
          <w:color w:val="000000"/>
        </w:rPr>
        <w:t>5.7</w:t>
      </w:r>
      <w:r w:rsidRPr="00E642A5">
        <w:rPr>
          <w:rFonts w:ascii="Arial" w:hAnsi="Arial" w:cs="Arial"/>
          <w:color w:val="000000"/>
        </w:rPr>
        <w:t xml:space="preserve"> per cent for the year.  Flat economic indicators and increasing congestion on some major roads may have been contributing factors. </w:t>
      </w:r>
    </w:p>
    <w:p w:rsidR="0049702C" w:rsidRPr="00E642A5" w:rsidRDefault="0049702C" w:rsidP="00CA287F">
      <w:pPr>
        <w:rPr>
          <w:rFonts w:ascii="Arial" w:hAnsi="Arial" w:cs="Arial"/>
          <w:color w:val="000000"/>
        </w:rPr>
      </w:pPr>
    </w:p>
    <w:p w:rsidR="0049702C" w:rsidRDefault="001E1C65" w:rsidP="00CA287F">
      <w:pPr>
        <w:rPr>
          <w:rFonts w:ascii="Arial" w:hAnsi="Arial" w:cs="Arial"/>
          <w:color w:val="000000"/>
        </w:rPr>
      </w:pPr>
      <w:r>
        <w:rPr>
          <w:rFonts w:ascii="Arial" w:hAnsi="Arial" w:cs="Arial"/>
          <w:color w:val="000000"/>
        </w:rPr>
        <w:t>I</w:t>
      </w:r>
      <w:r w:rsidR="0049702C" w:rsidRPr="00E642A5">
        <w:rPr>
          <w:rFonts w:ascii="Arial" w:hAnsi="Arial" w:cs="Arial"/>
          <w:color w:val="000000"/>
        </w:rPr>
        <w:t>t is expected that bus patronage growth will return to levels forecast for the long term</w:t>
      </w:r>
      <w:r>
        <w:rPr>
          <w:rFonts w:ascii="Arial" w:hAnsi="Arial" w:cs="Arial"/>
          <w:color w:val="000000"/>
        </w:rPr>
        <w:t xml:space="preserve">. </w:t>
      </w:r>
    </w:p>
    <w:p w:rsidR="001E1C65" w:rsidRPr="00E642A5" w:rsidRDefault="001E1C65" w:rsidP="00CA287F">
      <w:pPr>
        <w:rPr>
          <w:rFonts w:ascii="Arial" w:hAnsi="Arial" w:cs="Arial"/>
        </w:rPr>
      </w:pPr>
    </w:p>
    <w:p w:rsidR="0049702C" w:rsidRPr="00E642A5" w:rsidRDefault="0049702C" w:rsidP="00ED42C3">
      <w:pPr>
        <w:pStyle w:val="Heading20"/>
      </w:pPr>
      <w:r w:rsidRPr="00E642A5">
        <w:t>Regional</w:t>
      </w:r>
    </w:p>
    <w:p w:rsidR="0049702C" w:rsidRDefault="0049702C" w:rsidP="00CA287F">
      <w:pPr>
        <w:rPr>
          <w:rFonts w:ascii="Arial" w:hAnsi="Arial" w:cs="Arial"/>
        </w:rPr>
      </w:pPr>
      <w:r w:rsidRPr="00E642A5">
        <w:rPr>
          <w:rFonts w:ascii="Arial" w:hAnsi="Arial" w:cs="Arial"/>
        </w:rPr>
        <w:t>Regional train services carried 13.2 million passengers for the 12 months to 30 June 2013, a decline of 5.1 per cent compared to the previous year.</w:t>
      </w:r>
    </w:p>
    <w:p w:rsidR="0049702C" w:rsidRPr="00E642A5" w:rsidRDefault="0049702C" w:rsidP="00CA287F">
      <w:pPr>
        <w:rPr>
          <w:rFonts w:ascii="Arial" w:hAnsi="Arial" w:cs="Arial"/>
        </w:rPr>
      </w:pPr>
    </w:p>
    <w:p w:rsidR="0049702C" w:rsidRDefault="0049702C" w:rsidP="00CA287F">
      <w:pPr>
        <w:rPr>
          <w:rFonts w:ascii="Arial" w:hAnsi="Arial" w:cs="Arial"/>
        </w:rPr>
      </w:pPr>
      <w:r w:rsidRPr="00E642A5">
        <w:rPr>
          <w:rFonts w:ascii="Arial" w:hAnsi="Arial" w:cs="Arial"/>
        </w:rPr>
        <w:t xml:space="preserve">Regional coach services carried 1.5 million passengers for the 12 months to 30 June 2013, a decline of 4.3 per cent compared to the previous year.  </w:t>
      </w:r>
    </w:p>
    <w:p w:rsidR="0049702C" w:rsidRPr="00E642A5" w:rsidRDefault="0049702C" w:rsidP="00CA287F">
      <w:pPr>
        <w:rPr>
          <w:rFonts w:ascii="Arial" w:hAnsi="Arial" w:cs="Arial"/>
          <w:color w:val="984806"/>
        </w:rPr>
      </w:pPr>
    </w:p>
    <w:p w:rsidR="0049702C" w:rsidRPr="00E642A5" w:rsidRDefault="0049702C" w:rsidP="00CA287F">
      <w:pPr>
        <w:rPr>
          <w:rFonts w:ascii="Arial" w:hAnsi="Arial" w:cs="Arial"/>
        </w:rPr>
      </w:pPr>
      <w:r w:rsidRPr="00E642A5">
        <w:rPr>
          <w:rFonts w:ascii="Arial" w:hAnsi="Arial" w:cs="Arial"/>
        </w:rPr>
        <w:t>Regional bus services carried 14.7 million passengers for the 12 months to 30 June 2013, a growth of 3.4 per cent compared to the previous year.</w:t>
      </w:r>
    </w:p>
    <w:p w:rsidR="00D7428B" w:rsidRDefault="00D7428B" w:rsidP="00CA287F">
      <w:pPr>
        <w:rPr>
          <w:rFonts w:ascii="Arial" w:hAnsi="Arial" w:cs="Arial"/>
        </w:rPr>
      </w:pPr>
      <w:r>
        <w:rPr>
          <w:rFonts w:ascii="Arial" w:hAnsi="Arial" w:cs="Arial"/>
        </w:rPr>
        <w:br w:type="page"/>
      </w:r>
    </w:p>
    <w:p w:rsidR="00D7428B" w:rsidRPr="00F51CC9" w:rsidRDefault="00D7428B" w:rsidP="00031F61">
      <w:pPr>
        <w:pStyle w:val="Heading10"/>
      </w:pPr>
      <w:r w:rsidRPr="00F51CC9">
        <w:t xml:space="preserve">Load </w:t>
      </w:r>
      <w:r w:rsidR="00057257">
        <w:t>standards</w:t>
      </w:r>
      <w:r w:rsidR="00057257" w:rsidRPr="00F51CC9">
        <w:t xml:space="preserve"> </w:t>
      </w:r>
    </w:p>
    <w:p w:rsidR="000A3BDE" w:rsidRDefault="000A3BDE" w:rsidP="00CA287F">
      <w:pPr>
        <w:rPr>
          <w:rFonts w:ascii="Arial" w:hAnsi="Arial" w:cs="Arial"/>
          <w:b/>
          <w:sz w:val="20"/>
          <w:szCs w:val="20"/>
        </w:rPr>
      </w:pPr>
      <w:r>
        <w:rPr>
          <w:rFonts w:ascii="Arial" w:hAnsi="Arial" w:cs="Arial"/>
          <w:color w:val="000000"/>
        </w:rPr>
        <w:t>Due to seasonal variations, train and t</w:t>
      </w:r>
      <w:r w:rsidRPr="00F51CC9">
        <w:rPr>
          <w:rFonts w:ascii="Arial" w:hAnsi="Arial" w:cs="Arial"/>
          <w:color w:val="000000"/>
        </w:rPr>
        <w:t xml:space="preserve">ram </w:t>
      </w:r>
      <w:r>
        <w:rPr>
          <w:rFonts w:ascii="Arial" w:hAnsi="Arial" w:cs="Arial"/>
          <w:color w:val="000000"/>
        </w:rPr>
        <w:t>l</w:t>
      </w:r>
      <w:r w:rsidRPr="00F51CC9">
        <w:rPr>
          <w:rFonts w:ascii="Arial" w:hAnsi="Arial" w:cs="Arial"/>
          <w:color w:val="000000"/>
        </w:rPr>
        <w:t xml:space="preserve">oad </w:t>
      </w:r>
      <w:r>
        <w:rPr>
          <w:rFonts w:ascii="Arial" w:hAnsi="Arial" w:cs="Arial"/>
          <w:color w:val="000000"/>
        </w:rPr>
        <w:t>s</w:t>
      </w:r>
      <w:r w:rsidRPr="00F51CC9">
        <w:rPr>
          <w:rFonts w:ascii="Arial" w:hAnsi="Arial" w:cs="Arial"/>
          <w:color w:val="000000"/>
        </w:rPr>
        <w:t xml:space="preserve">tandard </w:t>
      </w:r>
      <w:r>
        <w:rPr>
          <w:rFonts w:ascii="Arial" w:hAnsi="Arial" w:cs="Arial"/>
          <w:color w:val="000000"/>
        </w:rPr>
        <w:t>s</w:t>
      </w:r>
      <w:r w:rsidRPr="00F51CC9">
        <w:rPr>
          <w:rFonts w:ascii="Arial" w:hAnsi="Arial" w:cs="Arial"/>
          <w:color w:val="000000"/>
        </w:rPr>
        <w:t>urveys are compared over a full year</w:t>
      </w:r>
      <w:r>
        <w:rPr>
          <w:rFonts w:ascii="Arial" w:hAnsi="Arial" w:cs="Arial"/>
          <w:color w:val="000000"/>
        </w:rPr>
        <w:t>.</w:t>
      </w:r>
    </w:p>
    <w:p w:rsidR="00031F61" w:rsidRDefault="00031F61" w:rsidP="00CA287F">
      <w:pPr>
        <w:rPr>
          <w:rFonts w:ascii="Arial" w:hAnsi="Arial" w:cs="Arial"/>
          <w:sz w:val="20"/>
          <w:szCs w:val="20"/>
        </w:rPr>
      </w:pPr>
    </w:p>
    <w:p w:rsidR="00D7428B" w:rsidRPr="00F51CC9" w:rsidRDefault="00D7428B" w:rsidP="00ED42C3">
      <w:pPr>
        <w:pStyle w:val="Heading20"/>
      </w:pPr>
      <w:r w:rsidRPr="00F51CC9">
        <w:t>Metropolitan train</w:t>
      </w:r>
    </w:p>
    <w:p w:rsidR="000A3BDE" w:rsidRDefault="000A3BDE" w:rsidP="00CA287F">
      <w:pPr>
        <w:rPr>
          <w:rFonts w:ascii="Arial" w:hAnsi="Arial" w:cs="Arial"/>
        </w:rPr>
      </w:pPr>
      <w:r>
        <w:rPr>
          <w:rFonts w:ascii="Arial" w:hAnsi="Arial" w:cs="Arial"/>
        </w:rPr>
        <w:t>The</w:t>
      </w:r>
      <w:r w:rsidRPr="00F51CC9">
        <w:rPr>
          <w:rFonts w:ascii="Arial" w:hAnsi="Arial" w:cs="Arial"/>
        </w:rPr>
        <w:t xml:space="preserve"> October 2012 Metropolitan Train Load Standard Survey recorded a total of seven peak period </w:t>
      </w:r>
      <w:r>
        <w:rPr>
          <w:rFonts w:ascii="Arial" w:hAnsi="Arial" w:cs="Arial"/>
        </w:rPr>
        <w:t>r</w:t>
      </w:r>
      <w:r w:rsidRPr="00F51CC9">
        <w:rPr>
          <w:rFonts w:ascii="Arial" w:hAnsi="Arial" w:cs="Arial"/>
        </w:rPr>
        <w:t xml:space="preserve">olling </w:t>
      </w:r>
      <w:r>
        <w:rPr>
          <w:rFonts w:ascii="Arial" w:hAnsi="Arial" w:cs="Arial"/>
        </w:rPr>
        <w:t>h</w:t>
      </w:r>
      <w:r w:rsidRPr="00F51CC9">
        <w:rPr>
          <w:rFonts w:ascii="Arial" w:hAnsi="Arial" w:cs="Arial"/>
        </w:rPr>
        <w:t xml:space="preserve">our </w:t>
      </w:r>
      <w:r>
        <w:rPr>
          <w:rFonts w:ascii="Arial" w:hAnsi="Arial" w:cs="Arial"/>
        </w:rPr>
        <w:t>b</w:t>
      </w:r>
      <w:r w:rsidRPr="00F51CC9">
        <w:rPr>
          <w:rFonts w:ascii="Arial" w:hAnsi="Arial" w:cs="Arial"/>
        </w:rPr>
        <w:t xml:space="preserve">reaches, where peak passenger loads exceeded the load standard benchmark. This is up from a total of six peak period </w:t>
      </w:r>
      <w:r>
        <w:rPr>
          <w:rFonts w:ascii="Arial" w:hAnsi="Arial" w:cs="Arial"/>
        </w:rPr>
        <w:t>r</w:t>
      </w:r>
      <w:r w:rsidRPr="00F51CC9">
        <w:rPr>
          <w:rFonts w:ascii="Arial" w:hAnsi="Arial" w:cs="Arial"/>
        </w:rPr>
        <w:t xml:space="preserve">olling </w:t>
      </w:r>
      <w:r>
        <w:rPr>
          <w:rFonts w:ascii="Arial" w:hAnsi="Arial" w:cs="Arial"/>
        </w:rPr>
        <w:t>h</w:t>
      </w:r>
      <w:r w:rsidRPr="00F51CC9">
        <w:rPr>
          <w:rFonts w:ascii="Arial" w:hAnsi="Arial" w:cs="Arial"/>
        </w:rPr>
        <w:t xml:space="preserve">our </w:t>
      </w:r>
      <w:r>
        <w:rPr>
          <w:rFonts w:ascii="Arial" w:hAnsi="Arial" w:cs="Arial"/>
        </w:rPr>
        <w:t>b</w:t>
      </w:r>
      <w:r w:rsidRPr="00F51CC9">
        <w:rPr>
          <w:rFonts w:ascii="Arial" w:hAnsi="Arial" w:cs="Arial"/>
        </w:rPr>
        <w:t>reaches recorded in October 2011</w:t>
      </w:r>
      <w:r>
        <w:rPr>
          <w:rFonts w:ascii="Arial" w:hAnsi="Arial" w:cs="Arial"/>
        </w:rPr>
        <w:t>.</w:t>
      </w:r>
    </w:p>
    <w:p w:rsidR="000A3BDE" w:rsidRPr="00F51CC9" w:rsidRDefault="000A3BDE" w:rsidP="00CA287F">
      <w:pPr>
        <w:rPr>
          <w:rFonts w:ascii="Arial" w:hAnsi="Arial" w:cs="Arial"/>
        </w:rPr>
      </w:pPr>
    </w:p>
    <w:p w:rsidR="000A3BDE" w:rsidRPr="00F51CC9" w:rsidRDefault="000A3BDE" w:rsidP="00CA287F">
      <w:pPr>
        <w:rPr>
          <w:rFonts w:ascii="Arial" w:hAnsi="Arial" w:cs="Arial"/>
        </w:rPr>
      </w:pPr>
    </w:p>
    <w:tbl>
      <w:tblPr>
        <w:tblW w:w="2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37"/>
        <w:gridCol w:w="1335"/>
      </w:tblGrid>
      <w:tr w:rsidR="000A3BDE" w:rsidRPr="00F51CC9" w:rsidTr="000A3BDE">
        <w:trPr>
          <w:jc w:val="center"/>
        </w:trPr>
        <w:tc>
          <w:tcPr>
            <w:tcW w:w="1468" w:type="pct"/>
            <w:shd w:val="clear" w:color="auto" w:fill="auto"/>
          </w:tcPr>
          <w:p w:rsidR="000A3BDE" w:rsidRPr="00F51CC9" w:rsidRDefault="000A3BDE" w:rsidP="00CA287F">
            <w:pPr>
              <w:rPr>
                <w:rFonts w:ascii="Arial" w:hAnsi="Arial" w:cs="Arial"/>
                <w:b/>
              </w:rPr>
            </w:pPr>
          </w:p>
        </w:tc>
        <w:tc>
          <w:tcPr>
            <w:tcW w:w="1997" w:type="pct"/>
            <w:shd w:val="clear" w:color="auto" w:fill="auto"/>
          </w:tcPr>
          <w:p w:rsidR="000A3BDE" w:rsidRPr="00F51CC9" w:rsidRDefault="000A3BDE" w:rsidP="00CA287F">
            <w:pPr>
              <w:rPr>
                <w:rFonts w:ascii="Arial" w:hAnsi="Arial" w:cs="Arial"/>
                <w:b/>
              </w:rPr>
            </w:pPr>
            <w:r w:rsidRPr="00F51CC9">
              <w:rPr>
                <w:rFonts w:ascii="Arial" w:hAnsi="Arial" w:cs="Arial"/>
                <w:b/>
              </w:rPr>
              <w:t>October 201</w:t>
            </w:r>
            <w:r>
              <w:rPr>
                <w:rFonts w:ascii="Arial" w:hAnsi="Arial" w:cs="Arial"/>
                <w:b/>
              </w:rPr>
              <w:t>1</w:t>
            </w:r>
          </w:p>
        </w:tc>
        <w:tc>
          <w:tcPr>
            <w:tcW w:w="1536" w:type="pct"/>
          </w:tcPr>
          <w:p w:rsidR="000A3BDE" w:rsidRPr="00F51CC9" w:rsidRDefault="000A3BDE" w:rsidP="00CA287F">
            <w:pPr>
              <w:rPr>
                <w:rFonts w:ascii="Arial" w:hAnsi="Arial" w:cs="Arial"/>
                <w:b/>
              </w:rPr>
            </w:pPr>
            <w:r>
              <w:rPr>
                <w:rFonts w:ascii="Arial" w:hAnsi="Arial" w:cs="Arial"/>
                <w:b/>
              </w:rPr>
              <w:t>October 2012</w:t>
            </w:r>
          </w:p>
        </w:tc>
      </w:tr>
      <w:tr w:rsidR="000A3BDE" w:rsidRPr="00F51CC9" w:rsidTr="000A3BDE">
        <w:trPr>
          <w:jc w:val="center"/>
        </w:trPr>
        <w:tc>
          <w:tcPr>
            <w:tcW w:w="1468" w:type="pct"/>
            <w:shd w:val="clear" w:color="auto" w:fill="auto"/>
          </w:tcPr>
          <w:p w:rsidR="000A3BDE" w:rsidRPr="00F51CC9" w:rsidRDefault="000A3BDE" w:rsidP="00CA287F">
            <w:pPr>
              <w:rPr>
                <w:rFonts w:ascii="Arial" w:hAnsi="Arial" w:cs="Arial"/>
              </w:rPr>
            </w:pPr>
            <w:r w:rsidRPr="00F51CC9">
              <w:rPr>
                <w:rFonts w:ascii="Arial" w:hAnsi="Arial" w:cs="Arial"/>
              </w:rPr>
              <w:t>AM</w:t>
            </w:r>
          </w:p>
        </w:tc>
        <w:tc>
          <w:tcPr>
            <w:tcW w:w="1997" w:type="pct"/>
            <w:shd w:val="clear" w:color="auto" w:fill="auto"/>
          </w:tcPr>
          <w:p w:rsidR="000A3BDE" w:rsidRPr="00F51CC9" w:rsidRDefault="000A3BDE" w:rsidP="00CA287F">
            <w:pPr>
              <w:rPr>
                <w:rFonts w:ascii="Arial" w:hAnsi="Arial" w:cs="Arial"/>
              </w:rPr>
            </w:pPr>
            <w:r w:rsidRPr="00F51CC9">
              <w:rPr>
                <w:rFonts w:ascii="Arial" w:hAnsi="Arial" w:cs="Arial"/>
              </w:rPr>
              <w:t>4</w:t>
            </w:r>
          </w:p>
        </w:tc>
        <w:tc>
          <w:tcPr>
            <w:tcW w:w="1536" w:type="pct"/>
          </w:tcPr>
          <w:p w:rsidR="000A3BDE" w:rsidRPr="00F51CC9" w:rsidRDefault="000A3BDE" w:rsidP="00CA287F">
            <w:pPr>
              <w:rPr>
                <w:rFonts w:ascii="Arial" w:hAnsi="Arial" w:cs="Arial"/>
              </w:rPr>
            </w:pPr>
            <w:r>
              <w:rPr>
                <w:rFonts w:ascii="Arial" w:hAnsi="Arial" w:cs="Arial"/>
              </w:rPr>
              <w:t>4</w:t>
            </w:r>
          </w:p>
        </w:tc>
      </w:tr>
      <w:tr w:rsidR="000A3BDE" w:rsidRPr="00F51CC9" w:rsidTr="000A3BDE">
        <w:trPr>
          <w:jc w:val="center"/>
        </w:trPr>
        <w:tc>
          <w:tcPr>
            <w:tcW w:w="1468" w:type="pct"/>
            <w:shd w:val="clear" w:color="auto" w:fill="auto"/>
          </w:tcPr>
          <w:p w:rsidR="000A3BDE" w:rsidRPr="00F51CC9" w:rsidRDefault="000A3BDE" w:rsidP="00CA287F">
            <w:pPr>
              <w:rPr>
                <w:rFonts w:ascii="Arial" w:hAnsi="Arial" w:cs="Arial"/>
              </w:rPr>
            </w:pPr>
            <w:r w:rsidRPr="00F51CC9">
              <w:rPr>
                <w:rFonts w:ascii="Arial" w:hAnsi="Arial" w:cs="Arial"/>
              </w:rPr>
              <w:t>PM</w:t>
            </w:r>
          </w:p>
        </w:tc>
        <w:tc>
          <w:tcPr>
            <w:tcW w:w="1997" w:type="pct"/>
            <w:shd w:val="clear" w:color="auto" w:fill="auto"/>
          </w:tcPr>
          <w:p w:rsidR="000A3BDE" w:rsidRPr="00F51CC9" w:rsidRDefault="000A3BDE" w:rsidP="00CA287F">
            <w:pPr>
              <w:rPr>
                <w:rFonts w:ascii="Arial" w:hAnsi="Arial" w:cs="Arial"/>
              </w:rPr>
            </w:pPr>
            <w:r>
              <w:rPr>
                <w:rFonts w:ascii="Arial" w:hAnsi="Arial" w:cs="Arial"/>
              </w:rPr>
              <w:t>2</w:t>
            </w:r>
          </w:p>
        </w:tc>
        <w:tc>
          <w:tcPr>
            <w:tcW w:w="1536" w:type="pct"/>
          </w:tcPr>
          <w:p w:rsidR="000A3BDE" w:rsidRPr="00F51CC9" w:rsidRDefault="000A3BDE" w:rsidP="00CA287F">
            <w:pPr>
              <w:rPr>
                <w:rFonts w:ascii="Arial" w:hAnsi="Arial" w:cs="Arial"/>
              </w:rPr>
            </w:pPr>
            <w:r>
              <w:rPr>
                <w:rFonts w:ascii="Arial" w:hAnsi="Arial" w:cs="Arial"/>
              </w:rPr>
              <w:t>3</w:t>
            </w:r>
          </w:p>
        </w:tc>
      </w:tr>
      <w:tr w:rsidR="000A3BDE" w:rsidRPr="00F51CC9" w:rsidTr="000A3BDE">
        <w:trPr>
          <w:jc w:val="center"/>
        </w:trPr>
        <w:tc>
          <w:tcPr>
            <w:tcW w:w="1468" w:type="pct"/>
            <w:shd w:val="clear" w:color="auto" w:fill="auto"/>
          </w:tcPr>
          <w:p w:rsidR="000A3BDE" w:rsidRPr="00F51CC9" w:rsidRDefault="000A3BDE" w:rsidP="00CA287F">
            <w:pPr>
              <w:rPr>
                <w:rFonts w:ascii="Arial" w:hAnsi="Arial" w:cs="Arial"/>
              </w:rPr>
            </w:pPr>
            <w:r w:rsidRPr="00F51CC9">
              <w:rPr>
                <w:rFonts w:ascii="Arial" w:hAnsi="Arial" w:cs="Arial"/>
              </w:rPr>
              <w:t>Total</w:t>
            </w:r>
          </w:p>
        </w:tc>
        <w:tc>
          <w:tcPr>
            <w:tcW w:w="1997" w:type="pct"/>
            <w:shd w:val="clear" w:color="auto" w:fill="auto"/>
          </w:tcPr>
          <w:p w:rsidR="000A3BDE" w:rsidRPr="00F51CC9" w:rsidRDefault="000A3BDE" w:rsidP="00CA287F">
            <w:pPr>
              <w:rPr>
                <w:rFonts w:ascii="Arial" w:hAnsi="Arial" w:cs="Arial"/>
              </w:rPr>
            </w:pPr>
            <w:r>
              <w:rPr>
                <w:rFonts w:ascii="Arial" w:hAnsi="Arial" w:cs="Arial"/>
              </w:rPr>
              <w:t>6</w:t>
            </w:r>
          </w:p>
        </w:tc>
        <w:tc>
          <w:tcPr>
            <w:tcW w:w="1536" w:type="pct"/>
          </w:tcPr>
          <w:p w:rsidR="000A3BDE" w:rsidRPr="00F51CC9" w:rsidRDefault="000A3BDE" w:rsidP="00CA287F">
            <w:pPr>
              <w:rPr>
                <w:rFonts w:ascii="Arial" w:hAnsi="Arial" w:cs="Arial"/>
              </w:rPr>
            </w:pPr>
            <w:r>
              <w:rPr>
                <w:rFonts w:ascii="Arial" w:hAnsi="Arial" w:cs="Arial"/>
              </w:rPr>
              <w:t>7</w:t>
            </w:r>
          </w:p>
        </w:tc>
      </w:tr>
    </w:tbl>
    <w:p w:rsidR="000A3BDE" w:rsidRDefault="000A3BDE" w:rsidP="00CA287F">
      <w:pPr>
        <w:rPr>
          <w:rFonts w:ascii="Arial" w:hAnsi="Arial" w:cs="Arial"/>
        </w:rPr>
      </w:pPr>
    </w:p>
    <w:p w:rsidR="00D7428B" w:rsidRDefault="00057257" w:rsidP="00CA287F">
      <w:pPr>
        <w:rPr>
          <w:rFonts w:ascii="Arial" w:hAnsi="Arial" w:cs="Arial"/>
        </w:rPr>
      </w:pPr>
      <w:r>
        <w:rPr>
          <w:rFonts w:ascii="Arial" w:hAnsi="Arial" w:cs="Arial"/>
        </w:rPr>
        <w:t>The</w:t>
      </w:r>
      <w:r w:rsidRPr="00F51CC9">
        <w:rPr>
          <w:rFonts w:ascii="Arial" w:hAnsi="Arial" w:cs="Arial"/>
        </w:rPr>
        <w:t xml:space="preserve"> </w:t>
      </w:r>
      <w:r w:rsidR="00D7428B" w:rsidRPr="00F51CC9">
        <w:rPr>
          <w:rFonts w:ascii="Arial" w:hAnsi="Arial" w:cs="Arial"/>
        </w:rPr>
        <w:t xml:space="preserve">May 2013 Metropolitan Train Load Standard Survey recorded a total of </w:t>
      </w:r>
      <w:r w:rsidR="00264E70">
        <w:rPr>
          <w:rFonts w:ascii="Arial" w:hAnsi="Arial" w:cs="Arial"/>
        </w:rPr>
        <w:t>11</w:t>
      </w:r>
      <w:r w:rsidR="00264E70" w:rsidRPr="00F51CC9">
        <w:rPr>
          <w:rFonts w:ascii="Arial" w:hAnsi="Arial" w:cs="Arial"/>
        </w:rPr>
        <w:t xml:space="preserve"> </w:t>
      </w:r>
      <w:r w:rsidR="00D7428B" w:rsidRPr="00F51CC9">
        <w:rPr>
          <w:rFonts w:ascii="Arial" w:hAnsi="Arial" w:cs="Arial"/>
        </w:rPr>
        <w:t xml:space="preserve">peak period </w:t>
      </w:r>
      <w:r w:rsidR="004C60C8">
        <w:rPr>
          <w:rFonts w:ascii="Arial" w:hAnsi="Arial" w:cs="Arial"/>
        </w:rPr>
        <w:t>r</w:t>
      </w:r>
      <w:r w:rsidR="00D7428B" w:rsidRPr="00F51CC9">
        <w:rPr>
          <w:rFonts w:ascii="Arial" w:hAnsi="Arial" w:cs="Arial"/>
        </w:rPr>
        <w:t xml:space="preserve">olling </w:t>
      </w:r>
      <w:r w:rsidR="004C60C8">
        <w:rPr>
          <w:rFonts w:ascii="Arial" w:hAnsi="Arial" w:cs="Arial"/>
        </w:rPr>
        <w:t>h</w:t>
      </w:r>
      <w:r w:rsidR="00D7428B" w:rsidRPr="00F51CC9">
        <w:rPr>
          <w:rFonts w:ascii="Arial" w:hAnsi="Arial" w:cs="Arial"/>
        </w:rPr>
        <w:t xml:space="preserve">our </w:t>
      </w:r>
      <w:r w:rsidR="004C60C8">
        <w:rPr>
          <w:rFonts w:ascii="Arial" w:hAnsi="Arial" w:cs="Arial"/>
        </w:rPr>
        <w:t>b</w:t>
      </w:r>
      <w:r w:rsidR="00D7428B" w:rsidRPr="00F51CC9">
        <w:rPr>
          <w:rFonts w:ascii="Arial" w:hAnsi="Arial" w:cs="Arial"/>
        </w:rPr>
        <w:t xml:space="preserve">reaches, where peak passenger loads exceeded the load standard benchmark. This is up from a total of eight peak period </w:t>
      </w:r>
      <w:r w:rsidR="004C60C8">
        <w:rPr>
          <w:rFonts w:ascii="Arial" w:hAnsi="Arial" w:cs="Arial"/>
        </w:rPr>
        <w:t>r</w:t>
      </w:r>
      <w:r w:rsidR="00D7428B" w:rsidRPr="00F51CC9">
        <w:rPr>
          <w:rFonts w:ascii="Arial" w:hAnsi="Arial" w:cs="Arial"/>
        </w:rPr>
        <w:t xml:space="preserve">olling </w:t>
      </w:r>
      <w:r w:rsidR="004C60C8">
        <w:rPr>
          <w:rFonts w:ascii="Arial" w:hAnsi="Arial" w:cs="Arial"/>
        </w:rPr>
        <w:t>h</w:t>
      </w:r>
      <w:r w:rsidR="00D7428B" w:rsidRPr="00F51CC9">
        <w:rPr>
          <w:rFonts w:ascii="Arial" w:hAnsi="Arial" w:cs="Arial"/>
        </w:rPr>
        <w:t xml:space="preserve">our </w:t>
      </w:r>
      <w:r w:rsidR="004C60C8">
        <w:rPr>
          <w:rFonts w:ascii="Arial" w:hAnsi="Arial" w:cs="Arial"/>
        </w:rPr>
        <w:t>b</w:t>
      </w:r>
      <w:r w:rsidR="00D7428B" w:rsidRPr="00F51CC9">
        <w:rPr>
          <w:rFonts w:ascii="Arial" w:hAnsi="Arial" w:cs="Arial"/>
        </w:rPr>
        <w:t>reaches recorded in May 2012.</w:t>
      </w:r>
    </w:p>
    <w:p w:rsidR="00264E70" w:rsidRDefault="00264E70" w:rsidP="00CA287F">
      <w:pPr>
        <w:rPr>
          <w:rFonts w:ascii="Arial" w:hAnsi="Arial" w:cs="Arial"/>
        </w:rPr>
      </w:pPr>
    </w:p>
    <w:p w:rsidR="000A3BDE" w:rsidRPr="00F51CC9" w:rsidRDefault="000A3BDE" w:rsidP="00CA287F">
      <w:pPr>
        <w:rPr>
          <w:rFonts w:ascii="Arial" w:hAnsi="Arial" w:cs="Arial"/>
        </w:rPr>
      </w:pPr>
    </w:p>
    <w:tbl>
      <w:tblPr>
        <w:tblW w:w="2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37"/>
        <w:gridCol w:w="1335"/>
      </w:tblGrid>
      <w:tr w:rsidR="000A3BDE" w:rsidRPr="00F51CC9" w:rsidTr="000A3BDE">
        <w:trPr>
          <w:jc w:val="center"/>
        </w:trPr>
        <w:tc>
          <w:tcPr>
            <w:tcW w:w="1468" w:type="pct"/>
            <w:shd w:val="clear" w:color="auto" w:fill="auto"/>
          </w:tcPr>
          <w:p w:rsidR="000A3BDE" w:rsidRPr="00F51CC9" w:rsidRDefault="000A3BDE" w:rsidP="00CA287F">
            <w:pPr>
              <w:rPr>
                <w:rFonts w:ascii="Arial" w:hAnsi="Arial" w:cs="Arial"/>
                <w:b/>
              </w:rPr>
            </w:pPr>
          </w:p>
        </w:tc>
        <w:tc>
          <w:tcPr>
            <w:tcW w:w="1997" w:type="pct"/>
            <w:shd w:val="clear" w:color="auto" w:fill="auto"/>
          </w:tcPr>
          <w:p w:rsidR="000A3BDE" w:rsidRPr="00F51CC9" w:rsidRDefault="000A3BDE" w:rsidP="00CA287F">
            <w:pPr>
              <w:rPr>
                <w:rFonts w:ascii="Arial" w:hAnsi="Arial" w:cs="Arial"/>
                <w:b/>
              </w:rPr>
            </w:pPr>
            <w:r>
              <w:rPr>
                <w:rFonts w:ascii="Arial" w:hAnsi="Arial" w:cs="Arial"/>
                <w:b/>
              </w:rPr>
              <w:t>May</w:t>
            </w:r>
            <w:r w:rsidRPr="00F51CC9">
              <w:rPr>
                <w:rFonts w:ascii="Arial" w:hAnsi="Arial" w:cs="Arial"/>
                <w:b/>
              </w:rPr>
              <w:t xml:space="preserve"> 2012</w:t>
            </w:r>
          </w:p>
        </w:tc>
        <w:tc>
          <w:tcPr>
            <w:tcW w:w="1536" w:type="pct"/>
          </w:tcPr>
          <w:p w:rsidR="000A3BDE" w:rsidRPr="00F51CC9" w:rsidRDefault="000A3BDE" w:rsidP="00CA287F">
            <w:pPr>
              <w:rPr>
                <w:rFonts w:ascii="Arial" w:hAnsi="Arial" w:cs="Arial"/>
                <w:b/>
              </w:rPr>
            </w:pPr>
            <w:r w:rsidRPr="00F51CC9">
              <w:rPr>
                <w:rFonts w:ascii="Arial" w:hAnsi="Arial" w:cs="Arial"/>
                <w:b/>
              </w:rPr>
              <w:t>May 2013</w:t>
            </w:r>
          </w:p>
        </w:tc>
      </w:tr>
      <w:tr w:rsidR="000A3BDE" w:rsidRPr="00F51CC9" w:rsidTr="000A3BDE">
        <w:trPr>
          <w:jc w:val="center"/>
        </w:trPr>
        <w:tc>
          <w:tcPr>
            <w:tcW w:w="1468" w:type="pct"/>
            <w:shd w:val="clear" w:color="auto" w:fill="auto"/>
          </w:tcPr>
          <w:p w:rsidR="000A3BDE" w:rsidRPr="00F51CC9" w:rsidRDefault="000A3BDE" w:rsidP="00CA287F">
            <w:pPr>
              <w:rPr>
                <w:rFonts w:ascii="Arial" w:hAnsi="Arial" w:cs="Arial"/>
              </w:rPr>
            </w:pPr>
            <w:r w:rsidRPr="00F51CC9">
              <w:rPr>
                <w:rFonts w:ascii="Arial" w:hAnsi="Arial" w:cs="Arial"/>
              </w:rPr>
              <w:t>AM</w:t>
            </w:r>
          </w:p>
        </w:tc>
        <w:tc>
          <w:tcPr>
            <w:tcW w:w="1997" w:type="pct"/>
            <w:shd w:val="clear" w:color="auto" w:fill="auto"/>
          </w:tcPr>
          <w:p w:rsidR="000A3BDE" w:rsidRPr="00F51CC9" w:rsidRDefault="000A3BDE" w:rsidP="00CA287F">
            <w:pPr>
              <w:rPr>
                <w:rFonts w:ascii="Arial" w:hAnsi="Arial" w:cs="Arial"/>
              </w:rPr>
            </w:pPr>
            <w:r>
              <w:rPr>
                <w:rFonts w:ascii="Arial" w:hAnsi="Arial" w:cs="Arial"/>
              </w:rPr>
              <w:t>3</w:t>
            </w:r>
          </w:p>
        </w:tc>
        <w:tc>
          <w:tcPr>
            <w:tcW w:w="1536" w:type="pct"/>
          </w:tcPr>
          <w:p w:rsidR="000A3BDE" w:rsidRPr="00F51CC9" w:rsidRDefault="000A3BDE" w:rsidP="00CA287F">
            <w:pPr>
              <w:rPr>
                <w:rFonts w:ascii="Arial" w:hAnsi="Arial" w:cs="Arial"/>
              </w:rPr>
            </w:pPr>
            <w:r w:rsidRPr="00F51CC9">
              <w:rPr>
                <w:rFonts w:ascii="Arial" w:hAnsi="Arial" w:cs="Arial"/>
              </w:rPr>
              <w:t>5</w:t>
            </w:r>
          </w:p>
        </w:tc>
      </w:tr>
      <w:tr w:rsidR="000A3BDE" w:rsidRPr="00F51CC9" w:rsidTr="000A3BDE">
        <w:trPr>
          <w:jc w:val="center"/>
        </w:trPr>
        <w:tc>
          <w:tcPr>
            <w:tcW w:w="1468" w:type="pct"/>
            <w:shd w:val="clear" w:color="auto" w:fill="auto"/>
          </w:tcPr>
          <w:p w:rsidR="000A3BDE" w:rsidRPr="00F51CC9" w:rsidRDefault="000A3BDE" w:rsidP="00CA287F">
            <w:pPr>
              <w:rPr>
                <w:rFonts w:ascii="Arial" w:hAnsi="Arial" w:cs="Arial"/>
              </w:rPr>
            </w:pPr>
            <w:r w:rsidRPr="00F51CC9">
              <w:rPr>
                <w:rFonts w:ascii="Arial" w:hAnsi="Arial" w:cs="Arial"/>
              </w:rPr>
              <w:t>PM</w:t>
            </w:r>
          </w:p>
        </w:tc>
        <w:tc>
          <w:tcPr>
            <w:tcW w:w="1997" w:type="pct"/>
            <w:shd w:val="clear" w:color="auto" w:fill="auto"/>
          </w:tcPr>
          <w:p w:rsidR="000A3BDE" w:rsidRPr="00F51CC9" w:rsidRDefault="000A3BDE" w:rsidP="00CA287F">
            <w:pPr>
              <w:rPr>
                <w:rFonts w:ascii="Arial" w:hAnsi="Arial" w:cs="Arial"/>
              </w:rPr>
            </w:pPr>
            <w:r>
              <w:rPr>
                <w:rFonts w:ascii="Arial" w:hAnsi="Arial" w:cs="Arial"/>
              </w:rPr>
              <w:t>5</w:t>
            </w:r>
          </w:p>
        </w:tc>
        <w:tc>
          <w:tcPr>
            <w:tcW w:w="1536" w:type="pct"/>
          </w:tcPr>
          <w:p w:rsidR="000A3BDE" w:rsidRPr="00F51CC9" w:rsidRDefault="000A3BDE" w:rsidP="00CA287F">
            <w:pPr>
              <w:rPr>
                <w:rFonts w:ascii="Arial" w:hAnsi="Arial" w:cs="Arial"/>
              </w:rPr>
            </w:pPr>
            <w:r w:rsidRPr="00F51CC9">
              <w:rPr>
                <w:rFonts w:ascii="Arial" w:hAnsi="Arial" w:cs="Arial"/>
              </w:rPr>
              <w:t>6</w:t>
            </w:r>
          </w:p>
        </w:tc>
      </w:tr>
      <w:tr w:rsidR="000A3BDE" w:rsidRPr="00F51CC9" w:rsidTr="000A3BDE">
        <w:trPr>
          <w:jc w:val="center"/>
        </w:trPr>
        <w:tc>
          <w:tcPr>
            <w:tcW w:w="1468" w:type="pct"/>
            <w:shd w:val="clear" w:color="auto" w:fill="auto"/>
          </w:tcPr>
          <w:p w:rsidR="000A3BDE" w:rsidRPr="00F51CC9" w:rsidRDefault="000A3BDE" w:rsidP="00CA287F">
            <w:pPr>
              <w:rPr>
                <w:rFonts w:ascii="Arial" w:hAnsi="Arial" w:cs="Arial"/>
              </w:rPr>
            </w:pPr>
            <w:r w:rsidRPr="00F51CC9">
              <w:rPr>
                <w:rFonts w:ascii="Arial" w:hAnsi="Arial" w:cs="Arial"/>
              </w:rPr>
              <w:t>Total</w:t>
            </w:r>
          </w:p>
        </w:tc>
        <w:tc>
          <w:tcPr>
            <w:tcW w:w="1997" w:type="pct"/>
            <w:shd w:val="clear" w:color="auto" w:fill="auto"/>
          </w:tcPr>
          <w:p w:rsidR="000A3BDE" w:rsidRPr="00F51CC9" w:rsidRDefault="000A3BDE" w:rsidP="00CA287F">
            <w:pPr>
              <w:rPr>
                <w:rFonts w:ascii="Arial" w:hAnsi="Arial" w:cs="Arial"/>
              </w:rPr>
            </w:pPr>
            <w:r>
              <w:rPr>
                <w:rFonts w:ascii="Arial" w:hAnsi="Arial" w:cs="Arial"/>
              </w:rPr>
              <w:t>8</w:t>
            </w:r>
          </w:p>
        </w:tc>
        <w:tc>
          <w:tcPr>
            <w:tcW w:w="1536" w:type="pct"/>
          </w:tcPr>
          <w:p w:rsidR="000A3BDE" w:rsidRPr="00F51CC9" w:rsidRDefault="000A3BDE" w:rsidP="00CA287F">
            <w:pPr>
              <w:rPr>
                <w:rFonts w:ascii="Arial" w:hAnsi="Arial" w:cs="Arial"/>
              </w:rPr>
            </w:pPr>
            <w:r w:rsidRPr="00F51CC9">
              <w:rPr>
                <w:rFonts w:ascii="Arial" w:hAnsi="Arial" w:cs="Arial"/>
              </w:rPr>
              <w:t>11</w:t>
            </w:r>
          </w:p>
        </w:tc>
      </w:tr>
    </w:tbl>
    <w:p w:rsidR="000A3BDE" w:rsidRPr="00F51CC9" w:rsidRDefault="000A3BDE" w:rsidP="00CA287F">
      <w:pPr>
        <w:rPr>
          <w:rFonts w:ascii="Arial" w:hAnsi="Arial" w:cs="Arial"/>
        </w:rPr>
      </w:pPr>
    </w:p>
    <w:p w:rsidR="000A3BDE" w:rsidRDefault="000A3BDE" w:rsidP="00CA287F">
      <w:pPr>
        <w:rPr>
          <w:rFonts w:ascii="Arial" w:hAnsi="Arial" w:cs="Arial"/>
        </w:rPr>
      </w:pPr>
    </w:p>
    <w:p w:rsidR="000A3BDE" w:rsidRPr="00F51CC9" w:rsidRDefault="000A3BDE" w:rsidP="00CA287F">
      <w:pPr>
        <w:rPr>
          <w:rFonts w:ascii="Arial" w:hAnsi="Arial" w:cs="Arial"/>
        </w:rPr>
      </w:pPr>
    </w:p>
    <w:p w:rsidR="00D7428B" w:rsidRPr="00F51CC9" w:rsidRDefault="00D7428B" w:rsidP="00CA287F">
      <w:pPr>
        <w:rPr>
          <w:rFonts w:ascii="Arial" w:hAnsi="Arial" w:cs="Arial"/>
        </w:rPr>
      </w:pPr>
    </w:p>
    <w:p w:rsidR="00D7428B" w:rsidRPr="00F51CC9" w:rsidRDefault="00D7428B" w:rsidP="00CA287F">
      <w:pPr>
        <w:rPr>
          <w:rFonts w:ascii="Arial" w:hAnsi="Arial" w:cs="Arial"/>
        </w:rPr>
      </w:pPr>
      <w:r w:rsidRPr="00F51CC9">
        <w:rPr>
          <w:rFonts w:ascii="Arial" w:hAnsi="Arial" w:cs="Arial"/>
        </w:rPr>
        <w:t>In the 12 months to May 2013 an additional 20 weekday metropolitan train services were introduced in the peak periods. This represents a 3.8 per cent increase in services run in the peak period</w:t>
      </w:r>
      <w:r w:rsidR="004C60C8">
        <w:rPr>
          <w:rFonts w:ascii="Arial" w:hAnsi="Arial" w:cs="Arial"/>
        </w:rPr>
        <w:t>s</w:t>
      </w:r>
      <w:r w:rsidRPr="00F51CC9">
        <w:rPr>
          <w:rFonts w:ascii="Arial" w:hAnsi="Arial" w:cs="Arial"/>
        </w:rPr>
        <w:t>.</w:t>
      </w:r>
    </w:p>
    <w:p w:rsidR="00031F61" w:rsidRDefault="00031F61" w:rsidP="00CA287F">
      <w:pPr>
        <w:rPr>
          <w:rFonts w:ascii="Arial" w:hAnsi="Arial" w:cs="Arial"/>
          <w:sz w:val="20"/>
          <w:szCs w:val="20"/>
        </w:rPr>
      </w:pPr>
    </w:p>
    <w:p w:rsidR="00D7428B" w:rsidRPr="00F51CC9" w:rsidRDefault="00D7428B" w:rsidP="00ED42C3">
      <w:pPr>
        <w:pStyle w:val="Heading20"/>
      </w:pPr>
      <w:r w:rsidRPr="00F51CC9">
        <w:t>Tram</w:t>
      </w:r>
    </w:p>
    <w:p w:rsidR="00D7428B" w:rsidRDefault="00D7428B" w:rsidP="00CA287F">
      <w:pPr>
        <w:rPr>
          <w:rFonts w:ascii="Arial" w:hAnsi="Arial" w:cs="Arial"/>
          <w:color w:val="000000"/>
        </w:rPr>
      </w:pPr>
      <w:r w:rsidRPr="00F51CC9">
        <w:rPr>
          <w:rFonts w:ascii="Arial" w:hAnsi="Arial" w:cs="Arial"/>
          <w:color w:val="000000"/>
        </w:rPr>
        <w:t xml:space="preserve">There are </w:t>
      </w:r>
      <w:r w:rsidR="002E248E">
        <w:rPr>
          <w:rFonts w:ascii="Arial" w:hAnsi="Arial" w:cs="Arial"/>
          <w:color w:val="000000"/>
        </w:rPr>
        <w:t>12</w:t>
      </w:r>
      <w:r w:rsidRPr="00F51CC9">
        <w:rPr>
          <w:rFonts w:ascii="Arial" w:hAnsi="Arial" w:cs="Arial"/>
          <w:color w:val="000000"/>
        </w:rPr>
        <w:t xml:space="preserve"> cordon locations that have been surveyed in each </w:t>
      </w:r>
      <w:r w:rsidR="00761936">
        <w:rPr>
          <w:rFonts w:ascii="Arial" w:hAnsi="Arial" w:cs="Arial"/>
          <w:color w:val="000000"/>
        </w:rPr>
        <w:t xml:space="preserve">of </w:t>
      </w:r>
      <w:r w:rsidRPr="00F51CC9">
        <w:rPr>
          <w:rFonts w:ascii="Arial" w:hAnsi="Arial" w:cs="Arial"/>
          <w:color w:val="000000"/>
        </w:rPr>
        <w:t xml:space="preserve">the last four Tram Load Standard Surveys. Of these </w:t>
      </w:r>
      <w:r w:rsidR="00264E70">
        <w:rPr>
          <w:rFonts w:ascii="Arial" w:hAnsi="Arial" w:cs="Arial"/>
          <w:color w:val="000000"/>
        </w:rPr>
        <w:t>12</w:t>
      </w:r>
      <w:r w:rsidR="00264E70" w:rsidRPr="00F51CC9">
        <w:rPr>
          <w:rFonts w:ascii="Arial" w:hAnsi="Arial" w:cs="Arial"/>
          <w:color w:val="000000"/>
        </w:rPr>
        <w:t xml:space="preserve"> </w:t>
      </w:r>
      <w:r w:rsidRPr="00F51CC9">
        <w:rPr>
          <w:rFonts w:ascii="Arial" w:hAnsi="Arial" w:cs="Arial"/>
          <w:color w:val="000000"/>
        </w:rPr>
        <w:t xml:space="preserve">locations, eight locations have recorded one or more rolling hour breaches, or average loads above desired standards, during one or more surveys. </w:t>
      </w:r>
    </w:p>
    <w:p w:rsidR="00264E70" w:rsidRPr="00F51CC9" w:rsidRDefault="00264E70" w:rsidP="00CA287F">
      <w:pPr>
        <w:rPr>
          <w:rFonts w:ascii="Arial" w:hAnsi="Arial" w:cs="Arial"/>
          <w:color w:val="000000"/>
        </w:rPr>
      </w:pPr>
    </w:p>
    <w:p w:rsidR="00D7428B" w:rsidRPr="00F51CC9" w:rsidRDefault="00D7428B" w:rsidP="00CA287F">
      <w:pPr>
        <w:rPr>
          <w:rFonts w:ascii="Arial" w:hAnsi="Arial" w:cs="Arial"/>
          <w:color w:val="000000"/>
        </w:rPr>
      </w:pPr>
      <w:r w:rsidRPr="00F51CC9">
        <w:rPr>
          <w:rFonts w:ascii="Arial" w:hAnsi="Arial" w:cs="Arial"/>
          <w:color w:val="000000"/>
        </w:rPr>
        <w:t xml:space="preserve">There was a decrease from </w:t>
      </w:r>
      <w:r w:rsidR="002E248E">
        <w:rPr>
          <w:rFonts w:ascii="Arial" w:hAnsi="Arial" w:cs="Arial"/>
          <w:color w:val="000000"/>
        </w:rPr>
        <w:t>16</w:t>
      </w:r>
      <w:r w:rsidR="002E248E" w:rsidRPr="00F51CC9">
        <w:rPr>
          <w:rFonts w:ascii="Arial" w:hAnsi="Arial" w:cs="Arial"/>
          <w:color w:val="000000"/>
        </w:rPr>
        <w:t xml:space="preserve"> </w:t>
      </w:r>
      <w:r w:rsidRPr="00F51CC9">
        <w:rPr>
          <w:rFonts w:ascii="Arial" w:hAnsi="Arial" w:cs="Arial"/>
          <w:color w:val="000000"/>
        </w:rPr>
        <w:t>to nine rolling hour breaches when comparing the cordon locations surveyed in October 2011 and October 2012.</w:t>
      </w:r>
    </w:p>
    <w:p w:rsidR="000A3BDE" w:rsidRDefault="000A3BDE" w:rsidP="00CA287F">
      <w:pPr>
        <w:rPr>
          <w:rFonts w:ascii="Arial" w:hAnsi="Arial" w:cs="Arial"/>
          <w:color w:val="000000"/>
        </w:rPr>
      </w:pPr>
    </w:p>
    <w:tbl>
      <w:tblPr>
        <w:tblW w:w="2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738"/>
        <w:gridCol w:w="1737"/>
      </w:tblGrid>
      <w:tr w:rsidR="000A3BDE" w:rsidRPr="00F51CC9" w:rsidTr="003E657B">
        <w:trPr>
          <w:jc w:val="center"/>
        </w:trPr>
        <w:tc>
          <w:tcPr>
            <w:tcW w:w="1343" w:type="pct"/>
            <w:shd w:val="clear" w:color="auto" w:fill="auto"/>
          </w:tcPr>
          <w:p w:rsidR="000A3BDE" w:rsidRPr="00F51CC9" w:rsidRDefault="000A3BDE" w:rsidP="00CA287F">
            <w:pPr>
              <w:rPr>
                <w:rFonts w:ascii="Arial" w:hAnsi="Arial" w:cs="Arial"/>
                <w:b/>
              </w:rPr>
            </w:pPr>
          </w:p>
        </w:tc>
        <w:tc>
          <w:tcPr>
            <w:tcW w:w="1829" w:type="pct"/>
          </w:tcPr>
          <w:p w:rsidR="000A3BDE" w:rsidRPr="00F51CC9" w:rsidRDefault="000A3BDE" w:rsidP="00CA287F">
            <w:pPr>
              <w:rPr>
                <w:rFonts w:ascii="Arial" w:hAnsi="Arial" w:cs="Arial"/>
                <w:b/>
              </w:rPr>
            </w:pPr>
            <w:r>
              <w:rPr>
                <w:rFonts w:ascii="Arial" w:hAnsi="Arial" w:cs="Arial"/>
                <w:b/>
              </w:rPr>
              <w:t>October 2011</w:t>
            </w:r>
          </w:p>
        </w:tc>
        <w:tc>
          <w:tcPr>
            <w:tcW w:w="1829" w:type="pct"/>
            <w:shd w:val="clear" w:color="auto" w:fill="auto"/>
          </w:tcPr>
          <w:p w:rsidR="000A3BDE" w:rsidRPr="00F51CC9" w:rsidRDefault="000A3BDE" w:rsidP="00CA287F">
            <w:pPr>
              <w:rPr>
                <w:rFonts w:ascii="Arial" w:hAnsi="Arial" w:cs="Arial"/>
                <w:b/>
              </w:rPr>
            </w:pPr>
            <w:r w:rsidRPr="00F51CC9">
              <w:rPr>
                <w:rFonts w:ascii="Arial" w:hAnsi="Arial" w:cs="Arial"/>
                <w:b/>
              </w:rPr>
              <w:t>October 2012</w:t>
            </w:r>
          </w:p>
        </w:tc>
      </w:tr>
      <w:tr w:rsidR="000A3BDE" w:rsidRPr="00F51CC9" w:rsidTr="003E657B">
        <w:trPr>
          <w:jc w:val="center"/>
        </w:trPr>
        <w:tc>
          <w:tcPr>
            <w:tcW w:w="1343" w:type="pct"/>
            <w:shd w:val="clear" w:color="auto" w:fill="auto"/>
          </w:tcPr>
          <w:p w:rsidR="000A3BDE" w:rsidRPr="00F51CC9" w:rsidRDefault="000A3BDE" w:rsidP="00CA287F">
            <w:pPr>
              <w:rPr>
                <w:rFonts w:ascii="Arial" w:hAnsi="Arial" w:cs="Arial"/>
              </w:rPr>
            </w:pPr>
            <w:r w:rsidRPr="00F51CC9">
              <w:rPr>
                <w:rFonts w:ascii="Arial" w:hAnsi="Arial" w:cs="Arial"/>
              </w:rPr>
              <w:t>AM</w:t>
            </w:r>
          </w:p>
        </w:tc>
        <w:tc>
          <w:tcPr>
            <w:tcW w:w="1829" w:type="pct"/>
          </w:tcPr>
          <w:p w:rsidR="000A3BDE" w:rsidRPr="00F51CC9" w:rsidRDefault="000A3BDE" w:rsidP="00CA287F">
            <w:pPr>
              <w:rPr>
                <w:rFonts w:ascii="Arial" w:hAnsi="Arial" w:cs="Arial"/>
              </w:rPr>
            </w:pPr>
            <w:r>
              <w:rPr>
                <w:rFonts w:ascii="Arial" w:hAnsi="Arial" w:cs="Arial"/>
              </w:rPr>
              <w:t>9</w:t>
            </w:r>
          </w:p>
        </w:tc>
        <w:tc>
          <w:tcPr>
            <w:tcW w:w="1829" w:type="pct"/>
            <w:shd w:val="clear" w:color="auto" w:fill="auto"/>
          </w:tcPr>
          <w:p w:rsidR="000A3BDE" w:rsidRPr="00F51CC9" w:rsidRDefault="000A3BDE" w:rsidP="00CA287F">
            <w:pPr>
              <w:rPr>
                <w:rFonts w:ascii="Arial" w:hAnsi="Arial" w:cs="Arial"/>
              </w:rPr>
            </w:pPr>
            <w:r w:rsidRPr="00F51CC9">
              <w:rPr>
                <w:rFonts w:ascii="Arial" w:hAnsi="Arial" w:cs="Arial"/>
              </w:rPr>
              <w:t>8</w:t>
            </w:r>
          </w:p>
        </w:tc>
      </w:tr>
      <w:tr w:rsidR="000A3BDE" w:rsidRPr="00F51CC9" w:rsidTr="003E657B">
        <w:trPr>
          <w:jc w:val="center"/>
        </w:trPr>
        <w:tc>
          <w:tcPr>
            <w:tcW w:w="1343" w:type="pct"/>
            <w:shd w:val="clear" w:color="auto" w:fill="auto"/>
          </w:tcPr>
          <w:p w:rsidR="000A3BDE" w:rsidRPr="00F51CC9" w:rsidRDefault="000A3BDE" w:rsidP="00CA287F">
            <w:pPr>
              <w:rPr>
                <w:rFonts w:ascii="Arial" w:hAnsi="Arial" w:cs="Arial"/>
              </w:rPr>
            </w:pPr>
            <w:r w:rsidRPr="00F51CC9">
              <w:rPr>
                <w:rFonts w:ascii="Arial" w:hAnsi="Arial" w:cs="Arial"/>
              </w:rPr>
              <w:t>PM</w:t>
            </w:r>
          </w:p>
        </w:tc>
        <w:tc>
          <w:tcPr>
            <w:tcW w:w="1829" w:type="pct"/>
          </w:tcPr>
          <w:p w:rsidR="000A3BDE" w:rsidRPr="00F51CC9" w:rsidRDefault="000A3BDE" w:rsidP="00CA287F">
            <w:pPr>
              <w:rPr>
                <w:rFonts w:ascii="Arial" w:hAnsi="Arial" w:cs="Arial"/>
              </w:rPr>
            </w:pPr>
            <w:r>
              <w:rPr>
                <w:rFonts w:ascii="Arial" w:hAnsi="Arial" w:cs="Arial"/>
              </w:rPr>
              <w:t>7</w:t>
            </w:r>
          </w:p>
        </w:tc>
        <w:tc>
          <w:tcPr>
            <w:tcW w:w="1829" w:type="pct"/>
            <w:shd w:val="clear" w:color="auto" w:fill="auto"/>
          </w:tcPr>
          <w:p w:rsidR="000A3BDE" w:rsidRPr="00F51CC9" w:rsidRDefault="000A3BDE" w:rsidP="00CA287F">
            <w:pPr>
              <w:rPr>
                <w:rFonts w:ascii="Arial" w:hAnsi="Arial" w:cs="Arial"/>
              </w:rPr>
            </w:pPr>
            <w:r w:rsidRPr="00F51CC9">
              <w:rPr>
                <w:rFonts w:ascii="Arial" w:hAnsi="Arial" w:cs="Arial"/>
              </w:rPr>
              <w:t>1</w:t>
            </w:r>
          </w:p>
        </w:tc>
      </w:tr>
      <w:tr w:rsidR="000A3BDE" w:rsidRPr="00F51CC9" w:rsidTr="003E657B">
        <w:trPr>
          <w:jc w:val="center"/>
        </w:trPr>
        <w:tc>
          <w:tcPr>
            <w:tcW w:w="1343" w:type="pct"/>
            <w:shd w:val="clear" w:color="auto" w:fill="auto"/>
          </w:tcPr>
          <w:p w:rsidR="000A3BDE" w:rsidRPr="00F51CC9" w:rsidRDefault="000A3BDE" w:rsidP="00CA287F">
            <w:pPr>
              <w:rPr>
                <w:rFonts w:ascii="Arial" w:hAnsi="Arial" w:cs="Arial"/>
              </w:rPr>
            </w:pPr>
            <w:r w:rsidRPr="00F51CC9">
              <w:rPr>
                <w:rFonts w:ascii="Arial" w:hAnsi="Arial" w:cs="Arial"/>
                <w:sz w:val="19"/>
                <w:szCs w:val="19"/>
              </w:rPr>
              <w:t>Total</w:t>
            </w:r>
          </w:p>
        </w:tc>
        <w:tc>
          <w:tcPr>
            <w:tcW w:w="1829" w:type="pct"/>
          </w:tcPr>
          <w:p w:rsidR="000A3BDE" w:rsidRPr="00F51CC9" w:rsidRDefault="000A3BDE" w:rsidP="00CA287F">
            <w:pPr>
              <w:rPr>
                <w:rFonts w:ascii="Arial" w:hAnsi="Arial" w:cs="Arial"/>
              </w:rPr>
            </w:pPr>
            <w:r>
              <w:rPr>
                <w:rFonts w:ascii="Arial" w:hAnsi="Arial" w:cs="Arial"/>
              </w:rPr>
              <w:t>16</w:t>
            </w:r>
          </w:p>
        </w:tc>
        <w:tc>
          <w:tcPr>
            <w:tcW w:w="1829" w:type="pct"/>
            <w:shd w:val="clear" w:color="auto" w:fill="auto"/>
          </w:tcPr>
          <w:p w:rsidR="000A3BDE" w:rsidRPr="00F51CC9" w:rsidRDefault="000A3BDE" w:rsidP="00CA287F">
            <w:pPr>
              <w:rPr>
                <w:rFonts w:ascii="Arial" w:hAnsi="Arial" w:cs="Arial"/>
              </w:rPr>
            </w:pPr>
            <w:r w:rsidRPr="00F51CC9">
              <w:rPr>
                <w:rFonts w:ascii="Arial" w:hAnsi="Arial" w:cs="Arial"/>
              </w:rPr>
              <w:t>9</w:t>
            </w:r>
          </w:p>
        </w:tc>
      </w:tr>
    </w:tbl>
    <w:p w:rsidR="000A3BDE" w:rsidRDefault="000A3BDE" w:rsidP="00CA287F">
      <w:pPr>
        <w:rPr>
          <w:rFonts w:ascii="Arial" w:hAnsi="Arial" w:cs="Arial"/>
          <w:color w:val="000000"/>
        </w:rPr>
      </w:pPr>
    </w:p>
    <w:p w:rsidR="000A3BDE" w:rsidRDefault="000A3BDE" w:rsidP="00CA287F">
      <w:pPr>
        <w:rPr>
          <w:rFonts w:ascii="Arial" w:hAnsi="Arial" w:cs="Arial"/>
          <w:color w:val="000000"/>
        </w:rPr>
      </w:pPr>
    </w:p>
    <w:p w:rsidR="00D7428B" w:rsidRPr="00F51CC9" w:rsidRDefault="00D7428B" w:rsidP="00CA287F">
      <w:pPr>
        <w:rPr>
          <w:rFonts w:ascii="Arial" w:hAnsi="Arial" w:cs="Arial"/>
        </w:rPr>
      </w:pPr>
      <w:r w:rsidRPr="00F51CC9">
        <w:rPr>
          <w:rFonts w:ascii="Arial" w:hAnsi="Arial" w:cs="Arial"/>
          <w:color w:val="000000"/>
        </w:rPr>
        <w:t xml:space="preserve">When comparing cordon locations observed in May 2012 and May 2013, there was </w:t>
      </w:r>
      <w:r w:rsidR="00264E70">
        <w:rPr>
          <w:rFonts w:ascii="Arial" w:hAnsi="Arial" w:cs="Arial"/>
          <w:color w:val="000000"/>
        </w:rPr>
        <w:t>a</w:t>
      </w:r>
      <w:r w:rsidR="000A3BDE">
        <w:rPr>
          <w:rFonts w:ascii="Arial" w:hAnsi="Arial" w:cs="Arial"/>
          <w:color w:val="000000"/>
        </w:rPr>
        <w:t>n increase from 1</w:t>
      </w:r>
      <w:r w:rsidR="00215296">
        <w:rPr>
          <w:rFonts w:ascii="Arial" w:hAnsi="Arial" w:cs="Arial"/>
          <w:color w:val="000000"/>
        </w:rPr>
        <w:t>9</w:t>
      </w:r>
      <w:r w:rsidR="000A3BDE">
        <w:rPr>
          <w:rFonts w:ascii="Arial" w:hAnsi="Arial" w:cs="Arial"/>
          <w:color w:val="000000"/>
        </w:rPr>
        <w:t xml:space="preserve"> to 22</w:t>
      </w:r>
      <w:r w:rsidR="00264E70">
        <w:rPr>
          <w:rFonts w:ascii="Arial" w:hAnsi="Arial" w:cs="Arial"/>
          <w:color w:val="000000"/>
        </w:rPr>
        <w:t xml:space="preserve"> </w:t>
      </w:r>
      <w:r w:rsidRPr="00F51CC9">
        <w:rPr>
          <w:rFonts w:ascii="Arial" w:hAnsi="Arial" w:cs="Arial"/>
          <w:color w:val="000000"/>
        </w:rPr>
        <w:t>rolling hour breaches.</w:t>
      </w:r>
    </w:p>
    <w:p w:rsidR="00D7428B" w:rsidRPr="00F51CC9" w:rsidRDefault="00D7428B" w:rsidP="00CA287F">
      <w:pPr>
        <w:rPr>
          <w:rFonts w:ascii="Arial" w:hAnsi="Arial" w:cs="Arial"/>
        </w:rPr>
      </w:pPr>
    </w:p>
    <w:tbl>
      <w:tblPr>
        <w:tblW w:w="2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37"/>
        <w:gridCol w:w="1335"/>
      </w:tblGrid>
      <w:tr w:rsidR="00D7428B" w:rsidRPr="00F51CC9" w:rsidTr="00D94C15">
        <w:trPr>
          <w:jc w:val="center"/>
        </w:trPr>
        <w:tc>
          <w:tcPr>
            <w:tcW w:w="1468" w:type="pct"/>
            <w:shd w:val="clear" w:color="auto" w:fill="auto"/>
          </w:tcPr>
          <w:p w:rsidR="00D7428B" w:rsidRPr="00F51CC9" w:rsidRDefault="00D7428B" w:rsidP="00CA287F">
            <w:pPr>
              <w:rPr>
                <w:rFonts w:ascii="Arial" w:hAnsi="Arial" w:cs="Arial"/>
                <w:b/>
              </w:rPr>
            </w:pPr>
          </w:p>
        </w:tc>
        <w:tc>
          <w:tcPr>
            <w:tcW w:w="1997" w:type="pct"/>
            <w:shd w:val="clear" w:color="auto" w:fill="auto"/>
          </w:tcPr>
          <w:p w:rsidR="00D7428B" w:rsidRPr="00F51CC9" w:rsidRDefault="000A3BDE" w:rsidP="00CA287F">
            <w:pPr>
              <w:rPr>
                <w:rFonts w:ascii="Arial" w:hAnsi="Arial" w:cs="Arial"/>
                <w:b/>
              </w:rPr>
            </w:pPr>
            <w:r>
              <w:rPr>
                <w:rFonts w:ascii="Arial" w:hAnsi="Arial" w:cs="Arial"/>
                <w:b/>
              </w:rPr>
              <w:t xml:space="preserve">May </w:t>
            </w:r>
            <w:r w:rsidR="00D7428B" w:rsidRPr="00F51CC9">
              <w:rPr>
                <w:rFonts w:ascii="Arial" w:hAnsi="Arial" w:cs="Arial"/>
                <w:b/>
              </w:rPr>
              <w:t>2012</w:t>
            </w:r>
          </w:p>
        </w:tc>
        <w:tc>
          <w:tcPr>
            <w:tcW w:w="1536" w:type="pct"/>
          </w:tcPr>
          <w:p w:rsidR="00D7428B" w:rsidRPr="00F51CC9" w:rsidRDefault="00D7428B" w:rsidP="00CA287F">
            <w:pPr>
              <w:rPr>
                <w:rFonts w:ascii="Arial" w:hAnsi="Arial" w:cs="Arial"/>
                <w:b/>
              </w:rPr>
            </w:pPr>
            <w:r w:rsidRPr="00F51CC9">
              <w:rPr>
                <w:rFonts w:ascii="Arial" w:hAnsi="Arial" w:cs="Arial"/>
                <w:b/>
              </w:rPr>
              <w:t>May 2013</w:t>
            </w:r>
          </w:p>
        </w:tc>
      </w:tr>
      <w:tr w:rsidR="00D7428B" w:rsidRPr="00F51CC9" w:rsidTr="00D94C15">
        <w:trPr>
          <w:jc w:val="center"/>
        </w:trPr>
        <w:tc>
          <w:tcPr>
            <w:tcW w:w="1468" w:type="pct"/>
            <w:shd w:val="clear" w:color="auto" w:fill="auto"/>
          </w:tcPr>
          <w:p w:rsidR="00D7428B" w:rsidRPr="00F51CC9" w:rsidRDefault="00D7428B" w:rsidP="00CA287F">
            <w:pPr>
              <w:rPr>
                <w:rFonts w:ascii="Arial" w:hAnsi="Arial" w:cs="Arial"/>
              </w:rPr>
            </w:pPr>
            <w:r w:rsidRPr="00F51CC9">
              <w:rPr>
                <w:rFonts w:ascii="Arial" w:hAnsi="Arial" w:cs="Arial"/>
              </w:rPr>
              <w:t>AM</w:t>
            </w:r>
          </w:p>
        </w:tc>
        <w:tc>
          <w:tcPr>
            <w:tcW w:w="1997" w:type="pct"/>
            <w:shd w:val="clear" w:color="auto" w:fill="auto"/>
          </w:tcPr>
          <w:p w:rsidR="00D7428B" w:rsidRPr="00F51CC9" w:rsidRDefault="00215296" w:rsidP="00CA287F">
            <w:pPr>
              <w:rPr>
                <w:rFonts w:ascii="Arial" w:hAnsi="Arial" w:cs="Arial"/>
              </w:rPr>
            </w:pPr>
            <w:r>
              <w:rPr>
                <w:rFonts w:ascii="Arial" w:hAnsi="Arial" w:cs="Arial"/>
              </w:rPr>
              <w:t>13</w:t>
            </w:r>
          </w:p>
        </w:tc>
        <w:tc>
          <w:tcPr>
            <w:tcW w:w="1536" w:type="pct"/>
          </w:tcPr>
          <w:p w:rsidR="00D7428B" w:rsidRPr="00F51CC9" w:rsidRDefault="00D7428B" w:rsidP="00CA287F">
            <w:pPr>
              <w:rPr>
                <w:rFonts w:ascii="Arial" w:hAnsi="Arial" w:cs="Arial"/>
              </w:rPr>
            </w:pPr>
            <w:r w:rsidRPr="00F51CC9">
              <w:rPr>
                <w:rFonts w:ascii="Arial" w:hAnsi="Arial" w:cs="Arial"/>
              </w:rPr>
              <w:t>1</w:t>
            </w:r>
            <w:r w:rsidR="000A3BDE">
              <w:rPr>
                <w:rFonts w:ascii="Arial" w:hAnsi="Arial" w:cs="Arial"/>
              </w:rPr>
              <w:t>4</w:t>
            </w:r>
          </w:p>
        </w:tc>
      </w:tr>
      <w:tr w:rsidR="00D7428B" w:rsidRPr="00F51CC9" w:rsidTr="00D94C15">
        <w:trPr>
          <w:jc w:val="center"/>
        </w:trPr>
        <w:tc>
          <w:tcPr>
            <w:tcW w:w="1468" w:type="pct"/>
            <w:shd w:val="clear" w:color="auto" w:fill="auto"/>
          </w:tcPr>
          <w:p w:rsidR="00D7428B" w:rsidRPr="00F51CC9" w:rsidRDefault="00D7428B" w:rsidP="00CA287F">
            <w:pPr>
              <w:rPr>
                <w:rFonts w:ascii="Arial" w:hAnsi="Arial" w:cs="Arial"/>
              </w:rPr>
            </w:pPr>
            <w:r w:rsidRPr="00F51CC9">
              <w:rPr>
                <w:rFonts w:ascii="Arial" w:hAnsi="Arial" w:cs="Arial"/>
              </w:rPr>
              <w:t>PM</w:t>
            </w:r>
          </w:p>
        </w:tc>
        <w:tc>
          <w:tcPr>
            <w:tcW w:w="1997" w:type="pct"/>
            <w:shd w:val="clear" w:color="auto" w:fill="auto"/>
          </w:tcPr>
          <w:p w:rsidR="00D7428B" w:rsidRPr="00F51CC9" w:rsidRDefault="000A3BDE" w:rsidP="00CA287F">
            <w:pPr>
              <w:rPr>
                <w:rFonts w:ascii="Arial" w:hAnsi="Arial" w:cs="Arial"/>
              </w:rPr>
            </w:pPr>
            <w:r>
              <w:rPr>
                <w:rFonts w:ascii="Arial" w:hAnsi="Arial" w:cs="Arial"/>
              </w:rPr>
              <w:t>6</w:t>
            </w:r>
          </w:p>
        </w:tc>
        <w:tc>
          <w:tcPr>
            <w:tcW w:w="1536" w:type="pct"/>
          </w:tcPr>
          <w:p w:rsidR="00D7428B" w:rsidRPr="00F51CC9" w:rsidRDefault="000A3BDE" w:rsidP="00CA287F">
            <w:pPr>
              <w:rPr>
                <w:rFonts w:ascii="Arial" w:hAnsi="Arial" w:cs="Arial"/>
              </w:rPr>
            </w:pPr>
            <w:r>
              <w:rPr>
                <w:rFonts w:ascii="Arial" w:hAnsi="Arial" w:cs="Arial"/>
              </w:rPr>
              <w:t>8</w:t>
            </w:r>
          </w:p>
        </w:tc>
      </w:tr>
      <w:tr w:rsidR="00D7428B" w:rsidRPr="00F51CC9" w:rsidTr="00D94C15">
        <w:trPr>
          <w:jc w:val="center"/>
        </w:trPr>
        <w:tc>
          <w:tcPr>
            <w:tcW w:w="1468" w:type="pct"/>
            <w:shd w:val="clear" w:color="auto" w:fill="auto"/>
          </w:tcPr>
          <w:p w:rsidR="00D7428B" w:rsidRPr="00F51CC9" w:rsidRDefault="00D7428B" w:rsidP="00CA287F">
            <w:pPr>
              <w:rPr>
                <w:rFonts w:ascii="Arial" w:hAnsi="Arial" w:cs="Arial"/>
              </w:rPr>
            </w:pPr>
            <w:r w:rsidRPr="00F51CC9">
              <w:rPr>
                <w:rFonts w:ascii="Arial" w:hAnsi="Arial" w:cs="Arial"/>
                <w:sz w:val="19"/>
                <w:szCs w:val="19"/>
              </w:rPr>
              <w:t>Total</w:t>
            </w:r>
          </w:p>
        </w:tc>
        <w:tc>
          <w:tcPr>
            <w:tcW w:w="1997" w:type="pct"/>
            <w:shd w:val="clear" w:color="auto" w:fill="auto"/>
          </w:tcPr>
          <w:p w:rsidR="00D7428B" w:rsidRPr="00F51CC9" w:rsidRDefault="00215296" w:rsidP="00CA287F">
            <w:pPr>
              <w:rPr>
                <w:rFonts w:ascii="Arial" w:hAnsi="Arial" w:cs="Arial"/>
              </w:rPr>
            </w:pPr>
            <w:r>
              <w:rPr>
                <w:rFonts w:ascii="Arial" w:hAnsi="Arial" w:cs="Arial"/>
              </w:rPr>
              <w:t>19</w:t>
            </w:r>
          </w:p>
        </w:tc>
        <w:tc>
          <w:tcPr>
            <w:tcW w:w="1536" w:type="pct"/>
          </w:tcPr>
          <w:p w:rsidR="00D7428B" w:rsidRPr="00F51CC9" w:rsidRDefault="000A3BDE" w:rsidP="00CA287F">
            <w:pPr>
              <w:rPr>
                <w:rFonts w:ascii="Arial" w:hAnsi="Arial" w:cs="Arial"/>
              </w:rPr>
            </w:pPr>
            <w:r>
              <w:rPr>
                <w:rFonts w:ascii="Arial" w:hAnsi="Arial" w:cs="Arial"/>
              </w:rPr>
              <w:t>22</w:t>
            </w:r>
          </w:p>
        </w:tc>
      </w:tr>
    </w:tbl>
    <w:p w:rsidR="00D7428B" w:rsidRPr="00F51CC9" w:rsidRDefault="00D7428B" w:rsidP="00CA287F">
      <w:pPr>
        <w:rPr>
          <w:rFonts w:ascii="Arial" w:hAnsi="Arial" w:cs="Arial"/>
        </w:rPr>
      </w:pPr>
    </w:p>
    <w:p w:rsidR="00D7428B" w:rsidRDefault="00D7428B" w:rsidP="00CA287F">
      <w:pPr>
        <w:rPr>
          <w:rFonts w:ascii="Arial" w:hAnsi="Arial" w:cs="Arial"/>
          <w:b/>
          <w:bCs/>
          <w:color w:val="000000"/>
          <w:sz w:val="22"/>
          <w:szCs w:val="22"/>
        </w:rPr>
      </w:pPr>
      <w:r>
        <w:rPr>
          <w:rFonts w:ascii="Arial" w:hAnsi="Arial" w:cs="Arial"/>
          <w:b/>
          <w:bCs/>
          <w:color w:val="000000"/>
          <w:sz w:val="22"/>
          <w:szCs w:val="22"/>
        </w:rPr>
        <w:br w:type="page"/>
      </w:r>
    </w:p>
    <w:p w:rsidR="00D7428B" w:rsidRPr="00A8436C" w:rsidRDefault="00D7428B" w:rsidP="00ED42C3">
      <w:pPr>
        <w:pStyle w:val="Heading10"/>
      </w:pPr>
      <w:r w:rsidRPr="00A8436C">
        <w:t xml:space="preserve">Fare evasion </w:t>
      </w:r>
    </w:p>
    <w:p w:rsidR="00D7428B" w:rsidRDefault="00D7428B" w:rsidP="00CA287F">
      <w:pPr>
        <w:rPr>
          <w:rFonts w:ascii="Arial" w:hAnsi="Arial" w:cs="Arial"/>
          <w:color w:val="000000"/>
          <w:sz w:val="22"/>
          <w:szCs w:val="22"/>
        </w:rPr>
      </w:pPr>
      <w:r w:rsidRPr="00A8436C">
        <w:rPr>
          <w:rFonts w:ascii="Arial" w:hAnsi="Arial" w:cs="Arial"/>
          <w:color w:val="000000"/>
          <w:sz w:val="22"/>
          <w:szCs w:val="22"/>
        </w:rPr>
        <w:t xml:space="preserve">Fare evasion rates are measured through surveys taken in May and October each year. There was a reduction in fare evasion across the metropolitan network from 13.5 per cent in May 2011 to 9.4 per cent in October 2012, and then an increase to 11.9 per cent in May 2013. </w:t>
      </w:r>
    </w:p>
    <w:p w:rsidR="00031F61" w:rsidRPr="00A8436C" w:rsidRDefault="00031F61" w:rsidP="00CA287F">
      <w:pPr>
        <w:rPr>
          <w:rFonts w:ascii="Arial" w:hAnsi="Arial" w:cs="Arial"/>
          <w:color w:val="000000"/>
          <w:sz w:val="22"/>
          <w:szCs w:val="22"/>
        </w:rPr>
      </w:pPr>
    </w:p>
    <w:p w:rsidR="00D7428B" w:rsidRPr="00A8436C" w:rsidRDefault="00D7428B" w:rsidP="00CA287F">
      <w:pPr>
        <w:rPr>
          <w:rFonts w:ascii="Arial" w:hAnsi="Arial" w:cs="Arial"/>
          <w:color w:val="000000"/>
          <w:sz w:val="22"/>
          <w:szCs w:val="22"/>
        </w:rPr>
      </w:pPr>
      <w:r w:rsidRPr="00A8436C">
        <w:rPr>
          <w:rFonts w:ascii="Arial" w:hAnsi="Arial" w:cs="Arial"/>
          <w:color w:val="000000"/>
          <w:sz w:val="22"/>
          <w:szCs w:val="22"/>
        </w:rPr>
        <w:t>The May 2013 survey showed that fare evasion rates increased slightly on trains and trams and increased significantly on buses.  The rates for each mode are shown below:</w:t>
      </w:r>
    </w:p>
    <w:p w:rsidR="00D7428B" w:rsidRPr="00DA50F4" w:rsidRDefault="00D7428B" w:rsidP="00DA50F4">
      <w:pPr>
        <w:pStyle w:val="ListParagraph"/>
        <w:numPr>
          <w:ilvl w:val="0"/>
          <w:numId w:val="17"/>
        </w:numPr>
        <w:rPr>
          <w:rFonts w:ascii="Arial" w:hAnsi="Arial" w:cs="Arial"/>
          <w:color w:val="000000"/>
          <w:sz w:val="22"/>
          <w:szCs w:val="22"/>
        </w:rPr>
      </w:pPr>
      <w:r w:rsidRPr="00DA50F4">
        <w:rPr>
          <w:rFonts w:ascii="Arial" w:hAnsi="Arial" w:cs="Arial"/>
          <w:color w:val="000000"/>
          <w:sz w:val="22"/>
          <w:szCs w:val="22"/>
        </w:rPr>
        <w:t>metropolitan trains:</w:t>
      </w:r>
      <w:r w:rsidRPr="00DA50F4">
        <w:rPr>
          <w:rFonts w:ascii="Arial" w:hAnsi="Arial" w:cs="Arial"/>
          <w:color w:val="000000"/>
          <w:sz w:val="22"/>
          <w:szCs w:val="22"/>
        </w:rPr>
        <w:tab/>
        <w:t>9.9 per cent (up from 8.8 per cent in October 2012)</w:t>
      </w:r>
    </w:p>
    <w:p w:rsidR="00D7428B" w:rsidRPr="00DA50F4" w:rsidRDefault="00D7428B" w:rsidP="00DA50F4">
      <w:pPr>
        <w:pStyle w:val="ListParagraph"/>
        <w:numPr>
          <w:ilvl w:val="0"/>
          <w:numId w:val="17"/>
        </w:numPr>
        <w:rPr>
          <w:rFonts w:ascii="Arial" w:hAnsi="Arial" w:cs="Arial"/>
          <w:color w:val="000000"/>
          <w:sz w:val="22"/>
          <w:szCs w:val="22"/>
        </w:rPr>
      </w:pPr>
      <w:r w:rsidRPr="00DA50F4">
        <w:rPr>
          <w:rFonts w:ascii="Arial" w:hAnsi="Arial" w:cs="Arial"/>
          <w:color w:val="000000"/>
          <w:sz w:val="22"/>
          <w:szCs w:val="22"/>
        </w:rPr>
        <w:t>metropolitan trams:</w:t>
      </w:r>
      <w:r w:rsidRPr="00DA50F4">
        <w:rPr>
          <w:rFonts w:ascii="Arial" w:hAnsi="Arial" w:cs="Arial"/>
          <w:color w:val="000000"/>
          <w:sz w:val="22"/>
          <w:szCs w:val="22"/>
        </w:rPr>
        <w:tab/>
        <w:t>11.9 per cent (up from 10.5 per cent in October 2012)</w:t>
      </w:r>
    </w:p>
    <w:p w:rsidR="00D7428B" w:rsidRPr="00DA50F4" w:rsidRDefault="00D7428B" w:rsidP="00DA50F4">
      <w:pPr>
        <w:pStyle w:val="ListParagraph"/>
        <w:numPr>
          <w:ilvl w:val="0"/>
          <w:numId w:val="17"/>
        </w:numPr>
        <w:rPr>
          <w:rFonts w:ascii="Arial" w:hAnsi="Arial" w:cs="Arial"/>
          <w:color w:val="000000"/>
          <w:sz w:val="22"/>
          <w:szCs w:val="22"/>
        </w:rPr>
      </w:pPr>
      <w:r w:rsidRPr="00DA50F4">
        <w:rPr>
          <w:rFonts w:ascii="Arial" w:hAnsi="Arial" w:cs="Arial"/>
          <w:color w:val="000000"/>
          <w:sz w:val="22"/>
          <w:szCs w:val="22"/>
        </w:rPr>
        <w:t>metropolitan buses:</w:t>
      </w:r>
      <w:r w:rsidRPr="00DA50F4">
        <w:rPr>
          <w:rFonts w:ascii="Arial" w:hAnsi="Arial" w:cs="Arial"/>
          <w:color w:val="000000"/>
          <w:sz w:val="22"/>
          <w:szCs w:val="22"/>
        </w:rPr>
        <w:tab/>
        <w:t>16.0 per cent (up from 9.1 per cent in October 2012)</w:t>
      </w:r>
    </w:p>
    <w:p w:rsidR="00D7428B" w:rsidRPr="00A8436C" w:rsidRDefault="00D7428B" w:rsidP="00CA287F">
      <w:pPr>
        <w:rPr>
          <w:rFonts w:ascii="Arial" w:hAnsi="Arial" w:cs="Arial"/>
          <w:color w:val="000000"/>
          <w:sz w:val="22"/>
          <w:szCs w:val="22"/>
        </w:rPr>
      </w:pPr>
    </w:p>
    <w:p w:rsidR="00D7428B" w:rsidRPr="00A8436C" w:rsidRDefault="00D7428B" w:rsidP="00CA287F">
      <w:pPr>
        <w:rPr>
          <w:rFonts w:ascii="Arial" w:hAnsi="Arial" w:cs="Arial"/>
          <w:color w:val="000000"/>
          <w:sz w:val="22"/>
          <w:szCs w:val="22"/>
        </w:rPr>
      </w:pPr>
      <w:r w:rsidRPr="00A8436C">
        <w:rPr>
          <w:rFonts w:ascii="Arial" w:hAnsi="Arial" w:cs="Arial"/>
          <w:color w:val="000000"/>
          <w:sz w:val="22"/>
          <w:szCs w:val="22"/>
        </w:rPr>
        <w:t xml:space="preserve">PTV </w:t>
      </w:r>
      <w:r w:rsidR="007F62FE">
        <w:rPr>
          <w:rFonts w:ascii="Arial" w:hAnsi="Arial" w:cs="Arial"/>
          <w:color w:val="000000"/>
          <w:sz w:val="22"/>
          <w:szCs w:val="22"/>
        </w:rPr>
        <w:t>has written</w:t>
      </w:r>
      <w:r w:rsidRPr="00A8436C">
        <w:rPr>
          <w:rFonts w:ascii="Arial" w:hAnsi="Arial" w:cs="Arial"/>
          <w:color w:val="000000"/>
          <w:sz w:val="22"/>
          <w:szCs w:val="22"/>
        </w:rPr>
        <w:t xml:space="preserve"> to bus operators to remind them of their revenue protection responsibilities and will closely monitor performance in this area.</w:t>
      </w:r>
    </w:p>
    <w:p w:rsidR="00D7428B" w:rsidRPr="00A8436C" w:rsidRDefault="00D7428B" w:rsidP="00CA287F">
      <w:pPr>
        <w:rPr>
          <w:rFonts w:ascii="Arial" w:hAnsi="Arial" w:cs="Arial"/>
          <w:color w:val="000000"/>
          <w:sz w:val="22"/>
          <w:szCs w:val="22"/>
        </w:rPr>
      </w:pPr>
    </w:p>
    <w:p w:rsidR="00D7428B" w:rsidRPr="00A8436C" w:rsidRDefault="00D7428B" w:rsidP="00CA287F">
      <w:pPr>
        <w:rPr>
          <w:rFonts w:ascii="Arial" w:hAnsi="Arial" w:cs="Arial"/>
          <w:color w:val="000000"/>
          <w:sz w:val="22"/>
          <w:szCs w:val="22"/>
        </w:rPr>
      </w:pPr>
      <w:r w:rsidRPr="00A8436C">
        <w:rPr>
          <w:rFonts w:ascii="Arial" w:hAnsi="Arial" w:cs="Arial"/>
          <w:color w:val="000000"/>
          <w:sz w:val="22"/>
          <w:szCs w:val="22"/>
        </w:rPr>
        <w:t>A Network Revenue Protection Plan has been developed by PTV in close consultation with the public transport operators.  This plan includes a range of initiatives designed to minimise fare evasion during and after the full transition to the myki ticketing system.  PTV works closely with operators to manage the plan’s implementation.</w:t>
      </w:r>
    </w:p>
    <w:p w:rsidR="00D7428B" w:rsidRPr="00A8436C" w:rsidRDefault="00D7428B" w:rsidP="00CA287F">
      <w:pPr>
        <w:rPr>
          <w:rFonts w:ascii="Arial" w:hAnsi="Arial" w:cs="Arial"/>
          <w:color w:val="000000"/>
          <w:sz w:val="22"/>
          <w:szCs w:val="22"/>
        </w:rPr>
      </w:pPr>
    </w:p>
    <w:p w:rsidR="00D7428B" w:rsidRPr="00A8436C" w:rsidRDefault="00D7428B" w:rsidP="00CA287F">
      <w:pPr>
        <w:rPr>
          <w:rFonts w:ascii="Arial" w:hAnsi="Arial" w:cs="Arial"/>
          <w:color w:val="000000"/>
          <w:sz w:val="22"/>
          <w:szCs w:val="22"/>
        </w:rPr>
      </w:pPr>
      <w:r w:rsidRPr="00A8436C">
        <w:rPr>
          <w:rFonts w:ascii="Arial" w:hAnsi="Arial" w:cs="Arial"/>
          <w:color w:val="000000"/>
          <w:sz w:val="22"/>
          <w:szCs w:val="22"/>
        </w:rPr>
        <w:t xml:space="preserve">PTV is continuing to work with operators to ensure that passengers understand what they need to do to have a valid ticket, to make it as easy as possible to comply, and to apply </w:t>
      </w:r>
      <w:r w:rsidR="007F62FE">
        <w:rPr>
          <w:rFonts w:ascii="Arial" w:hAnsi="Arial" w:cs="Arial"/>
          <w:color w:val="000000"/>
          <w:sz w:val="22"/>
          <w:szCs w:val="22"/>
        </w:rPr>
        <w:t>the enforcement regime</w:t>
      </w:r>
      <w:r w:rsidR="007F62FE" w:rsidRPr="00A8436C">
        <w:rPr>
          <w:rFonts w:ascii="Arial" w:hAnsi="Arial" w:cs="Arial"/>
          <w:color w:val="000000"/>
          <w:sz w:val="22"/>
          <w:szCs w:val="22"/>
        </w:rPr>
        <w:t xml:space="preserve"> </w:t>
      </w:r>
      <w:r w:rsidRPr="00A8436C">
        <w:rPr>
          <w:rFonts w:ascii="Arial" w:hAnsi="Arial" w:cs="Arial"/>
          <w:color w:val="000000"/>
          <w:sz w:val="22"/>
          <w:szCs w:val="22"/>
        </w:rPr>
        <w:t xml:space="preserve">for travel without a valid myki.  </w:t>
      </w:r>
    </w:p>
    <w:p w:rsidR="00DB6104" w:rsidRDefault="00DB6104">
      <w:pPr>
        <w:rPr>
          <w:rFonts w:ascii="Arial" w:hAnsi="Arial" w:cs="Arial"/>
        </w:rPr>
      </w:pPr>
      <w:r>
        <w:rPr>
          <w:rFonts w:ascii="Arial" w:hAnsi="Arial" w:cs="Arial"/>
        </w:rPr>
        <w:br w:type="page"/>
      </w:r>
    </w:p>
    <w:p w:rsidR="000E7B77" w:rsidRDefault="009C0176" w:rsidP="009C0176">
      <w:pPr>
        <w:pStyle w:val="Title1"/>
        <w:outlineLvl w:val="0"/>
      </w:pPr>
      <w:bookmarkStart w:id="31" w:name="_Toc365382501"/>
      <w:bookmarkStart w:id="32" w:name="_Toc366663333"/>
      <w:bookmarkStart w:id="33" w:name="_Toc366672084"/>
      <w:r>
        <w:t>Financial Statements</w:t>
      </w:r>
      <w:bookmarkEnd w:id="31"/>
      <w:bookmarkEnd w:id="32"/>
      <w:bookmarkEnd w:id="33"/>
    </w:p>
    <w:p w:rsidR="008A185A" w:rsidRDefault="008A185A" w:rsidP="009C0176">
      <w:pPr>
        <w:pStyle w:val="Title1"/>
        <w:outlineLvl w:val="0"/>
      </w:pPr>
    </w:p>
    <w:bookmarkStart w:id="34" w:name="_Financial_statements"/>
    <w:bookmarkEnd w:id="34"/>
    <w:p w:rsidR="00857E55" w:rsidRPr="00AD22A8" w:rsidRDefault="00857E55" w:rsidP="00DA50F4">
      <w:pPr>
        <w:pStyle w:val="TOC1"/>
        <w:rPr>
          <w:rFonts w:ascii="Calibri" w:hAnsi="Calibri"/>
          <w:sz w:val="22"/>
          <w:szCs w:val="22"/>
        </w:rPr>
      </w:pPr>
      <w:r w:rsidRPr="00857E55">
        <w:rPr>
          <w:rStyle w:val="Hyperlink"/>
          <w:color w:val="auto"/>
          <w:u w:val="none"/>
        </w:rPr>
        <w:fldChar w:fldCharType="begin"/>
      </w:r>
      <w:r w:rsidRPr="00857E55">
        <w:rPr>
          <w:rStyle w:val="Hyperlink"/>
          <w:color w:val="auto"/>
          <w:u w:val="none"/>
        </w:rPr>
        <w:instrText xml:space="preserve"> </w:instrText>
      </w:r>
      <w:r w:rsidRPr="00857E55">
        <w:instrText>HYPERLINK \l "_Toc366672085"</w:instrText>
      </w:r>
      <w:r w:rsidRPr="00857E55">
        <w:rPr>
          <w:rStyle w:val="Hyperlink"/>
          <w:color w:val="auto"/>
          <w:u w:val="none"/>
        </w:rPr>
        <w:instrText xml:space="preserve"> </w:instrText>
      </w:r>
      <w:r w:rsidRPr="00857E55">
        <w:rPr>
          <w:rStyle w:val="Hyperlink"/>
          <w:color w:val="auto"/>
          <w:u w:val="none"/>
        </w:rPr>
        <w:fldChar w:fldCharType="separate"/>
      </w:r>
      <w:r w:rsidRPr="00857E55">
        <w:rPr>
          <w:rStyle w:val="Hyperlink"/>
          <w:color w:val="auto"/>
          <w:u w:val="none"/>
        </w:rPr>
        <w:t>Accountable Officer’s and Chief Finance and Accounting Officer’s Declaration</w:t>
      </w:r>
      <w:r w:rsidRPr="00857E55">
        <w:rPr>
          <w:webHidden/>
        </w:rPr>
        <w:tab/>
      </w:r>
      <w:r w:rsidRPr="00857E55">
        <w:rPr>
          <w:webHidden/>
        </w:rPr>
        <w:fldChar w:fldCharType="begin"/>
      </w:r>
      <w:r w:rsidRPr="00857E55">
        <w:rPr>
          <w:webHidden/>
        </w:rPr>
        <w:instrText xml:space="preserve"> PAGEREF _Toc366672085 \h </w:instrText>
      </w:r>
      <w:r w:rsidRPr="00857E55">
        <w:rPr>
          <w:webHidden/>
        </w:rPr>
      </w:r>
      <w:r w:rsidRPr="00857E55">
        <w:rPr>
          <w:webHidden/>
        </w:rPr>
        <w:fldChar w:fldCharType="separate"/>
      </w:r>
      <w:r w:rsidR="00DA50F4">
        <w:rPr>
          <w:webHidden/>
        </w:rPr>
        <w:t>41</w:t>
      </w:r>
      <w:r w:rsidRPr="00857E55">
        <w:rPr>
          <w:webHidden/>
        </w:rPr>
        <w:fldChar w:fldCharType="end"/>
      </w:r>
      <w:r w:rsidRPr="00857E55">
        <w:rPr>
          <w:rStyle w:val="Hyperlink"/>
          <w:color w:val="auto"/>
          <w:u w:val="none"/>
        </w:rPr>
        <w:fldChar w:fldCharType="end"/>
      </w:r>
    </w:p>
    <w:p w:rsidR="00857E55" w:rsidRPr="00AD22A8" w:rsidRDefault="002059C1" w:rsidP="00DA50F4">
      <w:pPr>
        <w:pStyle w:val="TOC1"/>
        <w:rPr>
          <w:rFonts w:ascii="Calibri" w:hAnsi="Calibri"/>
          <w:sz w:val="22"/>
          <w:szCs w:val="22"/>
        </w:rPr>
      </w:pPr>
      <w:hyperlink w:anchor="_Toc366672086" w:history="1">
        <w:r w:rsidR="00857E55" w:rsidRPr="00857E55">
          <w:rPr>
            <w:rStyle w:val="Hyperlink"/>
            <w:color w:val="auto"/>
            <w:u w:val="none"/>
          </w:rPr>
          <w:t>Victorian Auditor-General’s Report</w:t>
        </w:r>
        <w:r w:rsidR="00857E55" w:rsidRPr="00857E55">
          <w:rPr>
            <w:webHidden/>
          </w:rPr>
          <w:tab/>
        </w:r>
        <w:r w:rsidR="00857E55" w:rsidRPr="00857E55">
          <w:rPr>
            <w:webHidden/>
          </w:rPr>
          <w:fldChar w:fldCharType="begin"/>
        </w:r>
        <w:r w:rsidR="00857E55" w:rsidRPr="00857E55">
          <w:rPr>
            <w:webHidden/>
          </w:rPr>
          <w:instrText xml:space="preserve"> PAGEREF _Toc366672086 \h </w:instrText>
        </w:r>
        <w:r w:rsidR="00857E55" w:rsidRPr="00857E55">
          <w:rPr>
            <w:webHidden/>
          </w:rPr>
        </w:r>
        <w:r w:rsidR="00857E55" w:rsidRPr="00857E55">
          <w:rPr>
            <w:webHidden/>
          </w:rPr>
          <w:fldChar w:fldCharType="separate"/>
        </w:r>
        <w:r w:rsidR="00DA50F4">
          <w:rPr>
            <w:webHidden/>
          </w:rPr>
          <w:t>42</w:t>
        </w:r>
        <w:r w:rsidR="00857E55" w:rsidRPr="00857E55">
          <w:rPr>
            <w:webHidden/>
          </w:rPr>
          <w:fldChar w:fldCharType="end"/>
        </w:r>
      </w:hyperlink>
    </w:p>
    <w:p w:rsidR="00857E55" w:rsidRPr="00AD22A8" w:rsidRDefault="002059C1" w:rsidP="00DA50F4">
      <w:pPr>
        <w:pStyle w:val="TOC1"/>
        <w:rPr>
          <w:rFonts w:ascii="Calibri" w:hAnsi="Calibri"/>
          <w:sz w:val="22"/>
          <w:szCs w:val="22"/>
        </w:rPr>
      </w:pPr>
      <w:hyperlink w:anchor="_Toc366672087" w:history="1">
        <w:r w:rsidR="00857E55" w:rsidRPr="00857E55">
          <w:rPr>
            <w:rStyle w:val="Hyperlink"/>
            <w:color w:val="auto"/>
            <w:u w:val="none"/>
          </w:rPr>
          <w:t>Comprehensive operating statement for the financial year ended 30 June 2013</w:t>
        </w:r>
        <w:r w:rsidR="00857E55" w:rsidRPr="00857E55">
          <w:rPr>
            <w:webHidden/>
          </w:rPr>
          <w:tab/>
        </w:r>
        <w:r w:rsidR="00857E55" w:rsidRPr="00857E55">
          <w:rPr>
            <w:webHidden/>
          </w:rPr>
          <w:fldChar w:fldCharType="begin"/>
        </w:r>
        <w:r w:rsidR="00857E55" w:rsidRPr="00857E55">
          <w:rPr>
            <w:webHidden/>
          </w:rPr>
          <w:instrText xml:space="preserve"> PAGEREF _Toc366672087 \h </w:instrText>
        </w:r>
        <w:r w:rsidR="00857E55" w:rsidRPr="00857E55">
          <w:rPr>
            <w:webHidden/>
          </w:rPr>
        </w:r>
        <w:r w:rsidR="00857E55" w:rsidRPr="00857E55">
          <w:rPr>
            <w:webHidden/>
          </w:rPr>
          <w:fldChar w:fldCharType="separate"/>
        </w:r>
        <w:r w:rsidR="00DA50F4">
          <w:rPr>
            <w:webHidden/>
          </w:rPr>
          <w:t>44</w:t>
        </w:r>
        <w:r w:rsidR="00857E55" w:rsidRPr="00857E55">
          <w:rPr>
            <w:webHidden/>
          </w:rPr>
          <w:fldChar w:fldCharType="end"/>
        </w:r>
      </w:hyperlink>
    </w:p>
    <w:p w:rsidR="00857E55" w:rsidRPr="00AD22A8" w:rsidRDefault="002059C1" w:rsidP="00DA50F4">
      <w:pPr>
        <w:pStyle w:val="TOC1"/>
        <w:rPr>
          <w:rFonts w:ascii="Calibri" w:hAnsi="Calibri"/>
          <w:sz w:val="22"/>
          <w:szCs w:val="22"/>
        </w:rPr>
      </w:pPr>
      <w:hyperlink w:anchor="_Toc366672088" w:history="1">
        <w:r w:rsidR="00857E55" w:rsidRPr="00857E55">
          <w:rPr>
            <w:rStyle w:val="Hyperlink"/>
            <w:color w:val="auto"/>
            <w:u w:val="none"/>
          </w:rPr>
          <w:t>Balance sheet as at 30 June 2013</w:t>
        </w:r>
        <w:r w:rsidR="00857E55" w:rsidRPr="00857E55">
          <w:rPr>
            <w:webHidden/>
          </w:rPr>
          <w:tab/>
        </w:r>
        <w:r w:rsidR="00857E55" w:rsidRPr="00857E55">
          <w:rPr>
            <w:webHidden/>
          </w:rPr>
          <w:fldChar w:fldCharType="begin"/>
        </w:r>
        <w:r w:rsidR="00857E55" w:rsidRPr="00857E55">
          <w:rPr>
            <w:webHidden/>
          </w:rPr>
          <w:instrText xml:space="preserve"> PAGEREF _Toc366672088 \h </w:instrText>
        </w:r>
        <w:r w:rsidR="00857E55" w:rsidRPr="00857E55">
          <w:rPr>
            <w:webHidden/>
          </w:rPr>
        </w:r>
        <w:r w:rsidR="00857E55" w:rsidRPr="00857E55">
          <w:rPr>
            <w:webHidden/>
          </w:rPr>
          <w:fldChar w:fldCharType="separate"/>
        </w:r>
        <w:r w:rsidR="00DA50F4">
          <w:rPr>
            <w:webHidden/>
          </w:rPr>
          <w:t>45</w:t>
        </w:r>
        <w:r w:rsidR="00857E55" w:rsidRPr="00857E55">
          <w:rPr>
            <w:webHidden/>
          </w:rPr>
          <w:fldChar w:fldCharType="end"/>
        </w:r>
      </w:hyperlink>
    </w:p>
    <w:p w:rsidR="00857E55" w:rsidRPr="00AD22A8" w:rsidRDefault="002059C1" w:rsidP="00DA50F4">
      <w:pPr>
        <w:pStyle w:val="TOC1"/>
        <w:rPr>
          <w:rFonts w:ascii="Calibri" w:hAnsi="Calibri"/>
          <w:sz w:val="22"/>
          <w:szCs w:val="22"/>
        </w:rPr>
      </w:pPr>
      <w:hyperlink w:anchor="_Toc366672089" w:history="1">
        <w:r w:rsidR="00857E55" w:rsidRPr="00857E55">
          <w:rPr>
            <w:rStyle w:val="Hyperlink"/>
            <w:color w:val="auto"/>
            <w:u w:val="none"/>
          </w:rPr>
          <w:t>Statement of changes in equity for the financial year ended 30 June 2013</w:t>
        </w:r>
        <w:r w:rsidR="00857E55" w:rsidRPr="00857E55">
          <w:rPr>
            <w:webHidden/>
          </w:rPr>
          <w:tab/>
        </w:r>
        <w:r w:rsidR="00857E55" w:rsidRPr="00857E55">
          <w:rPr>
            <w:webHidden/>
          </w:rPr>
          <w:fldChar w:fldCharType="begin"/>
        </w:r>
        <w:r w:rsidR="00857E55" w:rsidRPr="00857E55">
          <w:rPr>
            <w:webHidden/>
          </w:rPr>
          <w:instrText xml:space="preserve"> PAGEREF _Toc366672089 \h </w:instrText>
        </w:r>
        <w:r w:rsidR="00857E55" w:rsidRPr="00857E55">
          <w:rPr>
            <w:webHidden/>
          </w:rPr>
        </w:r>
        <w:r w:rsidR="00857E55" w:rsidRPr="00857E55">
          <w:rPr>
            <w:webHidden/>
          </w:rPr>
          <w:fldChar w:fldCharType="separate"/>
        </w:r>
        <w:r w:rsidR="00DA50F4">
          <w:rPr>
            <w:webHidden/>
          </w:rPr>
          <w:t>46</w:t>
        </w:r>
        <w:r w:rsidR="00857E55" w:rsidRPr="00857E55">
          <w:rPr>
            <w:webHidden/>
          </w:rPr>
          <w:fldChar w:fldCharType="end"/>
        </w:r>
      </w:hyperlink>
    </w:p>
    <w:p w:rsidR="00857E55" w:rsidRPr="00AD22A8" w:rsidRDefault="002059C1" w:rsidP="00DA50F4">
      <w:pPr>
        <w:pStyle w:val="TOC1"/>
        <w:rPr>
          <w:rFonts w:ascii="Calibri" w:hAnsi="Calibri"/>
          <w:sz w:val="22"/>
          <w:szCs w:val="22"/>
        </w:rPr>
      </w:pPr>
      <w:hyperlink w:anchor="_Toc366672090" w:history="1">
        <w:r w:rsidR="00857E55" w:rsidRPr="00857E55">
          <w:rPr>
            <w:rStyle w:val="Hyperlink"/>
            <w:color w:val="auto"/>
            <w:u w:val="none"/>
          </w:rPr>
          <w:t>Cash flow statement for the financial year ended 30 June 2013</w:t>
        </w:r>
        <w:r w:rsidR="00857E55" w:rsidRPr="00857E55">
          <w:rPr>
            <w:webHidden/>
          </w:rPr>
          <w:tab/>
        </w:r>
        <w:r w:rsidR="00857E55" w:rsidRPr="00857E55">
          <w:rPr>
            <w:webHidden/>
          </w:rPr>
          <w:fldChar w:fldCharType="begin"/>
        </w:r>
        <w:r w:rsidR="00857E55" w:rsidRPr="00857E55">
          <w:rPr>
            <w:webHidden/>
          </w:rPr>
          <w:instrText xml:space="preserve"> PAGEREF _Toc366672090 \h </w:instrText>
        </w:r>
        <w:r w:rsidR="00857E55" w:rsidRPr="00857E55">
          <w:rPr>
            <w:webHidden/>
          </w:rPr>
        </w:r>
        <w:r w:rsidR="00857E55" w:rsidRPr="00857E55">
          <w:rPr>
            <w:webHidden/>
          </w:rPr>
          <w:fldChar w:fldCharType="separate"/>
        </w:r>
        <w:r w:rsidR="00DA50F4">
          <w:rPr>
            <w:webHidden/>
          </w:rPr>
          <w:t>47</w:t>
        </w:r>
        <w:r w:rsidR="00857E55" w:rsidRPr="00857E55">
          <w:rPr>
            <w:webHidden/>
          </w:rPr>
          <w:fldChar w:fldCharType="end"/>
        </w:r>
      </w:hyperlink>
    </w:p>
    <w:p w:rsidR="00857E55" w:rsidRPr="00AD22A8" w:rsidRDefault="002059C1" w:rsidP="00DA50F4">
      <w:pPr>
        <w:pStyle w:val="TOC1"/>
        <w:rPr>
          <w:rFonts w:ascii="Calibri" w:hAnsi="Calibri"/>
          <w:sz w:val="22"/>
          <w:szCs w:val="22"/>
        </w:rPr>
      </w:pPr>
      <w:hyperlink w:anchor="_Toc366672091" w:history="1">
        <w:r w:rsidR="00857E55" w:rsidRPr="00DA50F4">
          <w:rPr>
            <w:rStyle w:val="Hyperlink"/>
            <w:color w:val="auto"/>
            <w:u w:val="none"/>
          </w:rPr>
          <w:t>Notes to the financial statements</w:t>
        </w:r>
        <w:r w:rsidR="00857E55" w:rsidRPr="00DA50F4">
          <w:rPr>
            <w:webHidden/>
          </w:rPr>
          <w:tab/>
        </w:r>
        <w:r w:rsidR="00857E55" w:rsidRPr="00DA50F4">
          <w:rPr>
            <w:webHidden/>
          </w:rPr>
          <w:fldChar w:fldCharType="begin"/>
        </w:r>
        <w:r w:rsidR="00857E55" w:rsidRPr="00DA50F4">
          <w:rPr>
            <w:webHidden/>
          </w:rPr>
          <w:instrText xml:space="preserve"> PAGEREF _Toc366672091 \h </w:instrText>
        </w:r>
        <w:r w:rsidR="00857E55" w:rsidRPr="00DA50F4">
          <w:rPr>
            <w:webHidden/>
          </w:rPr>
        </w:r>
        <w:r w:rsidR="00857E55" w:rsidRPr="00DA50F4">
          <w:rPr>
            <w:webHidden/>
          </w:rPr>
          <w:fldChar w:fldCharType="separate"/>
        </w:r>
        <w:r w:rsidR="00DA50F4" w:rsidRPr="00DA50F4">
          <w:rPr>
            <w:webHidden/>
          </w:rPr>
          <w:t>48</w:t>
        </w:r>
        <w:r w:rsidR="00857E55" w:rsidRPr="00DA50F4">
          <w:rPr>
            <w:webHidden/>
          </w:rPr>
          <w:fldChar w:fldCharType="end"/>
        </w:r>
      </w:hyperlink>
    </w:p>
    <w:p w:rsidR="008A185A" w:rsidRPr="00857E55" w:rsidRDefault="008A185A" w:rsidP="008A185A"/>
    <w:p w:rsidR="008A185A" w:rsidRPr="00FB72FA" w:rsidRDefault="008A185A" w:rsidP="008A185A">
      <w:pPr>
        <w:pStyle w:val="Normal1"/>
      </w:pPr>
    </w:p>
    <w:p w:rsidR="008A185A" w:rsidRDefault="008A185A" w:rsidP="008A185A">
      <w:pPr>
        <w:pStyle w:val="Normal1"/>
      </w:pPr>
      <w:r w:rsidRPr="00082D7E">
        <w:t>These financial statements for th</w:t>
      </w:r>
      <w:r>
        <w:t>e year ended 30 June 2013</w:t>
      </w:r>
      <w:r w:rsidRPr="00082D7E">
        <w:t xml:space="preserve"> </w:t>
      </w:r>
      <w:r>
        <w:t>are prepared for</w:t>
      </w:r>
      <w:r w:rsidRPr="00082D7E">
        <w:t xml:space="preserve"> the Public Transport Development Authority (operating as Public Transport Victoria).</w:t>
      </w:r>
    </w:p>
    <w:p w:rsidR="008A185A" w:rsidRDefault="008A185A" w:rsidP="008A185A">
      <w:pPr>
        <w:pStyle w:val="Normal1"/>
      </w:pPr>
    </w:p>
    <w:p w:rsidR="008A185A" w:rsidRPr="00082D7E" w:rsidRDefault="008A185A" w:rsidP="008A185A">
      <w:pPr>
        <w:pStyle w:val="Normal1"/>
      </w:pPr>
      <w:r w:rsidRPr="00082D7E">
        <w:t xml:space="preserve">Public Transport Victoria is a statutory authority established on 15 December 2011 commencing full operations on 2 April 2012. </w:t>
      </w:r>
      <w:r>
        <w:t xml:space="preserve"> </w:t>
      </w:r>
      <w:r w:rsidRPr="00082D7E">
        <w:t xml:space="preserve">Metlink Victoria Pty Ltd was acquired by Public Transport Victoria on 2 April 2012 and </w:t>
      </w:r>
      <w:r>
        <w:t>wa</w:t>
      </w:r>
      <w:r w:rsidRPr="00082D7E">
        <w:t xml:space="preserve">s </w:t>
      </w:r>
      <w:r>
        <w:t>subsequently deregistered on 26 August 2012</w:t>
      </w:r>
      <w:r w:rsidRPr="00082D7E">
        <w:t>.</w:t>
      </w:r>
    </w:p>
    <w:p w:rsidR="008A185A" w:rsidRDefault="008A185A" w:rsidP="008A185A">
      <w:pPr>
        <w:pStyle w:val="Normal1"/>
      </w:pPr>
    </w:p>
    <w:p w:rsidR="008A185A" w:rsidRPr="00082D7E" w:rsidRDefault="008A185A" w:rsidP="008A185A">
      <w:pPr>
        <w:pStyle w:val="Normal1"/>
      </w:pPr>
      <w:r w:rsidRPr="00082D7E">
        <w:t xml:space="preserve">A description of the nature of the </w:t>
      </w:r>
      <w:r>
        <w:t>PTV</w:t>
      </w:r>
      <w:r w:rsidRPr="00082D7E">
        <w:t>’s operations</w:t>
      </w:r>
      <w:r>
        <w:t xml:space="preserve"> and</w:t>
      </w:r>
      <w:r w:rsidRPr="00082D7E">
        <w:t xml:space="preserve"> its principal activities are included in the report of operations.</w:t>
      </w:r>
    </w:p>
    <w:p w:rsidR="008A185A" w:rsidRDefault="008A185A" w:rsidP="008A185A">
      <w:pPr>
        <w:pStyle w:val="Normal1"/>
      </w:pPr>
    </w:p>
    <w:p w:rsidR="008A185A" w:rsidRPr="00FB72FA" w:rsidRDefault="008A185A" w:rsidP="008A185A">
      <w:pPr>
        <w:pStyle w:val="Normal1"/>
      </w:pPr>
      <w:r w:rsidRPr="00FB72FA">
        <w:t xml:space="preserve">For queries in relation to these financial statements please visit </w:t>
      </w:r>
      <w:hyperlink r:id="rId9" w:history="1">
        <w:r w:rsidRPr="00370379">
          <w:rPr>
            <w:rStyle w:val="Hyperlink"/>
          </w:rPr>
          <w:t>ptv.vic.gov.au</w:t>
        </w:r>
      </w:hyperlink>
      <w:r>
        <w:t xml:space="preserve"> </w:t>
      </w:r>
    </w:p>
    <w:p w:rsidR="008A185A" w:rsidRPr="00FB72FA" w:rsidRDefault="008A185A" w:rsidP="008A185A">
      <w:pPr>
        <w:pStyle w:val="Normal1"/>
      </w:pPr>
    </w:p>
    <w:p w:rsidR="008A185A" w:rsidRPr="00FB72FA" w:rsidRDefault="008A185A" w:rsidP="008A185A">
      <w:pPr>
        <w:pStyle w:val="Heading10"/>
        <w:outlineLvl w:val="0"/>
      </w:pPr>
      <w:bookmarkStart w:id="35" w:name="_Accountable_Officer’s_and"/>
      <w:bookmarkEnd w:id="35"/>
      <w:r>
        <w:br w:type="page"/>
      </w:r>
      <w:bookmarkStart w:id="36" w:name="_Toc337471025"/>
      <w:bookmarkStart w:id="37" w:name="_Toc337537792"/>
      <w:bookmarkStart w:id="38" w:name="_Toc337539718"/>
      <w:bookmarkStart w:id="39" w:name="_Toc337707135"/>
      <w:bookmarkStart w:id="40" w:name="_Toc337711243"/>
      <w:bookmarkStart w:id="41" w:name="_Toc366663335"/>
      <w:bookmarkStart w:id="42" w:name="_Toc366671908"/>
      <w:bookmarkStart w:id="43" w:name="_Toc366672085"/>
      <w:r w:rsidRPr="00FB72FA">
        <w:t>Accountable Officer’s and Chief Finance</w:t>
      </w:r>
      <w:r>
        <w:t xml:space="preserve"> </w:t>
      </w:r>
      <w:r w:rsidRPr="00FB72FA">
        <w:t>and Accounting Officer’s Declaration</w:t>
      </w:r>
      <w:bookmarkEnd w:id="36"/>
      <w:bookmarkEnd w:id="37"/>
      <w:bookmarkEnd w:id="38"/>
      <w:bookmarkEnd w:id="39"/>
      <w:bookmarkEnd w:id="40"/>
      <w:bookmarkEnd w:id="41"/>
      <w:bookmarkEnd w:id="42"/>
      <w:bookmarkEnd w:id="43"/>
    </w:p>
    <w:p w:rsidR="008A185A" w:rsidRPr="008A185A" w:rsidRDefault="008A185A" w:rsidP="008A185A">
      <w:pPr>
        <w:rPr>
          <w:rFonts w:ascii="Arial" w:hAnsi="Arial" w:cs="Arial"/>
        </w:rPr>
      </w:pPr>
    </w:p>
    <w:p w:rsidR="008A185A" w:rsidRPr="008A185A" w:rsidRDefault="008A185A" w:rsidP="008A185A">
      <w:pPr>
        <w:rPr>
          <w:rFonts w:ascii="Arial" w:hAnsi="Arial" w:cs="Arial"/>
        </w:rPr>
      </w:pPr>
    </w:p>
    <w:p w:rsidR="008A185A" w:rsidRDefault="008A185A" w:rsidP="008A185A">
      <w:pPr>
        <w:pStyle w:val="Normal1"/>
      </w:pPr>
      <w:r w:rsidRPr="008A185A">
        <w:t xml:space="preserve">The attached financial statements for the Public Transport Development Authority have been prepared in accordance with Standing Direction 4.2 of the </w:t>
      </w:r>
      <w:r w:rsidRPr="008A185A">
        <w:rPr>
          <w:i/>
        </w:rPr>
        <w:t>Financial Management Act 1994</w:t>
      </w:r>
      <w:r w:rsidRPr="008A185A">
        <w:t>, applicable Financial Reporting Directions, Australian Accounting Standards including Interpretations, and other mandatory professional reporting requirements.</w:t>
      </w:r>
    </w:p>
    <w:p w:rsidR="008A185A" w:rsidRPr="008A185A" w:rsidRDefault="008A185A" w:rsidP="008A185A">
      <w:pPr>
        <w:pStyle w:val="Normal1"/>
      </w:pPr>
    </w:p>
    <w:p w:rsidR="008A185A" w:rsidRPr="008A185A" w:rsidRDefault="008A185A" w:rsidP="008A185A">
      <w:pPr>
        <w:pStyle w:val="Normal1"/>
      </w:pPr>
      <w:r w:rsidRPr="008A185A">
        <w:t>We further state that, in our opinion, the information set out in the comprehensive operating statement, balance sheet, statement of changes in equity, cash flow statement and accompanying notes, presents fairly the financial transactions during the year ended 30 June 2013 and financial position of the Public Transport Development Authority as at 30 June 2013.</w:t>
      </w:r>
    </w:p>
    <w:p w:rsidR="008A185A" w:rsidRDefault="008A185A" w:rsidP="008A185A">
      <w:pPr>
        <w:pStyle w:val="Normal1"/>
      </w:pPr>
      <w:r w:rsidRPr="008A185A">
        <w:t>At the time of signing, we are not aware of any circumstance which would render any particulars included in the financial statements to be misleading or inaccurate.</w:t>
      </w:r>
    </w:p>
    <w:p w:rsidR="008A185A" w:rsidRPr="008A185A" w:rsidRDefault="008A185A" w:rsidP="008A185A">
      <w:pPr>
        <w:pStyle w:val="Normal1"/>
      </w:pPr>
    </w:p>
    <w:p w:rsidR="008A185A" w:rsidRPr="008A185A" w:rsidRDefault="008A185A" w:rsidP="008A185A">
      <w:pPr>
        <w:pStyle w:val="Normal1"/>
      </w:pPr>
      <w:r w:rsidRPr="008A185A">
        <w:t>This declaration is made in accordance with a resolution of the directors.</w:t>
      </w:r>
    </w:p>
    <w:p w:rsidR="008A185A" w:rsidRPr="008A185A" w:rsidRDefault="008A185A" w:rsidP="008A185A">
      <w:pPr>
        <w:pStyle w:val="Normal1"/>
      </w:pPr>
    </w:p>
    <w:p w:rsidR="008A185A" w:rsidRPr="008A185A" w:rsidRDefault="008A185A" w:rsidP="008A185A">
      <w:pPr>
        <w:pStyle w:val="Normal1"/>
      </w:pPr>
    </w:p>
    <w:p w:rsidR="008A185A" w:rsidRDefault="008A185A" w:rsidP="008A185A">
      <w:pPr>
        <w:pStyle w:val="Normal1"/>
      </w:pPr>
    </w:p>
    <w:p w:rsidR="008A185A" w:rsidRDefault="008A185A" w:rsidP="008A185A">
      <w:pPr>
        <w:pStyle w:val="Normal1"/>
      </w:pPr>
    </w:p>
    <w:p w:rsidR="008A185A" w:rsidRDefault="008A185A" w:rsidP="008A185A">
      <w:pPr>
        <w:pStyle w:val="Normal1"/>
      </w:pPr>
    </w:p>
    <w:p w:rsidR="008A185A" w:rsidRDefault="008A185A" w:rsidP="008A185A">
      <w:pPr>
        <w:pStyle w:val="Normal1"/>
      </w:pPr>
    </w:p>
    <w:p w:rsidR="008A185A" w:rsidRDefault="008A185A" w:rsidP="008A185A">
      <w:pPr>
        <w:pStyle w:val="Normal1"/>
      </w:pPr>
      <w:r>
        <w:t>Ian Dobbs</w:t>
      </w:r>
      <w:r>
        <w:tab/>
      </w:r>
      <w:r>
        <w:tab/>
      </w:r>
      <w:r>
        <w:tab/>
      </w:r>
      <w:r>
        <w:tab/>
      </w:r>
      <w:r>
        <w:tab/>
        <w:t>Fred Cilia</w:t>
      </w:r>
    </w:p>
    <w:p w:rsidR="008A185A" w:rsidRDefault="008A185A" w:rsidP="008A185A">
      <w:pPr>
        <w:pStyle w:val="Normal1"/>
      </w:pPr>
      <w:r>
        <w:t>Chair and Chief Executive Officer</w:t>
      </w:r>
      <w:r>
        <w:tab/>
      </w:r>
      <w:r>
        <w:tab/>
        <w:t>Director Finance</w:t>
      </w:r>
    </w:p>
    <w:p w:rsidR="008A185A" w:rsidRDefault="008A185A" w:rsidP="008A185A">
      <w:pPr>
        <w:pStyle w:val="Normal1"/>
      </w:pPr>
      <w:r>
        <w:t>11 September 2013</w:t>
      </w:r>
      <w:r>
        <w:tab/>
      </w:r>
      <w:r>
        <w:tab/>
      </w:r>
      <w:r>
        <w:tab/>
      </w:r>
      <w:r>
        <w:tab/>
        <w:t>11 September 2013</w:t>
      </w:r>
    </w:p>
    <w:p w:rsidR="008A185A" w:rsidRDefault="008A185A" w:rsidP="008A185A">
      <w:pPr>
        <w:pStyle w:val="Normal1"/>
      </w:pPr>
      <w:r>
        <w:t>Melbourne</w:t>
      </w:r>
      <w:r>
        <w:tab/>
      </w:r>
      <w:r>
        <w:tab/>
      </w:r>
      <w:r>
        <w:tab/>
      </w:r>
      <w:r>
        <w:tab/>
      </w:r>
      <w:r>
        <w:tab/>
        <w:t>Melbourne</w:t>
      </w:r>
    </w:p>
    <w:p w:rsidR="008A185A" w:rsidRDefault="008A185A" w:rsidP="008A185A"/>
    <w:p w:rsidR="008A185A" w:rsidRPr="00FB72FA" w:rsidRDefault="008A185A" w:rsidP="008A185A"/>
    <w:p w:rsidR="008A185A" w:rsidRDefault="008A185A" w:rsidP="008A185A">
      <w:pPr>
        <w:pStyle w:val="Heading10"/>
        <w:outlineLvl w:val="0"/>
      </w:pPr>
      <w:bookmarkStart w:id="44" w:name="_Victorian_Auditor-General’s_Report"/>
      <w:bookmarkEnd w:id="44"/>
      <w:r>
        <w:br w:type="page"/>
      </w:r>
      <w:bookmarkStart w:id="45" w:name="_Toc337471026"/>
      <w:bookmarkStart w:id="46" w:name="_Toc337537793"/>
      <w:bookmarkStart w:id="47" w:name="_Toc337539719"/>
      <w:bookmarkStart w:id="48" w:name="_Toc337707136"/>
      <w:bookmarkStart w:id="49" w:name="_Toc337711244"/>
      <w:bookmarkStart w:id="50" w:name="_Toc366663336"/>
      <w:bookmarkStart w:id="51" w:name="_Toc366671909"/>
      <w:bookmarkStart w:id="52" w:name="_Toc366672086"/>
      <w:r w:rsidRPr="00FB72FA">
        <w:t>Victorian Auditor-General’s Report</w:t>
      </w:r>
      <w:bookmarkEnd w:id="45"/>
      <w:bookmarkEnd w:id="46"/>
      <w:bookmarkEnd w:id="47"/>
      <w:bookmarkEnd w:id="48"/>
      <w:bookmarkEnd w:id="49"/>
      <w:bookmarkEnd w:id="50"/>
      <w:bookmarkEnd w:id="51"/>
      <w:bookmarkEnd w:id="52"/>
    </w:p>
    <w:p w:rsidR="008A185A" w:rsidRDefault="008A185A" w:rsidP="008A185A">
      <w:pPr>
        <w:pStyle w:val="Heading10"/>
      </w:pPr>
    </w:p>
    <w:p w:rsidR="008A185A" w:rsidRDefault="00AD22A8" w:rsidP="008A185A">
      <w:r w:rsidRPr="004A51F3">
        <w:rPr>
          <w:noProof/>
        </w:rPr>
        <w:pict>
          <v:shape id="Picture 3" o:spid="_x0000_i1026" type="#_x0000_t75" style="width:404.25pt;height:623.25pt;visibility:visible">
            <v:imagedata r:id="rId10" o:title=""/>
          </v:shape>
        </w:pict>
      </w:r>
    </w:p>
    <w:p w:rsidR="008A185A" w:rsidRDefault="008A185A" w:rsidP="008A185A">
      <w:pPr>
        <w:pStyle w:val="Heading1"/>
      </w:pPr>
      <w:r>
        <w:br w:type="page"/>
      </w:r>
    </w:p>
    <w:p w:rsidR="008A185A" w:rsidRPr="00FB72FA" w:rsidRDefault="00AD22A8" w:rsidP="008A185A">
      <w:r w:rsidRPr="004A51F3">
        <w:rPr>
          <w:noProof/>
        </w:rPr>
        <w:pict>
          <v:shape id="Picture 2" o:spid="_x0000_i1027" type="#_x0000_t75" style="width:403.5pt;height:594pt;visibility:visible">
            <v:imagedata r:id="rId11" o:title=""/>
          </v:shape>
        </w:pict>
      </w:r>
    </w:p>
    <w:p w:rsidR="008A185A" w:rsidRPr="00FB72FA" w:rsidRDefault="008A185A" w:rsidP="008A185A">
      <w:pPr>
        <w:pStyle w:val="Heading10"/>
        <w:outlineLvl w:val="0"/>
      </w:pPr>
      <w:bookmarkStart w:id="53" w:name="_Comprehensive_operating_statement"/>
      <w:bookmarkEnd w:id="53"/>
      <w:r>
        <w:br w:type="page"/>
      </w:r>
      <w:bookmarkStart w:id="54" w:name="_Toc337471028"/>
      <w:bookmarkStart w:id="55" w:name="_Toc337537794"/>
      <w:bookmarkStart w:id="56" w:name="_Toc337539720"/>
      <w:bookmarkStart w:id="57" w:name="_Toc337707137"/>
      <w:bookmarkStart w:id="58" w:name="_Toc337711245"/>
      <w:bookmarkStart w:id="59" w:name="_Toc366663337"/>
      <w:bookmarkStart w:id="60" w:name="_Toc366671910"/>
      <w:bookmarkStart w:id="61" w:name="_Toc366672087"/>
      <w:r w:rsidRPr="00FB72FA">
        <w:t>Comprehensive operating statement</w:t>
      </w:r>
      <w:r>
        <w:t xml:space="preserve"> </w:t>
      </w:r>
      <w:r w:rsidRPr="00FB72FA">
        <w:t>for the financial year ended 30 June 201</w:t>
      </w:r>
      <w:bookmarkEnd w:id="54"/>
      <w:bookmarkEnd w:id="55"/>
      <w:bookmarkEnd w:id="56"/>
      <w:bookmarkEnd w:id="57"/>
      <w:bookmarkEnd w:id="58"/>
      <w:r>
        <w:t>3</w:t>
      </w:r>
      <w:bookmarkEnd w:id="59"/>
      <w:bookmarkEnd w:id="60"/>
      <w:bookmarkEnd w:id="61"/>
    </w:p>
    <w:tbl>
      <w:tblPr>
        <w:tblW w:w="475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146"/>
        <w:gridCol w:w="541"/>
        <w:gridCol w:w="979"/>
        <w:gridCol w:w="1098"/>
        <w:gridCol w:w="1142"/>
      </w:tblGrid>
      <w:tr w:rsidR="008A185A" w:rsidRPr="00ED7062" w:rsidTr="008A185A">
        <w:tc>
          <w:tcPr>
            <w:tcW w:w="2965" w:type="pct"/>
            <w:gridSpan w:val="2"/>
            <w:shd w:val="clear" w:color="auto" w:fill="auto"/>
            <w:tcMar>
              <w:top w:w="57" w:type="dxa"/>
              <w:left w:w="113" w:type="dxa"/>
              <w:bottom w:w="85" w:type="dxa"/>
              <w:right w:w="113" w:type="dxa"/>
            </w:tcMar>
            <w:vAlign w:val="bottom"/>
          </w:tcPr>
          <w:p w:rsidR="008A185A" w:rsidRPr="00ED7062" w:rsidRDefault="008A185A" w:rsidP="008A185A">
            <w:pPr>
              <w:pStyle w:val="TableHeading"/>
            </w:pPr>
            <w:r w:rsidRPr="00ED7062">
              <w:t>Note</w:t>
            </w:r>
          </w:p>
        </w:tc>
        <w:tc>
          <w:tcPr>
            <w:tcW w:w="619" w:type="pct"/>
            <w:tcBorders>
              <w:bottom w:val="single" w:sz="6" w:space="0" w:color="auto"/>
            </w:tcBorders>
            <w:vAlign w:val="bottom"/>
          </w:tcPr>
          <w:p w:rsidR="008A185A" w:rsidRDefault="008A185A" w:rsidP="008A185A">
            <w:pPr>
              <w:pStyle w:val="TableHeading"/>
            </w:pPr>
          </w:p>
          <w:p w:rsidR="008A185A" w:rsidRPr="00ED7062" w:rsidRDefault="008A185A" w:rsidP="008A185A">
            <w:pPr>
              <w:pStyle w:val="TableHeading"/>
              <w:ind w:right="138"/>
            </w:pPr>
            <w:r>
              <w:t>2013</w:t>
            </w:r>
          </w:p>
          <w:p w:rsidR="008A185A" w:rsidRPr="00ED7062" w:rsidRDefault="008A185A" w:rsidP="008A185A">
            <w:pPr>
              <w:pStyle w:val="TableHeading"/>
              <w:ind w:right="138"/>
            </w:pPr>
            <w:r w:rsidRPr="00ED7062">
              <w:t>$’000</w:t>
            </w:r>
          </w:p>
        </w:tc>
        <w:tc>
          <w:tcPr>
            <w:tcW w:w="694" w:type="pct"/>
            <w:tcBorders>
              <w:bottom w:val="single" w:sz="6" w:space="0" w:color="auto"/>
            </w:tcBorders>
            <w:shd w:val="clear" w:color="auto" w:fill="auto"/>
            <w:tcMar>
              <w:top w:w="57" w:type="dxa"/>
              <w:left w:w="113" w:type="dxa"/>
              <w:bottom w:w="85" w:type="dxa"/>
              <w:right w:w="113" w:type="dxa"/>
            </w:tcMar>
            <w:vAlign w:val="bottom"/>
          </w:tcPr>
          <w:p w:rsidR="008A185A" w:rsidRDefault="008A185A" w:rsidP="008A185A">
            <w:pPr>
              <w:pStyle w:val="TableHeading"/>
            </w:pPr>
            <w:r>
              <w:t>Consolidated</w:t>
            </w:r>
          </w:p>
          <w:p w:rsidR="008A185A" w:rsidRPr="00ED7062" w:rsidRDefault="008A185A" w:rsidP="008A185A">
            <w:pPr>
              <w:pStyle w:val="TableHeading"/>
            </w:pPr>
            <w:r>
              <w:t>15.12.</w:t>
            </w:r>
            <w:r w:rsidRPr="00ED7062">
              <w:t>201</w:t>
            </w:r>
            <w:r>
              <w:t>1</w:t>
            </w:r>
          </w:p>
          <w:p w:rsidR="008A185A" w:rsidRPr="00ED7062" w:rsidRDefault="008A185A" w:rsidP="008A185A">
            <w:pPr>
              <w:pStyle w:val="TableHeading"/>
            </w:pPr>
            <w:r>
              <w:t>to 30.6.2012</w:t>
            </w:r>
          </w:p>
          <w:p w:rsidR="008A185A" w:rsidRPr="00ED7062" w:rsidRDefault="008A185A" w:rsidP="008A185A">
            <w:pPr>
              <w:pStyle w:val="TableHeading"/>
            </w:pPr>
            <w:r w:rsidRPr="00ED7062">
              <w:t xml:space="preserve">$’000 </w:t>
            </w:r>
          </w:p>
        </w:tc>
        <w:tc>
          <w:tcPr>
            <w:tcW w:w="721" w:type="pct"/>
            <w:shd w:val="clear" w:color="auto" w:fill="auto"/>
            <w:tcMar>
              <w:top w:w="57" w:type="dxa"/>
              <w:left w:w="113" w:type="dxa"/>
              <w:bottom w:w="85" w:type="dxa"/>
              <w:right w:w="113" w:type="dxa"/>
            </w:tcMar>
            <w:vAlign w:val="bottom"/>
          </w:tcPr>
          <w:p w:rsidR="008A185A" w:rsidRDefault="008A185A" w:rsidP="008A185A">
            <w:pPr>
              <w:pStyle w:val="TableHeading"/>
            </w:pPr>
            <w:r>
              <w:t>Parent</w:t>
            </w:r>
          </w:p>
          <w:p w:rsidR="008A185A" w:rsidRPr="00ED7062" w:rsidRDefault="008A185A" w:rsidP="008A185A">
            <w:pPr>
              <w:pStyle w:val="TableHeading"/>
            </w:pPr>
            <w:r>
              <w:t>15.12.20</w:t>
            </w:r>
            <w:r w:rsidRPr="00ED7062">
              <w:t>11</w:t>
            </w:r>
          </w:p>
          <w:p w:rsidR="008A185A" w:rsidRPr="00ED7062" w:rsidRDefault="008A185A" w:rsidP="008A185A">
            <w:pPr>
              <w:pStyle w:val="TableHeading"/>
            </w:pPr>
            <w:r>
              <w:t>to 30.6.2012</w:t>
            </w:r>
          </w:p>
          <w:p w:rsidR="008A185A" w:rsidRPr="00ED7062" w:rsidRDefault="008A185A" w:rsidP="008A185A">
            <w:pPr>
              <w:pStyle w:val="TableHeading"/>
            </w:pPr>
            <w:r>
              <w:t>$’000</w:t>
            </w:r>
          </w:p>
        </w:tc>
      </w:tr>
      <w:tr w:rsidR="008A185A" w:rsidRPr="00ED7062" w:rsidTr="008A185A">
        <w:trPr>
          <w:trHeight w:hRule="exact" w:val="460"/>
        </w:trPr>
        <w:tc>
          <w:tcPr>
            <w:tcW w:w="2623" w:type="pct"/>
            <w:shd w:val="clear" w:color="auto" w:fill="auto"/>
            <w:tcMar>
              <w:top w:w="0" w:type="dxa"/>
              <w:left w:w="113" w:type="dxa"/>
              <w:bottom w:w="85" w:type="dxa"/>
              <w:right w:w="113" w:type="dxa"/>
            </w:tcMar>
            <w:vAlign w:val="bottom"/>
          </w:tcPr>
          <w:p w:rsidR="008A185A" w:rsidRPr="00A074A3" w:rsidRDefault="008A185A" w:rsidP="008A185A">
            <w:pPr>
              <w:pStyle w:val="Tablecopy"/>
              <w:rPr>
                <w:b/>
              </w:rPr>
            </w:pPr>
            <w:r w:rsidRPr="00A074A3">
              <w:rPr>
                <w:b/>
              </w:rPr>
              <w:t>Income from transactions</w:t>
            </w:r>
          </w:p>
        </w:tc>
        <w:tc>
          <w:tcPr>
            <w:tcW w:w="342" w:type="pct"/>
            <w:shd w:val="clear" w:color="auto" w:fill="auto"/>
            <w:tcMar>
              <w:top w:w="0" w:type="dxa"/>
              <w:left w:w="113" w:type="dxa"/>
              <w:bottom w:w="85" w:type="dxa"/>
              <w:right w:w="113" w:type="dxa"/>
            </w:tcMar>
            <w:vAlign w:val="bottom"/>
          </w:tcPr>
          <w:p w:rsidR="008A185A" w:rsidRPr="00ED7062" w:rsidRDefault="008A185A" w:rsidP="008A185A">
            <w:pPr>
              <w:pStyle w:val="Tablecopy"/>
              <w:jc w:val="right"/>
            </w:pPr>
          </w:p>
        </w:tc>
        <w:tc>
          <w:tcPr>
            <w:tcW w:w="619" w:type="pct"/>
            <w:shd w:val="pct10" w:color="auto" w:fill="auto"/>
            <w:vAlign w:val="bottom"/>
          </w:tcPr>
          <w:p w:rsidR="008A185A" w:rsidRPr="00ED7062" w:rsidRDefault="008A185A" w:rsidP="008A185A">
            <w:pPr>
              <w:pStyle w:val="Tablecopy"/>
              <w:ind w:right="138"/>
              <w:jc w:val="right"/>
            </w:pPr>
          </w:p>
        </w:tc>
        <w:tc>
          <w:tcPr>
            <w:tcW w:w="694" w:type="pct"/>
            <w:shd w:val="clear" w:color="auto" w:fill="auto"/>
            <w:tcMar>
              <w:top w:w="0" w:type="dxa"/>
              <w:left w:w="113" w:type="dxa"/>
              <w:bottom w:w="85" w:type="dxa"/>
              <w:right w:w="113" w:type="dxa"/>
            </w:tcMar>
            <w:vAlign w:val="bottom"/>
          </w:tcPr>
          <w:p w:rsidR="008A185A" w:rsidRPr="00ED7062" w:rsidRDefault="008A185A" w:rsidP="008A185A">
            <w:pPr>
              <w:pStyle w:val="Tablecopy"/>
              <w:jc w:val="right"/>
            </w:pPr>
          </w:p>
        </w:tc>
        <w:tc>
          <w:tcPr>
            <w:tcW w:w="721" w:type="pct"/>
            <w:shd w:val="clear" w:color="auto" w:fill="auto"/>
            <w:tcMar>
              <w:top w:w="0" w:type="dxa"/>
              <w:left w:w="113" w:type="dxa"/>
              <w:bottom w:w="85" w:type="dxa"/>
              <w:right w:w="113" w:type="dxa"/>
            </w:tcMar>
            <w:vAlign w:val="bottom"/>
          </w:tcPr>
          <w:p w:rsidR="008A185A" w:rsidRPr="00ED7062" w:rsidRDefault="008A185A" w:rsidP="008A185A">
            <w:pPr>
              <w:pStyle w:val="Tablecopy"/>
              <w:jc w:val="right"/>
            </w:pP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t>Grants</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619" w:type="pct"/>
            <w:shd w:val="pct10" w:color="auto" w:fill="auto"/>
            <w:vAlign w:val="center"/>
          </w:tcPr>
          <w:p w:rsidR="008A185A" w:rsidRPr="00ED7062" w:rsidRDefault="008A185A" w:rsidP="008A185A">
            <w:pPr>
              <w:pStyle w:val="Tablecopy"/>
              <w:ind w:right="138"/>
              <w:jc w:val="right"/>
            </w:pPr>
            <w:r>
              <w:t>4,178,806</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998</w:t>
            </w:r>
            <w:r w:rsidRPr="00ED7062">
              <w:t>,</w:t>
            </w:r>
            <w:r>
              <w:t>999</w:t>
            </w:r>
            <w:r w:rsidRPr="00ED7062">
              <w:t xml:space="preserve"> </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998</w:t>
            </w:r>
            <w:r w:rsidRPr="00ED7062">
              <w:t>,</w:t>
            </w:r>
            <w:r>
              <w:t>999</w:t>
            </w:r>
            <w:r w:rsidRPr="00ED7062">
              <w:t xml:space="preserve"> </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Fair value of assets and services received free of charge</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3</w:t>
            </w:r>
            <w:r w:rsidRPr="00ED7062">
              <w:t>(</w:t>
            </w:r>
            <w:r>
              <w:t>a</w:t>
            </w:r>
            <w:r w:rsidRPr="00ED7062">
              <w:t>)</w:t>
            </w:r>
          </w:p>
        </w:tc>
        <w:tc>
          <w:tcPr>
            <w:tcW w:w="619" w:type="pct"/>
            <w:shd w:val="pct10" w:color="auto" w:fill="auto"/>
            <w:vAlign w:val="center"/>
          </w:tcPr>
          <w:p w:rsidR="008A185A" w:rsidRPr="00ED7062" w:rsidRDefault="008A185A" w:rsidP="008A185A">
            <w:pPr>
              <w:pStyle w:val="Tablecopy"/>
              <w:ind w:right="138"/>
              <w:jc w:val="right"/>
            </w:pPr>
            <w:r>
              <w:t>40,238</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1</w:t>
            </w:r>
            <w:r>
              <w:t>07</w:t>
            </w:r>
            <w:r w:rsidRPr="00ED7062">
              <w:t>,</w:t>
            </w:r>
            <w:r>
              <w:t>8</w:t>
            </w:r>
            <w:r w:rsidRPr="00ED7062">
              <w:t>7</w:t>
            </w:r>
            <w:r>
              <w:t>3</w:t>
            </w:r>
            <w:r w:rsidRPr="00ED7062">
              <w:t xml:space="preserve"> </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1</w:t>
            </w:r>
            <w:r>
              <w:t>08</w:t>
            </w:r>
            <w:r w:rsidRPr="00ED7062">
              <w:t>,</w:t>
            </w:r>
            <w:r>
              <w:t>419</w:t>
            </w:r>
            <w:r w:rsidRPr="00ED7062">
              <w:t xml:space="preserve"> </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t>Operators’ contribution for marketing and communications</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3</w:t>
            </w:r>
            <w:r w:rsidRPr="00ED7062">
              <w:t>(</w:t>
            </w:r>
            <w:r>
              <w:t>b</w:t>
            </w:r>
            <w:r w:rsidRPr="00ED7062">
              <w:t>)</w:t>
            </w:r>
          </w:p>
        </w:tc>
        <w:tc>
          <w:tcPr>
            <w:tcW w:w="619" w:type="pct"/>
            <w:shd w:val="pct10" w:color="auto" w:fill="auto"/>
            <w:vAlign w:val="center"/>
          </w:tcPr>
          <w:p w:rsidR="008A185A" w:rsidRPr="00ED7062" w:rsidRDefault="008A185A" w:rsidP="008A185A">
            <w:pPr>
              <w:pStyle w:val="Tablecopy"/>
              <w:ind w:right="138"/>
              <w:jc w:val="right"/>
            </w:pPr>
            <w:r>
              <w:t>8,435</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2</w:t>
            </w:r>
            <w:r w:rsidRPr="00ED7062">
              <w:t>,</w:t>
            </w:r>
            <w:r>
              <w:t>057</w:t>
            </w:r>
            <w:r w:rsidRPr="00ED7062">
              <w:t xml:space="preserve"> </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2</w:t>
            </w:r>
            <w:r w:rsidRPr="00ED7062">
              <w:t>,</w:t>
            </w:r>
            <w:r>
              <w:t>057</w:t>
            </w:r>
            <w:r w:rsidRPr="00ED7062">
              <w:t xml:space="preserve"> </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t>Issuance fee of myki cards</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3(c)</w:t>
            </w:r>
          </w:p>
        </w:tc>
        <w:tc>
          <w:tcPr>
            <w:tcW w:w="619" w:type="pct"/>
            <w:shd w:val="pct10" w:color="auto" w:fill="auto"/>
            <w:vAlign w:val="center"/>
          </w:tcPr>
          <w:p w:rsidR="008A185A" w:rsidRPr="00ED7062" w:rsidRDefault="008A185A" w:rsidP="008A185A">
            <w:pPr>
              <w:pStyle w:val="Tablecopy"/>
              <w:ind w:right="138"/>
              <w:jc w:val="right"/>
            </w:pPr>
            <w:r>
              <w:t>7,777</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 xml:space="preserve"> -</w:t>
            </w:r>
            <w:r w:rsidRPr="00ED7062">
              <w:t xml:space="preserve"> </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 xml:space="preserve"> -</w:t>
            </w:r>
            <w:r w:rsidRPr="00ED7062">
              <w:t xml:space="preserve"> </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Interest</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3(d)</w:t>
            </w:r>
          </w:p>
        </w:tc>
        <w:tc>
          <w:tcPr>
            <w:tcW w:w="619" w:type="pct"/>
            <w:shd w:val="pct10" w:color="auto" w:fill="auto"/>
            <w:vAlign w:val="center"/>
          </w:tcPr>
          <w:p w:rsidR="008A185A" w:rsidRPr="00ED7062" w:rsidRDefault="008A185A" w:rsidP="008A185A">
            <w:pPr>
              <w:pStyle w:val="Tablecopy"/>
              <w:ind w:right="138"/>
              <w:jc w:val="right"/>
            </w:pPr>
            <w:r>
              <w:t>2,899</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1</w:t>
            </w:r>
            <w:r w:rsidRPr="00ED7062">
              <w:t>,</w:t>
            </w:r>
            <w:r>
              <w:t>186</w:t>
            </w:r>
            <w:r w:rsidRPr="00ED7062">
              <w:t xml:space="preserve"> </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1</w:t>
            </w:r>
            <w:r w:rsidRPr="00ED7062">
              <w:t>,</w:t>
            </w:r>
            <w:r>
              <w:t>186</w:t>
            </w:r>
            <w:r w:rsidRPr="00ED7062">
              <w:t xml:space="preserve"> </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t>Gain on acquisition of Metlink</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2(e)</w:t>
            </w:r>
          </w:p>
        </w:tc>
        <w:tc>
          <w:tcPr>
            <w:tcW w:w="619" w:type="pct"/>
            <w:shd w:val="pct10" w:color="auto" w:fill="auto"/>
            <w:vAlign w:val="center"/>
          </w:tcPr>
          <w:p w:rsidR="008A185A" w:rsidRPr="00ED7062" w:rsidRDefault="008A185A" w:rsidP="008A185A">
            <w:pPr>
              <w:pStyle w:val="Tablecopy"/>
              <w:ind w:right="138"/>
              <w:jc w:val="right"/>
            </w:pPr>
            <w:r>
              <w:t>-</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5</w:t>
            </w:r>
            <w:r w:rsidRPr="00ED7062">
              <w:t>4</w:t>
            </w:r>
            <w:r>
              <w:t>6</w:t>
            </w:r>
            <w:r w:rsidRPr="00ED7062">
              <w:t xml:space="preserve"> </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Other income</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3(e)</w:t>
            </w:r>
          </w:p>
        </w:tc>
        <w:tc>
          <w:tcPr>
            <w:tcW w:w="619" w:type="pct"/>
            <w:shd w:val="pct10" w:color="auto" w:fill="auto"/>
            <w:vAlign w:val="center"/>
          </w:tcPr>
          <w:p w:rsidR="008A185A" w:rsidRPr="00ED7062" w:rsidRDefault="008A185A" w:rsidP="008A185A">
            <w:pPr>
              <w:pStyle w:val="Tablecopy"/>
              <w:ind w:right="138"/>
              <w:jc w:val="right"/>
            </w:pPr>
            <w:r>
              <w:t>1,670</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6</w:t>
            </w:r>
            <w:r>
              <w:t>5</w:t>
            </w:r>
            <w:r w:rsidRPr="00ED7062">
              <w:t xml:space="preserve">5 </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6</w:t>
            </w:r>
            <w:r>
              <w:t>5</w:t>
            </w:r>
            <w:r w:rsidRPr="00ED7062">
              <w:t xml:space="preserve">5 </w:t>
            </w:r>
          </w:p>
        </w:tc>
      </w:tr>
      <w:tr w:rsidR="008A185A" w:rsidRPr="00ED7062" w:rsidTr="008A185A">
        <w:trPr>
          <w:trHeight w:hRule="exact" w:val="368"/>
        </w:trPr>
        <w:tc>
          <w:tcPr>
            <w:tcW w:w="2623"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Total income from transactions</w:t>
            </w:r>
          </w:p>
        </w:tc>
        <w:tc>
          <w:tcPr>
            <w:tcW w:w="342"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619" w:type="pct"/>
            <w:shd w:val="pct10" w:color="auto" w:fill="auto"/>
            <w:vAlign w:val="center"/>
          </w:tcPr>
          <w:p w:rsidR="008A185A" w:rsidRPr="00A074A3" w:rsidRDefault="008A185A" w:rsidP="008A185A">
            <w:pPr>
              <w:pStyle w:val="Tablecopy"/>
              <w:ind w:right="138"/>
              <w:jc w:val="right"/>
              <w:rPr>
                <w:b/>
              </w:rPr>
            </w:pPr>
            <w:r>
              <w:rPr>
                <w:b/>
              </w:rPr>
              <w:t>4,239,825</w:t>
            </w:r>
          </w:p>
        </w:tc>
        <w:tc>
          <w:tcPr>
            <w:tcW w:w="694"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1</w:t>
            </w:r>
            <w:r w:rsidRPr="00A074A3">
              <w:rPr>
                <w:b/>
              </w:rPr>
              <w:t>,</w:t>
            </w:r>
            <w:r>
              <w:rPr>
                <w:b/>
              </w:rPr>
              <w:t>111</w:t>
            </w:r>
            <w:r w:rsidRPr="00A074A3">
              <w:rPr>
                <w:b/>
              </w:rPr>
              <w:t>,</w:t>
            </w:r>
            <w:r>
              <w:rPr>
                <w:b/>
              </w:rPr>
              <w:t>316</w:t>
            </w:r>
            <w:r w:rsidRPr="00A074A3">
              <w:rPr>
                <w:b/>
              </w:rPr>
              <w:t xml:space="preserve"> </w:t>
            </w:r>
          </w:p>
        </w:tc>
        <w:tc>
          <w:tcPr>
            <w:tcW w:w="721"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1</w:t>
            </w:r>
            <w:r w:rsidRPr="00A074A3">
              <w:rPr>
                <w:b/>
              </w:rPr>
              <w:t>,</w:t>
            </w:r>
            <w:r>
              <w:rPr>
                <w:b/>
              </w:rPr>
              <w:t>111</w:t>
            </w:r>
            <w:r w:rsidRPr="00A074A3">
              <w:rPr>
                <w:b/>
              </w:rPr>
              <w:t>,</w:t>
            </w:r>
            <w:r>
              <w:rPr>
                <w:b/>
              </w:rPr>
              <w:t>316</w:t>
            </w:r>
            <w:r w:rsidRPr="00A074A3">
              <w:rPr>
                <w:b/>
              </w:rPr>
              <w:t xml:space="preserve"> </w:t>
            </w:r>
          </w:p>
        </w:tc>
      </w:tr>
      <w:tr w:rsidR="008A185A" w:rsidRPr="00ED7062" w:rsidTr="008A185A">
        <w:trPr>
          <w:trHeight w:hRule="exact" w:val="289"/>
        </w:trPr>
        <w:tc>
          <w:tcPr>
            <w:tcW w:w="2623" w:type="pct"/>
            <w:shd w:val="clear" w:color="auto" w:fill="auto"/>
            <w:tcMar>
              <w:top w:w="0" w:type="dxa"/>
              <w:left w:w="113" w:type="dxa"/>
              <w:bottom w:w="85" w:type="dxa"/>
              <w:right w:w="113" w:type="dxa"/>
            </w:tcMar>
            <w:vAlign w:val="bottom"/>
          </w:tcPr>
          <w:p w:rsidR="008A185A" w:rsidRPr="00A074A3" w:rsidRDefault="008A185A" w:rsidP="008A185A">
            <w:pPr>
              <w:pStyle w:val="Tablecopy"/>
              <w:rPr>
                <w:b/>
              </w:rPr>
            </w:pPr>
            <w:r w:rsidRPr="00A074A3">
              <w:rPr>
                <w:b/>
              </w:rPr>
              <w:t>Expenses from transactions</w:t>
            </w:r>
          </w:p>
        </w:tc>
        <w:tc>
          <w:tcPr>
            <w:tcW w:w="342" w:type="pct"/>
            <w:shd w:val="clear" w:color="auto" w:fill="auto"/>
            <w:tcMar>
              <w:top w:w="0" w:type="dxa"/>
              <w:left w:w="113" w:type="dxa"/>
              <w:bottom w:w="85" w:type="dxa"/>
              <w:right w:w="113" w:type="dxa"/>
            </w:tcMar>
            <w:vAlign w:val="bottom"/>
          </w:tcPr>
          <w:p w:rsidR="008A185A" w:rsidRPr="00ED7062" w:rsidRDefault="008A185A" w:rsidP="008A185A">
            <w:pPr>
              <w:pStyle w:val="Tablecopy"/>
              <w:jc w:val="right"/>
            </w:pPr>
          </w:p>
        </w:tc>
        <w:tc>
          <w:tcPr>
            <w:tcW w:w="619" w:type="pct"/>
            <w:shd w:val="pct10" w:color="auto" w:fill="auto"/>
            <w:vAlign w:val="center"/>
          </w:tcPr>
          <w:p w:rsidR="008A185A" w:rsidRPr="00ED7062" w:rsidRDefault="008A185A" w:rsidP="008A185A">
            <w:pPr>
              <w:pStyle w:val="Tablecopy"/>
              <w:ind w:right="138"/>
              <w:jc w:val="right"/>
            </w:pPr>
          </w:p>
        </w:tc>
        <w:tc>
          <w:tcPr>
            <w:tcW w:w="694" w:type="pct"/>
            <w:shd w:val="clear" w:color="auto" w:fill="auto"/>
            <w:tcMar>
              <w:top w:w="0" w:type="dxa"/>
              <w:left w:w="113" w:type="dxa"/>
              <w:bottom w:w="85" w:type="dxa"/>
              <w:right w:w="113" w:type="dxa"/>
            </w:tcMar>
            <w:vAlign w:val="bottom"/>
          </w:tcPr>
          <w:p w:rsidR="008A185A" w:rsidRPr="00ED7062" w:rsidRDefault="008A185A" w:rsidP="008A185A">
            <w:pPr>
              <w:pStyle w:val="Tablecopy"/>
              <w:jc w:val="right"/>
            </w:pPr>
          </w:p>
        </w:tc>
        <w:tc>
          <w:tcPr>
            <w:tcW w:w="721" w:type="pct"/>
            <w:shd w:val="clear" w:color="auto" w:fill="auto"/>
            <w:tcMar>
              <w:top w:w="0" w:type="dxa"/>
              <w:left w:w="113" w:type="dxa"/>
              <w:bottom w:w="85" w:type="dxa"/>
              <w:right w:w="113" w:type="dxa"/>
            </w:tcMar>
            <w:vAlign w:val="bottom"/>
          </w:tcPr>
          <w:p w:rsidR="008A185A" w:rsidRPr="00ED7062" w:rsidRDefault="008A185A" w:rsidP="008A185A">
            <w:pPr>
              <w:pStyle w:val="Tablecopy"/>
              <w:jc w:val="right"/>
            </w:pP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Payments to service providers and transport agencies</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4</w:t>
            </w:r>
            <w:r w:rsidRPr="00ED7062">
              <w:t>(a)</w:t>
            </w:r>
          </w:p>
        </w:tc>
        <w:tc>
          <w:tcPr>
            <w:tcW w:w="619" w:type="pct"/>
            <w:shd w:val="pct10" w:color="auto" w:fill="auto"/>
            <w:vAlign w:val="center"/>
          </w:tcPr>
          <w:p w:rsidR="008A185A" w:rsidRPr="00ED7062" w:rsidRDefault="008A185A" w:rsidP="008A185A">
            <w:pPr>
              <w:pStyle w:val="Tablecopy"/>
              <w:ind w:right="138"/>
              <w:jc w:val="right"/>
            </w:pPr>
            <w:r>
              <w:t>(4,062,343)</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946</w:t>
            </w:r>
            <w:r w:rsidRPr="00ED7062">
              <w:t>,</w:t>
            </w:r>
            <w:r>
              <w:t>928</w:t>
            </w:r>
            <w:r w:rsidRPr="00ED7062">
              <w:t>)</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946</w:t>
            </w:r>
            <w:r w:rsidRPr="00ED7062">
              <w:t>,</w:t>
            </w:r>
            <w:r>
              <w:t>928</w:t>
            </w:r>
            <w:r w:rsidRPr="00ED7062">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Supplies and services</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4</w:t>
            </w:r>
            <w:r w:rsidRPr="00ED7062">
              <w:t>(b)</w:t>
            </w:r>
          </w:p>
        </w:tc>
        <w:tc>
          <w:tcPr>
            <w:tcW w:w="619" w:type="pct"/>
            <w:shd w:val="pct10" w:color="auto" w:fill="auto"/>
            <w:vAlign w:val="center"/>
          </w:tcPr>
          <w:p w:rsidR="008A185A" w:rsidRPr="00ED7062" w:rsidRDefault="008A185A" w:rsidP="008A185A">
            <w:pPr>
              <w:pStyle w:val="Tablecopy"/>
              <w:ind w:right="138"/>
              <w:jc w:val="right"/>
            </w:pPr>
            <w:r>
              <w:t>(53,104)</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(1</w:t>
            </w:r>
            <w:r>
              <w:t>8</w:t>
            </w:r>
            <w:r w:rsidRPr="00ED7062">
              <w:t>,</w:t>
            </w:r>
            <w:r>
              <w:t>770</w:t>
            </w:r>
            <w:r w:rsidRPr="00ED7062">
              <w:t>)</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(1</w:t>
            </w:r>
            <w:r>
              <w:t>8</w:t>
            </w:r>
            <w:r w:rsidRPr="00ED7062">
              <w:t>,</w:t>
            </w:r>
            <w:r>
              <w:t>770</w:t>
            </w:r>
            <w:r w:rsidRPr="00ED7062">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Employee expenses</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4</w:t>
            </w:r>
            <w:r w:rsidRPr="00ED7062">
              <w:t>(c)</w:t>
            </w:r>
          </w:p>
        </w:tc>
        <w:tc>
          <w:tcPr>
            <w:tcW w:w="619" w:type="pct"/>
            <w:shd w:val="pct10" w:color="auto" w:fill="auto"/>
            <w:vAlign w:val="center"/>
          </w:tcPr>
          <w:p w:rsidR="008A185A" w:rsidRPr="00ED7062" w:rsidRDefault="008A185A" w:rsidP="008A185A">
            <w:pPr>
              <w:pStyle w:val="Tablecopy"/>
              <w:ind w:right="138"/>
              <w:jc w:val="right"/>
            </w:pPr>
            <w:r>
              <w:t>(50,533)</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(12,</w:t>
            </w:r>
            <w:r>
              <w:t>803</w:t>
            </w:r>
            <w:r w:rsidRPr="00ED7062">
              <w:t>)</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(12,</w:t>
            </w:r>
            <w:r>
              <w:t>803</w:t>
            </w:r>
            <w:r w:rsidRPr="00ED7062">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 xml:space="preserve">Depreciation and amortisation </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4</w:t>
            </w:r>
            <w:r w:rsidRPr="00ED7062">
              <w:t>(d)</w:t>
            </w:r>
          </w:p>
        </w:tc>
        <w:tc>
          <w:tcPr>
            <w:tcW w:w="619" w:type="pct"/>
            <w:shd w:val="pct10" w:color="auto" w:fill="auto"/>
            <w:vAlign w:val="center"/>
          </w:tcPr>
          <w:p w:rsidR="008A185A" w:rsidRPr="00ED7062" w:rsidRDefault="008A185A" w:rsidP="008A185A">
            <w:pPr>
              <w:pStyle w:val="Tablecopy"/>
              <w:ind w:right="138"/>
              <w:jc w:val="right"/>
            </w:pPr>
            <w:r>
              <w:t>(27,884)</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6</w:t>
            </w:r>
            <w:r w:rsidRPr="00ED7062">
              <w:t>,</w:t>
            </w:r>
            <w:r>
              <w:t>615</w:t>
            </w:r>
            <w:r w:rsidRPr="00ED7062">
              <w:t>)</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6</w:t>
            </w:r>
            <w:r w:rsidRPr="00ED7062">
              <w:t>,</w:t>
            </w:r>
            <w:r>
              <w:t>615</w:t>
            </w:r>
            <w:r w:rsidRPr="00ED7062">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Interest expense</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4(e)</w:t>
            </w:r>
          </w:p>
        </w:tc>
        <w:tc>
          <w:tcPr>
            <w:tcW w:w="619" w:type="pct"/>
            <w:shd w:val="pct10" w:color="auto" w:fill="auto"/>
            <w:vAlign w:val="center"/>
          </w:tcPr>
          <w:p w:rsidR="008A185A" w:rsidRPr="00ED7062" w:rsidRDefault="008A185A" w:rsidP="008A185A">
            <w:pPr>
              <w:pStyle w:val="Tablecopy"/>
              <w:ind w:right="138"/>
              <w:jc w:val="right"/>
            </w:pPr>
            <w:r>
              <w:t>(32,548)</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8</w:t>
            </w:r>
            <w:r w:rsidRPr="00ED7062">
              <w:t>,</w:t>
            </w:r>
            <w:r>
              <w:t>120</w:t>
            </w:r>
            <w:r w:rsidRPr="00ED7062">
              <w:t>)</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8</w:t>
            </w:r>
            <w:r w:rsidRPr="00ED7062">
              <w:t>,</w:t>
            </w:r>
            <w:r>
              <w:t>120</w:t>
            </w:r>
            <w:r w:rsidRPr="00ED7062">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Capital asset charge</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619" w:type="pct"/>
            <w:shd w:val="pct10" w:color="auto" w:fill="auto"/>
            <w:vAlign w:val="center"/>
          </w:tcPr>
          <w:p w:rsidR="008A185A" w:rsidRPr="00ED7062" w:rsidRDefault="008A185A" w:rsidP="008A185A">
            <w:pPr>
              <w:pStyle w:val="Tablecopy"/>
              <w:ind w:right="138"/>
              <w:jc w:val="right"/>
            </w:pPr>
            <w:r>
              <w:t>(7,155)</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1</w:t>
            </w:r>
            <w:r w:rsidRPr="00ED7062">
              <w:t>,</w:t>
            </w:r>
            <w:r>
              <w:t>788</w:t>
            </w:r>
            <w:r w:rsidRPr="00ED7062">
              <w:t>)</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1</w:t>
            </w:r>
            <w:r w:rsidRPr="00ED7062">
              <w:t>,</w:t>
            </w:r>
            <w:r>
              <w:t>788</w:t>
            </w:r>
            <w:r w:rsidRPr="00ED7062">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Fair value of assets and services provided free of charge</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4(f)</w:t>
            </w:r>
          </w:p>
        </w:tc>
        <w:tc>
          <w:tcPr>
            <w:tcW w:w="619" w:type="pct"/>
            <w:shd w:val="pct10" w:color="auto" w:fill="auto"/>
            <w:vAlign w:val="center"/>
          </w:tcPr>
          <w:p w:rsidR="008A185A" w:rsidRPr="00ED7062" w:rsidRDefault="008A185A" w:rsidP="008A185A">
            <w:pPr>
              <w:pStyle w:val="Tablecopy"/>
              <w:ind w:right="138"/>
              <w:jc w:val="right"/>
            </w:pPr>
            <w:r>
              <w:t>(6,200)</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(968)</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(968)</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Total expenses from transactions</w:t>
            </w:r>
          </w:p>
        </w:tc>
        <w:tc>
          <w:tcPr>
            <w:tcW w:w="342"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619" w:type="pct"/>
            <w:shd w:val="pct10" w:color="auto" w:fill="auto"/>
            <w:vAlign w:val="center"/>
          </w:tcPr>
          <w:p w:rsidR="008A185A" w:rsidRPr="00A074A3" w:rsidRDefault="008A185A" w:rsidP="008A185A">
            <w:pPr>
              <w:pStyle w:val="Tablecopy"/>
              <w:ind w:right="138"/>
              <w:jc w:val="right"/>
              <w:rPr>
                <w:b/>
              </w:rPr>
            </w:pPr>
            <w:r>
              <w:rPr>
                <w:b/>
              </w:rPr>
              <w:t>(4,239,767)</w:t>
            </w:r>
          </w:p>
        </w:tc>
        <w:tc>
          <w:tcPr>
            <w:tcW w:w="694"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w:t>
            </w:r>
            <w:r>
              <w:rPr>
                <w:b/>
              </w:rPr>
              <w:t>995</w:t>
            </w:r>
            <w:r w:rsidRPr="00A074A3">
              <w:rPr>
                <w:b/>
              </w:rPr>
              <w:t>,</w:t>
            </w:r>
            <w:r>
              <w:rPr>
                <w:b/>
              </w:rPr>
              <w:t>992</w:t>
            </w:r>
            <w:r w:rsidRPr="00A074A3">
              <w:rPr>
                <w:b/>
              </w:rPr>
              <w:t>)</w:t>
            </w:r>
          </w:p>
        </w:tc>
        <w:tc>
          <w:tcPr>
            <w:tcW w:w="721"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w:t>
            </w:r>
            <w:r>
              <w:rPr>
                <w:b/>
              </w:rPr>
              <w:t>995</w:t>
            </w:r>
            <w:r w:rsidRPr="00A074A3">
              <w:rPr>
                <w:b/>
              </w:rPr>
              <w:t>,</w:t>
            </w:r>
            <w:r>
              <w:rPr>
                <w:b/>
              </w:rPr>
              <w:t>992</w:t>
            </w:r>
            <w:r w:rsidRPr="00A074A3">
              <w:rPr>
                <w:b/>
              </w:rPr>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619" w:type="pct"/>
            <w:shd w:val="pct10" w:color="auto" w:fill="auto"/>
            <w:vAlign w:val="center"/>
          </w:tcPr>
          <w:p w:rsidR="008A185A" w:rsidRPr="00ED7062" w:rsidRDefault="008A185A" w:rsidP="008A185A">
            <w:pPr>
              <w:pStyle w:val="Tablecopy"/>
              <w:ind w:right="138"/>
              <w:jc w:val="right"/>
            </w:pP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Net result from transactions (net operating balance)</w:t>
            </w:r>
          </w:p>
        </w:tc>
        <w:tc>
          <w:tcPr>
            <w:tcW w:w="342"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619" w:type="pct"/>
            <w:shd w:val="pct10" w:color="auto" w:fill="auto"/>
            <w:vAlign w:val="center"/>
          </w:tcPr>
          <w:p w:rsidR="008A185A" w:rsidRPr="00A074A3" w:rsidRDefault="008A185A" w:rsidP="008A185A">
            <w:pPr>
              <w:pStyle w:val="Tablecopy"/>
              <w:ind w:right="138"/>
              <w:jc w:val="right"/>
              <w:rPr>
                <w:b/>
              </w:rPr>
            </w:pPr>
            <w:r>
              <w:rPr>
                <w:b/>
              </w:rPr>
              <w:t>58</w:t>
            </w:r>
          </w:p>
        </w:tc>
        <w:tc>
          <w:tcPr>
            <w:tcW w:w="694"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Pr>
                <w:b/>
              </w:rPr>
              <w:t>115</w:t>
            </w:r>
            <w:r w:rsidRPr="00A074A3">
              <w:rPr>
                <w:b/>
              </w:rPr>
              <w:t>,</w:t>
            </w:r>
            <w:r>
              <w:rPr>
                <w:b/>
              </w:rPr>
              <w:t>324</w:t>
            </w:r>
          </w:p>
        </w:tc>
        <w:tc>
          <w:tcPr>
            <w:tcW w:w="721"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Pr>
                <w:b/>
              </w:rPr>
              <w:t>115</w:t>
            </w:r>
            <w:r w:rsidRPr="00A074A3">
              <w:rPr>
                <w:b/>
              </w:rPr>
              <w:t>,</w:t>
            </w:r>
            <w:r>
              <w:rPr>
                <w:b/>
              </w:rPr>
              <w:t>324</w:t>
            </w:r>
          </w:p>
        </w:tc>
      </w:tr>
      <w:tr w:rsidR="008A185A" w:rsidRPr="00ED7062" w:rsidTr="008A185A">
        <w:trPr>
          <w:trHeight w:hRule="exact" w:val="188"/>
        </w:trPr>
        <w:tc>
          <w:tcPr>
            <w:tcW w:w="2623" w:type="pct"/>
            <w:shd w:val="clear" w:color="auto" w:fill="auto"/>
            <w:tcMar>
              <w:top w:w="0" w:type="dxa"/>
              <w:left w:w="113" w:type="dxa"/>
              <w:bottom w:w="85" w:type="dxa"/>
              <w:right w:w="113" w:type="dxa"/>
            </w:tcMar>
            <w:vAlign w:val="bottom"/>
          </w:tcPr>
          <w:p w:rsidR="008A185A" w:rsidRPr="00A074A3" w:rsidRDefault="008A185A" w:rsidP="008A185A">
            <w:pPr>
              <w:pStyle w:val="Tablecopy"/>
              <w:rPr>
                <w:b/>
              </w:rPr>
            </w:pPr>
            <w:r w:rsidRPr="00A074A3">
              <w:rPr>
                <w:b/>
              </w:rPr>
              <w:t>Other economic flows included in net result</w:t>
            </w:r>
          </w:p>
        </w:tc>
        <w:tc>
          <w:tcPr>
            <w:tcW w:w="342" w:type="pct"/>
            <w:shd w:val="clear" w:color="auto" w:fill="auto"/>
            <w:tcMar>
              <w:top w:w="0" w:type="dxa"/>
              <w:left w:w="113" w:type="dxa"/>
              <w:bottom w:w="85" w:type="dxa"/>
              <w:right w:w="113" w:type="dxa"/>
            </w:tcMar>
            <w:vAlign w:val="bottom"/>
          </w:tcPr>
          <w:p w:rsidR="008A185A" w:rsidRPr="00ED7062" w:rsidRDefault="008A185A" w:rsidP="008A185A">
            <w:pPr>
              <w:pStyle w:val="Tablecopy"/>
              <w:jc w:val="right"/>
            </w:pPr>
          </w:p>
        </w:tc>
        <w:tc>
          <w:tcPr>
            <w:tcW w:w="619" w:type="pct"/>
            <w:shd w:val="pct10" w:color="auto" w:fill="auto"/>
            <w:vAlign w:val="center"/>
          </w:tcPr>
          <w:p w:rsidR="008A185A" w:rsidRPr="00ED7062" w:rsidRDefault="008A185A" w:rsidP="008A185A">
            <w:pPr>
              <w:pStyle w:val="Tablecopy"/>
              <w:ind w:right="138"/>
              <w:jc w:val="right"/>
            </w:pPr>
          </w:p>
        </w:tc>
        <w:tc>
          <w:tcPr>
            <w:tcW w:w="694" w:type="pct"/>
            <w:shd w:val="clear" w:color="auto" w:fill="auto"/>
            <w:tcMar>
              <w:top w:w="0" w:type="dxa"/>
              <w:left w:w="113" w:type="dxa"/>
              <w:bottom w:w="85" w:type="dxa"/>
              <w:right w:w="113" w:type="dxa"/>
            </w:tcMar>
            <w:vAlign w:val="bottom"/>
          </w:tcPr>
          <w:p w:rsidR="008A185A" w:rsidRPr="00ED7062" w:rsidRDefault="008A185A" w:rsidP="008A185A">
            <w:pPr>
              <w:pStyle w:val="Tablecopy"/>
              <w:jc w:val="right"/>
            </w:pPr>
          </w:p>
        </w:tc>
        <w:tc>
          <w:tcPr>
            <w:tcW w:w="721" w:type="pct"/>
            <w:shd w:val="clear" w:color="auto" w:fill="auto"/>
            <w:tcMar>
              <w:top w:w="0" w:type="dxa"/>
              <w:left w:w="113" w:type="dxa"/>
              <w:bottom w:w="85" w:type="dxa"/>
              <w:right w:w="113" w:type="dxa"/>
            </w:tcMar>
            <w:vAlign w:val="bottom"/>
          </w:tcPr>
          <w:p w:rsidR="008A185A" w:rsidRPr="00ED7062" w:rsidRDefault="008A185A" w:rsidP="008A185A">
            <w:pPr>
              <w:pStyle w:val="Tablecopy"/>
              <w:jc w:val="right"/>
            </w:pP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Net gains/(losses) on non-financial assets</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5</w:t>
            </w:r>
            <w:r w:rsidRPr="00ED7062">
              <w:t>(a)</w:t>
            </w:r>
          </w:p>
        </w:tc>
        <w:tc>
          <w:tcPr>
            <w:tcW w:w="619" w:type="pct"/>
            <w:shd w:val="pct10" w:color="auto" w:fill="auto"/>
            <w:vAlign w:val="center"/>
          </w:tcPr>
          <w:p w:rsidR="008A185A" w:rsidRPr="00ED7062" w:rsidRDefault="008A185A" w:rsidP="008A185A">
            <w:pPr>
              <w:pStyle w:val="Tablecopy"/>
              <w:ind w:right="138"/>
              <w:jc w:val="right"/>
            </w:pPr>
            <w:r>
              <w:t>(1,315)</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Other gains/(losses) from other economic flows</w:t>
            </w: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5</w:t>
            </w:r>
            <w:r w:rsidRPr="00ED7062">
              <w:t>(b)</w:t>
            </w:r>
          </w:p>
        </w:tc>
        <w:tc>
          <w:tcPr>
            <w:tcW w:w="619" w:type="pct"/>
            <w:shd w:val="pct10" w:color="auto" w:fill="auto"/>
            <w:vAlign w:val="center"/>
          </w:tcPr>
          <w:p w:rsidR="008A185A" w:rsidRPr="00ED7062" w:rsidRDefault="008A185A" w:rsidP="008A185A">
            <w:pPr>
              <w:pStyle w:val="Tablecopy"/>
              <w:ind w:right="138"/>
              <w:jc w:val="right"/>
            </w:pPr>
            <w:r>
              <w:t>239</w:t>
            </w: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w:t>
            </w: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Total other economic flows included in net result</w:t>
            </w:r>
          </w:p>
        </w:tc>
        <w:tc>
          <w:tcPr>
            <w:tcW w:w="342"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619" w:type="pct"/>
            <w:shd w:val="pct10" w:color="auto" w:fill="auto"/>
            <w:vAlign w:val="center"/>
          </w:tcPr>
          <w:p w:rsidR="008A185A" w:rsidRPr="00A074A3" w:rsidRDefault="008A185A" w:rsidP="008A185A">
            <w:pPr>
              <w:pStyle w:val="Tablecopy"/>
              <w:ind w:right="138"/>
              <w:jc w:val="right"/>
              <w:rPr>
                <w:b/>
              </w:rPr>
            </w:pPr>
            <w:r>
              <w:rPr>
                <w:b/>
              </w:rPr>
              <w:t>(1,076)</w:t>
            </w:r>
          </w:p>
        </w:tc>
        <w:tc>
          <w:tcPr>
            <w:tcW w:w="694"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Pr>
                <w:b/>
              </w:rPr>
              <w:t>-</w:t>
            </w:r>
          </w:p>
        </w:tc>
        <w:tc>
          <w:tcPr>
            <w:tcW w:w="721"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Pr>
                <w:b/>
              </w:rPr>
              <w:t>-</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619" w:type="pct"/>
            <w:shd w:val="pct10" w:color="auto" w:fill="auto"/>
            <w:vAlign w:val="center"/>
          </w:tcPr>
          <w:p w:rsidR="008A185A" w:rsidRPr="00ED7062" w:rsidRDefault="008A185A" w:rsidP="008A185A">
            <w:pPr>
              <w:pStyle w:val="Tablecopy"/>
              <w:ind w:right="138"/>
              <w:jc w:val="right"/>
            </w:pP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Net result</w:t>
            </w:r>
          </w:p>
        </w:tc>
        <w:tc>
          <w:tcPr>
            <w:tcW w:w="342"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619" w:type="pct"/>
            <w:shd w:val="pct10" w:color="auto" w:fill="auto"/>
            <w:vAlign w:val="center"/>
          </w:tcPr>
          <w:p w:rsidR="008A185A" w:rsidRPr="00A074A3" w:rsidRDefault="008A185A" w:rsidP="008A185A">
            <w:pPr>
              <w:pStyle w:val="Tablecopy"/>
              <w:ind w:right="138"/>
              <w:jc w:val="right"/>
              <w:rPr>
                <w:b/>
              </w:rPr>
            </w:pPr>
            <w:r>
              <w:rPr>
                <w:b/>
              </w:rPr>
              <w:t>(1,018)</w:t>
            </w:r>
          </w:p>
        </w:tc>
        <w:tc>
          <w:tcPr>
            <w:tcW w:w="694"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1</w:t>
            </w:r>
            <w:r>
              <w:rPr>
                <w:b/>
              </w:rPr>
              <w:t>15</w:t>
            </w:r>
            <w:r w:rsidRPr="00A074A3">
              <w:rPr>
                <w:b/>
              </w:rPr>
              <w:t>,</w:t>
            </w:r>
            <w:r>
              <w:rPr>
                <w:b/>
              </w:rPr>
              <w:t>3</w:t>
            </w:r>
            <w:r w:rsidRPr="00A074A3">
              <w:rPr>
                <w:b/>
              </w:rPr>
              <w:t>2</w:t>
            </w:r>
            <w:r>
              <w:rPr>
                <w:b/>
              </w:rPr>
              <w:t>4</w:t>
            </w:r>
          </w:p>
        </w:tc>
        <w:tc>
          <w:tcPr>
            <w:tcW w:w="721"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1</w:t>
            </w:r>
            <w:r>
              <w:rPr>
                <w:b/>
              </w:rPr>
              <w:t>15</w:t>
            </w:r>
            <w:r w:rsidRPr="00A074A3">
              <w:rPr>
                <w:b/>
              </w:rPr>
              <w:t>,</w:t>
            </w:r>
            <w:r>
              <w:rPr>
                <w:b/>
              </w:rPr>
              <w:t>3</w:t>
            </w:r>
            <w:r w:rsidRPr="00A074A3">
              <w:rPr>
                <w:b/>
              </w:rPr>
              <w:t>2</w:t>
            </w:r>
            <w:r>
              <w:rPr>
                <w:b/>
              </w:rPr>
              <w:t>4</w:t>
            </w: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ED7062" w:rsidRDefault="008A185A" w:rsidP="008A185A">
            <w:pPr>
              <w:pStyle w:val="Tablecopy"/>
            </w:pPr>
          </w:p>
        </w:tc>
        <w:tc>
          <w:tcPr>
            <w:tcW w:w="34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619" w:type="pct"/>
            <w:shd w:val="pct10" w:color="auto" w:fill="auto"/>
            <w:vAlign w:val="center"/>
          </w:tcPr>
          <w:p w:rsidR="008A185A" w:rsidRPr="00ED7062" w:rsidRDefault="008A185A" w:rsidP="008A185A">
            <w:pPr>
              <w:pStyle w:val="Tablecopy"/>
              <w:ind w:right="138"/>
              <w:jc w:val="right"/>
            </w:pPr>
          </w:p>
        </w:tc>
        <w:tc>
          <w:tcPr>
            <w:tcW w:w="69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21"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r>
      <w:tr w:rsidR="008A185A" w:rsidRPr="00ED7062" w:rsidTr="008A185A">
        <w:trPr>
          <w:trHeight w:hRule="exact" w:val="253"/>
        </w:trPr>
        <w:tc>
          <w:tcPr>
            <w:tcW w:w="2623"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Comprehensive result</w:t>
            </w:r>
          </w:p>
        </w:tc>
        <w:tc>
          <w:tcPr>
            <w:tcW w:w="342"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619" w:type="pct"/>
            <w:shd w:val="pct10" w:color="auto" w:fill="auto"/>
            <w:vAlign w:val="center"/>
          </w:tcPr>
          <w:p w:rsidR="008A185A" w:rsidRPr="00A074A3" w:rsidRDefault="008A185A" w:rsidP="008A185A">
            <w:pPr>
              <w:pStyle w:val="Tablecopy"/>
              <w:ind w:right="138"/>
              <w:jc w:val="right"/>
              <w:rPr>
                <w:b/>
              </w:rPr>
            </w:pPr>
            <w:r>
              <w:rPr>
                <w:b/>
              </w:rPr>
              <w:t>(1,018)</w:t>
            </w:r>
          </w:p>
        </w:tc>
        <w:tc>
          <w:tcPr>
            <w:tcW w:w="694"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Pr>
                <w:b/>
              </w:rPr>
              <w:t>115</w:t>
            </w:r>
            <w:r w:rsidRPr="00A074A3">
              <w:rPr>
                <w:b/>
              </w:rPr>
              <w:t>,</w:t>
            </w:r>
            <w:r>
              <w:rPr>
                <w:b/>
              </w:rPr>
              <w:t>324</w:t>
            </w:r>
          </w:p>
        </w:tc>
        <w:tc>
          <w:tcPr>
            <w:tcW w:w="721"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Pr>
                <w:b/>
              </w:rPr>
              <w:t>115</w:t>
            </w:r>
            <w:r w:rsidRPr="00A074A3">
              <w:rPr>
                <w:b/>
              </w:rPr>
              <w:t>,</w:t>
            </w:r>
            <w:r>
              <w:rPr>
                <w:b/>
              </w:rPr>
              <w:t>324</w:t>
            </w:r>
          </w:p>
        </w:tc>
      </w:tr>
      <w:tr w:rsidR="008A185A" w:rsidRPr="00ED7062" w:rsidTr="008A185A">
        <w:trPr>
          <w:trHeight w:val="301"/>
        </w:trPr>
        <w:tc>
          <w:tcPr>
            <w:tcW w:w="5000" w:type="pct"/>
            <w:gridSpan w:val="5"/>
            <w:shd w:val="clear" w:color="auto" w:fill="auto"/>
            <w:tcMar>
              <w:top w:w="113" w:type="dxa"/>
              <w:left w:w="113" w:type="dxa"/>
              <w:bottom w:w="113" w:type="dxa"/>
              <w:right w:w="113" w:type="dxa"/>
            </w:tcMar>
            <w:vAlign w:val="center"/>
          </w:tcPr>
          <w:p w:rsidR="008A185A" w:rsidRPr="00ED7062" w:rsidRDefault="008A185A" w:rsidP="008A185A">
            <w:pPr>
              <w:pStyle w:val="Tablecopy"/>
            </w:pPr>
            <w:r w:rsidRPr="00ED7062">
              <w:t>The comprehensive operating statement should be read in conjunction with the accompanying notes.</w:t>
            </w:r>
          </w:p>
        </w:tc>
      </w:tr>
    </w:tbl>
    <w:p w:rsidR="008A185A" w:rsidRPr="004B2832" w:rsidRDefault="008A185A" w:rsidP="008A185A"/>
    <w:p w:rsidR="008A185A" w:rsidRDefault="008A185A" w:rsidP="008A185A">
      <w:pPr>
        <w:pStyle w:val="Heading10"/>
        <w:outlineLvl w:val="0"/>
      </w:pPr>
      <w:bookmarkStart w:id="62" w:name="_Balance_sheet_as"/>
      <w:bookmarkEnd w:id="62"/>
      <w:r>
        <w:br w:type="page"/>
      </w:r>
      <w:bookmarkStart w:id="63" w:name="_Toc337471029"/>
      <w:bookmarkStart w:id="64" w:name="_Toc337537795"/>
      <w:bookmarkStart w:id="65" w:name="_Toc337539721"/>
      <w:bookmarkStart w:id="66" w:name="_Toc337707138"/>
      <w:bookmarkStart w:id="67" w:name="_Toc337711246"/>
      <w:bookmarkStart w:id="68" w:name="_Toc366663338"/>
      <w:bookmarkStart w:id="69" w:name="_Toc366671911"/>
      <w:bookmarkStart w:id="70" w:name="_Toc366672088"/>
      <w:r w:rsidRPr="00FB72FA">
        <w:t>Balance sheet as at 30 June 201</w:t>
      </w:r>
      <w:r>
        <w:t>3</w:t>
      </w:r>
      <w:bookmarkEnd w:id="63"/>
      <w:bookmarkEnd w:id="64"/>
      <w:bookmarkEnd w:id="65"/>
      <w:bookmarkEnd w:id="66"/>
      <w:bookmarkEnd w:id="67"/>
      <w:bookmarkEnd w:id="68"/>
      <w:bookmarkEnd w:id="69"/>
      <w:bookmarkEnd w:id="70"/>
    </w:p>
    <w:p w:rsidR="008A185A" w:rsidRPr="00FB72FA" w:rsidRDefault="008A185A" w:rsidP="008A185A">
      <w:pPr>
        <w:pStyle w:val="Heading10"/>
        <w:outlineLvl w:val="0"/>
      </w:pPr>
    </w:p>
    <w:tbl>
      <w:tblPr>
        <w:tblW w:w="49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980"/>
        <w:gridCol w:w="818"/>
        <w:gridCol w:w="1027"/>
        <w:gridCol w:w="1169"/>
        <w:gridCol w:w="1169"/>
      </w:tblGrid>
      <w:tr w:rsidR="008A185A" w:rsidRPr="00ED7062" w:rsidTr="008A185A">
        <w:tc>
          <w:tcPr>
            <w:tcW w:w="2438" w:type="pct"/>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p>
        </w:tc>
        <w:tc>
          <w:tcPr>
            <w:tcW w:w="501" w:type="pct"/>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r w:rsidRPr="00ED7062">
              <w:t>Note</w:t>
            </w:r>
          </w:p>
        </w:tc>
        <w:tc>
          <w:tcPr>
            <w:tcW w:w="629" w:type="pct"/>
            <w:tcBorders>
              <w:bottom w:val="single" w:sz="6" w:space="0" w:color="auto"/>
            </w:tcBorders>
            <w:vAlign w:val="bottom"/>
          </w:tcPr>
          <w:p w:rsidR="008A185A" w:rsidRPr="00ED7062" w:rsidRDefault="008A185A" w:rsidP="008A185A">
            <w:pPr>
              <w:pStyle w:val="TableHeading"/>
              <w:spacing w:before="0" w:after="0" w:line="240" w:lineRule="auto"/>
              <w:ind w:right="142"/>
            </w:pPr>
            <w:r>
              <w:t>2013</w:t>
            </w:r>
          </w:p>
          <w:p w:rsidR="008A185A" w:rsidRPr="00ED7062" w:rsidRDefault="008A185A" w:rsidP="008A185A">
            <w:pPr>
              <w:pStyle w:val="TableHeading"/>
              <w:spacing w:before="0" w:after="0" w:line="240" w:lineRule="auto"/>
              <w:ind w:right="142"/>
            </w:pPr>
            <w:r w:rsidRPr="00ED7062">
              <w:t>$’000</w:t>
            </w:r>
          </w:p>
        </w:tc>
        <w:tc>
          <w:tcPr>
            <w:tcW w:w="716" w:type="pct"/>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r>
              <w:t>Consolidated</w:t>
            </w:r>
          </w:p>
          <w:p w:rsidR="008A185A" w:rsidRPr="00ED7062" w:rsidRDefault="008A185A" w:rsidP="008A185A">
            <w:pPr>
              <w:pStyle w:val="TableHeading"/>
              <w:spacing w:before="0" w:after="0" w:line="240" w:lineRule="auto"/>
            </w:pPr>
            <w:r>
              <w:t>2012</w:t>
            </w:r>
          </w:p>
          <w:p w:rsidR="008A185A" w:rsidRPr="00ED7062" w:rsidRDefault="008A185A" w:rsidP="008A185A">
            <w:pPr>
              <w:pStyle w:val="TableHeading"/>
              <w:spacing w:before="0" w:after="0" w:line="240" w:lineRule="auto"/>
            </w:pPr>
            <w:r w:rsidRPr="00ED7062">
              <w:t>$’000</w:t>
            </w:r>
          </w:p>
        </w:tc>
        <w:tc>
          <w:tcPr>
            <w:tcW w:w="716" w:type="pct"/>
            <w:shd w:val="clear" w:color="auto" w:fill="auto"/>
            <w:tcMar>
              <w:top w:w="57" w:type="dxa"/>
              <w:left w:w="113" w:type="dxa"/>
              <w:bottom w:w="85" w:type="dxa"/>
              <w:right w:w="113" w:type="dxa"/>
            </w:tcMar>
            <w:vAlign w:val="bottom"/>
          </w:tcPr>
          <w:p w:rsidR="008A185A" w:rsidRDefault="008A185A" w:rsidP="008A185A">
            <w:pPr>
              <w:pStyle w:val="TableHeading"/>
              <w:spacing w:before="0" w:after="0" w:line="240" w:lineRule="auto"/>
            </w:pPr>
            <w:r>
              <w:t>Parent</w:t>
            </w:r>
          </w:p>
          <w:p w:rsidR="008A185A" w:rsidRPr="00ED7062" w:rsidRDefault="008A185A" w:rsidP="008A185A">
            <w:pPr>
              <w:pStyle w:val="TableHeading"/>
              <w:spacing w:before="0" w:after="0" w:line="240" w:lineRule="auto"/>
            </w:pPr>
            <w:r w:rsidRPr="00ED7062">
              <w:t>201</w:t>
            </w:r>
            <w:r>
              <w:t>2</w:t>
            </w:r>
          </w:p>
          <w:p w:rsidR="008A185A" w:rsidRPr="00ED7062" w:rsidRDefault="008A185A" w:rsidP="008A185A">
            <w:pPr>
              <w:pStyle w:val="TableHeading"/>
              <w:spacing w:before="0" w:after="0" w:line="240" w:lineRule="auto"/>
            </w:pPr>
            <w:r w:rsidRPr="00ED7062">
              <w:t>$’000</w:t>
            </w:r>
          </w:p>
        </w:tc>
      </w:tr>
      <w:tr w:rsidR="008A185A" w:rsidRPr="00ED7062" w:rsidTr="008A185A">
        <w:tc>
          <w:tcPr>
            <w:tcW w:w="2438" w:type="pct"/>
            <w:shd w:val="clear" w:color="auto" w:fill="auto"/>
            <w:tcMar>
              <w:top w:w="0" w:type="dxa"/>
              <w:left w:w="113" w:type="dxa"/>
              <w:bottom w:w="85" w:type="dxa"/>
              <w:right w:w="113" w:type="dxa"/>
            </w:tcMar>
            <w:vAlign w:val="bottom"/>
          </w:tcPr>
          <w:p w:rsidR="008A185A" w:rsidRPr="00A074A3" w:rsidRDefault="008A185A" w:rsidP="008A185A">
            <w:pPr>
              <w:pStyle w:val="Tablecopy"/>
              <w:spacing w:line="240" w:lineRule="auto"/>
              <w:rPr>
                <w:b/>
              </w:rPr>
            </w:pPr>
            <w:r w:rsidRPr="00A074A3">
              <w:rPr>
                <w:b/>
              </w:rPr>
              <w:t>Assets</w:t>
            </w:r>
          </w:p>
        </w:tc>
        <w:tc>
          <w:tcPr>
            <w:tcW w:w="501" w:type="pct"/>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spacing w:line="240" w:lineRule="auto"/>
              <w:ind w:right="142"/>
              <w:jc w:val="right"/>
            </w:pPr>
          </w:p>
        </w:tc>
        <w:tc>
          <w:tcPr>
            <w:tcW w:w="716" w:type="pct"/>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c>
          <w:tcPr>
            <w:tcW w:w="716" w:type="pct"/>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FD0C4F" w:rsidRDefault="008A185A" w:rsidP="008A185A">
            <w:pPr>
              <w:pStyle w:val="Tablecopy"/>
              <w:spacing w:line="240" w:lineRule="auto"/>
              <w:rPr>
                <w:b/>
              </w:rPr>
            </w:pPr>
            <w:r w:rsidRPr="00FD0C4F">
              <w:rPr>
                <w:b/>
              </w:rPr>
              <w:t>Financial assets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spacing w:line="240" w:lineRule="auto"/>
              <w:ind w:right="142"/>
              <w:jc w:val="right"/>
            </w:pP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Cash and deposits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1</w:t>
            </w:r>
            <w:r>
              <w:t>7</w:t>
            </w:r>
            <w:r w:rsidRPr="00ED7062">
              <w:t>(a)</w:t>
            </w:r>
          </w:p>
        </w:tc>
        <w:tc>
          <w:tcPr>
            <w:tcW w:w="629" w:type="pct"/>
            <w:shd w:val="pct10" w:color="auto" w:fill="auto"/>
            <w:vAlign w:val="center"/>
          </w:tcPr>
          <w:p w:rsidR="008A185A" w:rsidRPr="00ED7062" w:rsidRDefault="008A185A" w:rsidP="008A185A">
            <w:pPr>
              <w:pStyle w:val="Tablecopy"/>
              <w:ind w:right="142"/>
              <w:jc w:val="right"/>
            </w:pPr>
            <w:r>
              <w:t>45,827</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56</w:t>
            </w:r>
            <w:r w:rsidRPr="00ED7062">
              <w:t>,</w:t>
            </w:r>
            <w:r>
              <w:t>299</w:t>
            </w:r>
            <w:r w:rsidRPr="00ED7062">
              <w:t xml:space="preserve">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56</w:t>
            </w:r>
            <w:r w:rsidRPr="00ED7062">
              <w:t>,</w:t>
            </w:r>
            <w:r>
              <w:t>299</w:t>
            </w:r>
            <w:r w:rsidRPr="00ED7062">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Receivables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6</w:t>
            </w:r>
          </w:p>
        </w:tc>
        <w:tc>
          <w:tcPr>
            <w:tcW w:w="629" w:type="pct"/>
            <w:shd w:val="pct10" w:color="auto" w:fill="auto"/>
            <w:vAlign w:val="center"/>
          </w:tcPr>
          <w:p w:rsidR="008A185A" w:rsidRPr="00ED7062" w:rsidRDefault="008A185A" w:rsidP="008A185A">
            <w:pPr>
              <w:pStyle w:val="Tablecopy"/>
              <w:ind w:right="142"/>
              <w:jc w:val="right"/>
            </w:pPr>
            <w:r>
              <w:t>484,819</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393</w:t>
            </w:r>
            <w:r w:rsidRPr="00ED7062">
              <w:t>,</w:t>
            </w:r>
            <w:r>
              <w:t>130</w:t>
            </w:r>
            <w:r w:rsidRPr="00ED7062">
              <w:t xml:space="preserve">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393</w:t>
            </w:r>
            <w:r w:rsidRPr="00ED7062">
              <w:t>,</w:t>
            </w:r>
            <w:r>
              <w:t>130</w:t>
            </w:r>
            <w:r w:rsidRPr="00ED7062">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rPr>
                <w:b/>
              </w:rPr>
            </w:pPr>
            <w:r w:rsidRPr="00A074A3">
              <w:rPr>
                <w:b/>
              </w:rPr>
              <w:t>Total financial assets</w:t>
            </w:r>
          </w:p>
        </w:tc>
        <w:tc>
          <w:tcPr>
            <w:tcW w:w="501"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p>
        </w:tc>
        <w:tc>
          <w:tcPr>
            <w:tcW w:w="629" w:type="pct"/>
            <w:shd w:val="pct10" w:color="auto" w:fill="auto"/>
            <w:vAlign w:val="center"/>
          </w:tcPr>
          <w:p w:rsidR="008A185A" w:rsidRPr="00A074A3" w:rsidRDefault="008A185A" w:rsidP="008A185A">
            <w:pPr>
              <w:pStyle w:val="Tablecopy"/>
              <w:ind w:right="142"/>
              <w:jc w:val="right"/>
              <w:rPr>
                <w:b/>
              </w:rPr>
            </w:pPr>
            <w:r>
              <w:rPr>
                <w:b/>
              </w:rPr>
              <w:t>530,646</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sidRPr="00A074A3">
              <w:rPr>
                <w:b/>
              </w:rPr>
              <w:t xml:space="preserve"> </w:t>
            </w:r>
            <w:r>
              <w:rPr>
                <w:b/>
              </w:rPr>
              <w:t>449</w:t>
            </w:r>
            <w:r w:rsidRPr="00A074A3">
              <w:rPr>
                <w:b/>
              </w:rPr>
              <w:t>,</w:t>
            </w:r>
            <w:r>
              <w:rPr>
                <w:b/>
              </w:rPr>
              <w:t>429</w:t>
            </w:r>
            <w:r w:rsidRPr="00A074A3">
              <w:rPr>
                <w:b/>
              </w:rPr>
              <w:t xml:space="preserve"> </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sidRPr="00A074A3">
              <w:rPr>
                <w:b/>
              </w:rPr>
              <w:t xml:space="preserve"> </w:t>
            </w:r>
            <w:r>
              <w:rPr>
                <w:b/>
              </w:rPr>
              <w:t>449</w:t>
            </w:r>
            <w:r w:rsidRPr="00A074A3">
              <w:rPr>
                <w:b/>
              </w:rPr>
              <w:t>,</w:t>
            </w:r>
            <w:r>
              <w:rPr>
                <w:b/>
              </w:rPr>
              <w:t>429</w:t>
            </w:r>
            <w:r w:rsidRPr="00A074A3">
              <w:rPr>
                <w:b/>
              </w:rPr>
              <w:t xml:space="preserve"> </w:t>
            </w:r>
          </w:p>
        </w:tc>
      </w:tr>
      <w:tr w:rsidR="008A185A" w:rsidRPr="00ED7062" w:rsidTr="008A185A">
        <w:tc>
          <w:tcPr>
            <w:tcW w:w="2438" w:type="pct"/>
            <w:shd w:val="clear" w:color="auto" w:fill="auto"/>
            <w:tcMar>
              <w:top w:w="113" w:type="dxa"/>
              <w:left w:w="113" w:type="dxa"/>
              <w:bottom w:w="85" w:type="dxa"/>
              <w:right w:w="113" w:type="dxa"/>
            </w:tcMar>
            <w:vAlign w:val="bottom"/>
          </w:tcPr>
          <w:p w:rsidR="008A185A" w:rsidRPr="00A074A3" w:rsidRDefault="008A185A" w:rsidP="008A185A">
            <w:pPr>
              <w:pStyle w:val="Tablecopy"/>
              <w:spacing w:line="240" w:lineRule="auto"/>
              <w:rPr>
                <w:b/>
              </w:rPr>
            </w:pPr>
            <w:r w:rsidRPr="00A074A3">
              <w:rPr>
                <w:b/>
              </w:rPr>
              <w:t>Non-financial assets</w:t>
            </w:r>
          </w:p>
        </w:tc>
        <w:tc>
          <w:tcPr>
            <w:tcW w:w="501" w:type="pct"/>
            <w:shd w:val="clear" w:color="auto" w:fill="auto"/>
            <w:tcMar>
              <w:top w:w="113" w:type="dxa"/>
              <w:left w:w="113" w:type="dxa"/>
              <w:bottom w:w="85" w:type="dxa"/>
              <w:right w:w="113" w:type="dxa"/>
            </w:tcMar>
            <w:vAlign w:val="bottom"/>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spacing w:line="240" w:lineRule="auto"/>
              <w:ind w:right="142"/>
              <w:jc w:val="right"/>
            </w:pPr>
          </w:p>
        </w:tc>
        <w:tc>
          <w:tcPr>
            <w:tcW w:w="716" w:type="pct"/>
            <w:shd w:val="clear" w:color="auto" w:fill="auto"/>
            <w:tcMar>
              <w:top w:w="113" w:type="dxa"/>
              <w:left w:w="113" w:type="dxa"/>
              <w:bottom w:w="85" w:type="dxa"/>
              <w:right w:w="113" w:type="dxa"/>
            </w:tcMar>
            <w:vAlign w:val="bottom"/>
          </w:tcPr>
          <w:p w:rsidR="008A185A" w:rsidRPr="00ED7062" w:rsidRDefault="008A185A" w:rsidP="008A185A">
            <w:pPr>
              <w:pStyle w:val="Tablecopy"/>
              <w:spacing w:line="240" w:lineRule="auto"/>
              <w:jc w:val="right"/>
            </w:pPr>
          </w:p>
        </w:tc>
        <w:tc>
          <w:tcPr>
            <w:tcW w:w="716" w:type="pct"/>
            <w:shd w:val="clear" w:color="auto" w:fill="auto"/>
            <w:tcMar>
              <w:top w:w="113" w:type="dxa"/>
              <w:left w:w="113" w:type="dxa"/>
              <w:bottom w:w="85" w:type="dxa"/>
              <w:right w:w="113" w:type="dxa"/>
            </w:tcMar>
            <w:vAlign w:val="bottom"/>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Prepayments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spacing w:line="240" w:lineRule="auto"/>
              <w:ind w:right="142"/>
              <w:jc w:val="right"/>
            </w:pPr>
            <w:r>
              <w:t>7,858</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 xml:space="preserve"> 9</w:t>
            </w:r>
            <w:r w:rsidRPr="00ED7062">
              <w:t>,</w:t>
            </w:r>
            <w:r>
              <w:t>594</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 xml:space="preserve"> 9</w:t>
            </w:r>
            <w:r w:rsidRPr="00ED7062">
              <w:t>,</w:t>
            </w:r>
            <w:r>
              <w:t>594</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Inventories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7</w:t>
            </w:r>
          </w:p>
        </w:tc>
        <w:tc>
          <w:tcPr>
            <w:tcW w:w="629" w:type="pct"/>
            <w:shd w:val="pct10" w:color="auto" w:fill="auto"/>
            <w:vAlign w:val="center"/>
          </w:tcPr>
          <w:p w:rsidR="008A185A" w:rsidRPr="00ED7062" w:rsidRDefault="008A185A" w:rsidP="008A185A">
            <w:pPr>
              <w:pStyle w:val="Tablecopy"/>
              <w:spacing w:line="240" w:lineRule="auto"/>
              <w:ind w:right="142"/>
              <w:jc w:val="right"/>
            </w:pPr>
            <w:r>
              <w:t>3,786</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 xml:space="preserve"> 162</w:t>
            </w:r>
            <w:r w:rsidRPr="00ED7062">
              <w:t xml:space="preserve">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 xml:space="preserve"> 162</w:t>
            </w:r>
            <w:r w:rsidRPr="00ED7062">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Property, plant and equipment</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8</w:t>
            </w:r>
          </w:p>
        </w:tc>
        <w:tc>
          <w:tcPr>
            <w:tcW w:w="629" w:type="pct"/>
            <w:shd w:val="pct10" w:color="auto" w:fill="auto"/>
            <w:vAlign w:val="center"/>
          </w:tcPr>
          <w:p w:rsidR="008A185A" w:rsidRPr="00ED7062" w:rsidRDefault="008A185A" w:rsidP="008A185A">
            <w:pPr>
              <w:pStyle w:val="Tablecopy"/>
              <w:spacing w:line="240" w:lineRule="auto"/>
              <w:ind w:right="142"/>
              <w:jc w:val="right"/>
            </w:pPr>
            <w:r>
              <w:t>1,262,796</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1,</w:t>
            </w:r>
            <w:r>
              <w:t>144</w:t>
            </w:r>
            <w:r w:rsidRPr="00ED7062">
              <w:t>,</w:t>
            </w:r>
            <w:r>
              <w:t>018</w:t>
            </w:r>
            <w:r w:rsidRPr="00ED7062">
              <w:t xml:space="preserve">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1,</w:t>
            </w:r>
            <w:r>
              <w:t>144</w:t>
            </w:r>
            <w:r w:rsidRPr="00ED7062">
              <w:t>,</w:t>
            </w:r>
            <w:r>
              <w:t>018</w:t>
            </w:r>
            <w:r w:rsidRPr="00ED7062">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Intangible assets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9</w:t>
            </w:r>
          </w:p>
        </w:tc>
        <w:tc>
          <w:tcPr>
            <w:tcW w:w="629" w:type="pct"/>
            <w:shd w:val="pct10" w:color="auto" w:fill="auto"/>
            <w:vAlign w:val="center"/>
          </w:tcPr>
          <w:p w:rsidR="008A185A" w:rsidRPr="00ED7062" w:rsidRDefault="008A185A" w:rsidP="008A185A">
            <w:pPr>
              <w:pStyle w:val="Tablecopy"/>
              <w:spacing w:line="240" w:lineRule="auto"/>
              <w:ind w:right="142"/>
              <w:jc w:val="right"/>
            </w:pPr>
            <w:r>
              <w:t>71,774</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1</w:t>
            </w:r>
            <w:r w:rsidRPr="00ED7062">
              <w:t>2,</w:t>
            </w:r>
            <w:r>
              <w:t>171</w:t>
            </w:r>
            <w:r w:rsidRPr="00ED7062">
              <w:t xml:space="preserve">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1</w:t>
            </w:r>
            <w:r w:rsidRPr="00ED7062">
              <w:t>2,</w:t>
            </w:r>
            <w:r>
              <w:t>171</w:t>
            </w:r>
            <w:r w:rsidRPr="00ED7062">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rPr>
                <w:b/>
              </w:rPr>
            </w:pPr>
            <w:r w:rsidRPr="00A074A3">
              <w:rPr>
                <w:b/>
              </w:rPr>
              <w:t>Total non-financial assets</w:t>
            </w:r>
          </w:p>
        </w:tc>
        <w:tc>
          <w:tcPr>
            <w:tcW w:w="501"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p>
        </w:tc>
        <w:tc>
          <w:tcPr>
            <w:tcW w:w="629" w:type="pct"/>
            <w:shd w:val="pct10" w:color="auto" w:fill="auto"/>
            <w:vAlign w:val="center"/>
          </w:tcPr>
          <w:p w:rsidR="008A185A" w:rsidRPr="00A074A3" w:rsidRDefault="008A185A" w:rsidP="008A185A">
            <w:pPr>
              <w:pStyle w:val="Tablecopy"/>
              <w:spacing w:line="240" w:lineRule="auto"/>
              <w:ind w:right="142"/>
              <w:jc w:val="right"/>
              <w:rPr>
                <w:b/>
              </w:rPr>
            </w:pPr>
            <w:r>
              <w:rPr>
                <w:b/>
              </w:rPr>
              <w:t>1,346,214</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sidRPr="00A074A3">
              <w:rPr>
                <w:b/>
              </w:rPr>
              <w:t xml:space="preserve"> 1,</w:t>
            </w:r>
            <w:r>
              <w:rPr>
                <w:b/>
              </w:rPr>
              <w:t>165</w:t>
            </w:r>
            <w:r w:rsidRPr="00A074A3">
              <w:rPr>
                <w:b/>
              </w:rPr>
              <w:t>,</w:t>
            </w:r>
            <w:r>
              <w:rPr>
                <w:b/>
              </w:rPr>
              <w:t>945</w:t>
            </w:r>
            <w:r w:rsidRPr="00A074A3">
              <w:rPr>
                <w:b/>
              </w:rPr>
              <w:t xml:space="preserve"> </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sidRPr="00A074A3">
              <w:rPr>
                <w:b/>
              </w:rPr>
              <w:t xml:space="preserve"> 1,</w:t>
            </w:r>
            <w:r>
              <w:rPr>
                <w:b/>
              </w:rPr>
              <w:t>165</w:t>
            </w:r>
            <w:r w:rsidRPr="00A074A3">
              <w:rPr>
                <w:b/>
              </w:rPr>
              <w:t>,</w:t>
            </w:r>
            <w:r>
              <w:rPr>
                <w:b/>
              </w:rPr>
              <w:t>945</w:t>
            </w:r>
            <w:r w:rsidRPr="00A074A3">
              <w:rPr>
                <w:b/>
              </w:rPr>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spacing w:line="240" w:lineRule="auto"/>
              <w:ind w:right="142"/>
              <w:jc w:val="right"/>
            </w:pP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rPr>
                <w:b/>
              </w:rPr>
            </w:pPr>
            <w:r w:rsidRPr="00A074A3">
              <w:rPr>
                <w:b/>
              </w:rPr>
              <w:t>Total assets</w:t>
            </w:r>
          </w:p>
        </w:tc>
        <w:tc>
          <w:tcPr>
            <w:tcW w:w="501"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p>
        </w:tc>
        <w:tc>
          <w:tcPr>
            <w:tcW w:w="629" w:type="pct"/>
            <w:shd w:val="pct10" w:color="auto" w:fill="auto"/>
            <w:vAlign w:val="center"/>
          </w:tcPr>
          <w:p w:rsidR="008A185A" w:rsidRPr="00A074A3" w:rsidRDefault="008A185A" w:rsidP="008A185A">
            <w:pPr>
              <w:pStyle w:val="Tablecopy"/>
              <w:ind w:right="142"/>
              <w:jc w:val="right"/>
              <w:rPr>
                <w:b/>
              </w:rPr>
            </w:pPr>
            <w:r>
              <w:rPr>
                <w:b/>
              </w:rPr>
              <w:t>1,876,860</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sidRPr="00A074A3">
              <w:rPr>
                <w:b/>
              </w:rPr>
              <w:t xml:space="preserve"> </w:t>
            </w:r>
            <w:r>
              <w:rPr>
                <w:b/>
              </w:rPr>
              <w:t>1</w:t>
            </w:r>
            <w:r w:rsidRPr="00A074A3">
              <w:rPr>
                <w:b/>
              </w:rPr>
              <w:t>,</w:t>
            </w:r>
            <w:r>
              <w:rPr>
                <w:b/>
              </w:rPr>
              <w:t>615</w:t>
            </w:r>
            <w:r w:rsidRPr="00A074A3">
              <w:rPr>
                <w:b/>
              </w:rPr>
              <w:t>,</w:t>
            </w:r>
            <w:r>
              <w:rPr>
                <w:b/>
              </w:rPr>
              <w:t>374</w:t>
            </w:r>
            <w:r w:rsidRPr="00A074A3">
              <w:rPr>
                <w:b/>
              </w:rPr>
              <w:t xml:space="preserve"> </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sidRPr="00A074A3">
              <w:rPr>
                <w:b/>
              </w:rPr>
              <w:t xml:space="preserve"> </w:t>
            </w:r>
            <w:r>
              <w:rPr>
                <w:b/>
              </w:rPr>
              <w:t>1</w:t>
            </w:r>
            <w:r w:rsidRPr="00A074A3">
              <w:rPr>
                <w:b/>
              </w:rPr>
              <w:t>,</w:t>
            </w:r>
            <w:r>
              <w:rPr>
                <w:b/>
              </w:rPr>
              <w:t>615</w:t>
            </w:r>
            <w:r w:rsidRPr="00A074A3">
              <w:rPr>
                <w:b/>
              </w:rPr>
              <w:t>,</w:t>
            </w:r>
            <w:r>
              <w:rPr>
                <w:b/>
              </w:rPr>
              <w:t>374</w:t>
            </w:r>
            <w:r w:rsidRPr="00A074A3">
              <w:rPr>
                <w:b/>
              </w:rPr>
              <w:t xml:space="preserve"> </w:t>
            </w:r>
          </w:p>
        </w:tc>
      </w:tr>
      <w:tr w:rsidR="008A185A" w:rsidRPr="00ED7062" w:rsidTr="008A185A">
        <w:tc>
          <w:tcPr>
            <w:tcW w:w="2438" w:type="pct"/>
            <w:shd w:val="clear" w:color="auto" w:fill="auto"/>
            <w:tcMar>
              <w:top w:w="0" w:type="dxa"/>
              <w:left w:w="113" w:type="dxa"/>
              <w:bottom w:w="85" w:type="dxa"/>
              <w:right w:w="113" w:type="dxa"/>
            </w:tcMar>
            <w:vAlign w:val="bottom"/>
          </w:tcPr>
          <w:p w:rsidR="008A185A" w:rsidRPr="00A074A3" w:rsidRDefault="008A185A" w:rsidP="008A185A">
            <w:pPr>
              <w:pStyle w:val="Tablecopy"/>
              <w:spacing w:line="240" w:lineRule="auto"/>
              <w:rPr>
                <w:b/>
              </w:rPr>
            </w:pPr>
            <w:r w:rsidRPr="00A074A3">
              <w:rPr>
                <w:b/>
              </w:rPr>
              <w:t>Liabilities</w:t>
            </w:r>
          </w:p>
        </w:tc>
        <w:tc>
          <w:tcPr>
            <w:tcW w:w="501" w:type="pct"/>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spacing w:line="240" w:lineRule="auto"/>
              <w:ind w:right="142"/>
              <w:jc w:val="right"/>
            </w:pPr>
          </w:p>
        </w:tc>
        <w:tc>
          <w:tcPr>
            <w:tcW w:w="716" w:type="pct"/>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c>
          <w:tcPr>
            <w:tcW w:w="716" w:type="pct"/>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Payables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1</w:t>
            </w:r>
            <w:r>
              <w:t>0</w:t>
            </w:r>
          </w:p>
        </w:tc>
        <w:tc>
          <w:tcPr>
            <w:tcW w:w="629" w:type="pct"/>
            <w:shd w:val="pct10" w:color="auto" w:fill="auto"/>
            <w:vAlign w:val="center"/>
          </w:tcPr>
          <w:p w:rsidR="008A185A" w:rsidRPr="00ED7062" w:rsidRDefault="008A185A" w:rsidP="008A185A">
            <w:pPr>
              <w:pStyle w:val="Tablecopy"/>
              <w:ind w:right="142"/>
              <w:jc w:val="right"/>
            </w:pPr>
            <w:r>
              <w:t>529,502</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449</w:t>
            </w:r>
            <w:r w:rsidRPr="00ED7062">
              <w:t>,</w:t>
            </w:r>
            <w:r>
              <w:t>093</w:t>
            </w:r>
            <w:r w:rsidRPr="00ED7062">
              <w:t xml:space="preserve">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449</w:t>
            </w:r>
            <w:r w:rsidRPr="00ED7062">
              <w:t>,</w:t>
            </w:r>
            <w:r>
              <w:t>093</w:t>
            </w:r>
            <w:r w:rsidRPr="00ED7062">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Borrowings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1</w:t>
            </w:r>
            <w:r>
              <w:t>1</w:t>
            </w:r>
          </w:p>
        </w:tc>
        <w:tc>
          <w:tcPr>
            <w:tcW w:w="629" w:type="pct"/>
            <w:shd w:val="pct10" w:color="auto" w:fill="auto"/>
            <w:vAlign w:val="center"/>
          </w:tcPr>
          <w:p w:rsidR="008A185A" w:rsidRPr="00ED7062" w:rsidRDefault="008A185A" w:rsidP="008A185A">
            <w:pPr>
              <w:pStyle w:val="Tablecopy"/>
              <w:spacing w:line="240" w:lineRule="auto"/>
              <w:ind w:right="142"/>
              <w:jc w:val="right"/>
            </w:pPr>
            <w:r>
              <w:t>377,429</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376</w:t>
            </w:r>
            <w:r w:rsidRPr="00ED7062">
              <w:t>,</w:t>
            </w:r>
            <w:r>
              <w:t>191</w:t>
            </w:r>
            <w:r w:rsidRPr="00ED7062">
              <w:t xml:space="preserve">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376</w:t>
            </w:r>
            <w:r w:rsidRPr="00ED7062">
              <w:t>,</w:t>
            </w:r>
            <w:r>
              <w:t>191</w:t>
            </w:r>
            <w:r w:rsidRPr="00ED7062">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Provisions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1</w:t>
            </w:r>
            <w:r>
              <w:t>2</w:t>
            </w:r>
          </w:p>
        </w:tc>
        <w:tc>
          <w:tcPr>
            <w:tcW w:w="629" w:type="pct"/>
            <w:shd w:val="pct10" w:color="auto" w:fill="auto"/>
            <w:vAlign w:val="center"/>
          </w:tcPr>
          <w:p w:rsidR="008A185A" w:rsidRPr="00ED7062" w:rsidRDefault="008A185A" w:rsidP="008A185A">
            <w:pPr>
              <w:pStyle w:val="Tablecopy"/>
              <w:ind w:right="142"/>
              <w:jc w:val="right"/>
            </w:pPr>
            <w:r>
              <w:t>341,448</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29</w:t>
            </w:r>
            <w:r w:rsidRPr="00ED7062">
              <w:t>1,</w:t>
            </w:r>
            <w:r>
              <w:t>166</w:t>
            </w:r>
            <w:r w:rsidRPr="00ED7062">
              <w:t xml:space="preserve">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29</w:t>
            </w:r>
            <w:r w:rsidRPr="00ED7062">
              <w:t>1,</w:t>
            </w:r>
            <w:r>
              <w:t>166</w:t>
            </w:r>
            <w:r w:rsidRPr="00ED7062">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4B5FD2" w:rsidRDefault="008A185A" w:rsidP="008A185A">
            <w:pPr>
              <w:pStyle w:val="Tablecopy"/>
              <w:spacing w:line="240" w:lineRule="auto"/>
              <w:rPr>
                <w:b/>
              </w:rPr>
            </w:pPr>
            <w:r w:rsidRPr="004B5FD2">
              <w:rPr>
                <w:b/>
              </w:rPr>
              <w:t>Total liabilities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5C43D7" w:rsidRDefault="008A185A" w:rsidP="008A185A">
            <w:pPr>
              <w:pStyle w:val="Tablecopy"/>
              <w:ind w:right="142"/>
              <w:jc w:val="right"/>
              <w:rPr>
                <w:b/>
              </w:rPr>
            </w:pPr>
            <w:r>
              <w:rPr>
                <w:b/>
              </w:rPr>
              <w:t>1,248,379</w:t>
            </w:r>
          </w:p>
        </w:tc>
        <w:tc>
          <w:tcPr>
            <w:tcW w:w="716" w:type="pct"/>
            <w:shd w:val="clear" w:color="auto" w:fill="auto"/>
            <w:tcMar>
              <w:top w:w="0" w:type="dxa"/>
              <w:left w:w="113" w:type="dxa"/>
              <w:bottom w:w="0" w:type="dxa"/>
              <w:right w:w="113" w:type="dxa"/>
            </w:tcMar>
            <w:vAlign w:val="center"/>
          </w:tcPr>
          <w:p w:rsidR="008A185A" w:rsidRPr="005C43D7" w:rsidRDefault="008A185A" w:rsidP="008A185A">
            <w:pPr>
              <w:pStyle w:val="Tablecopy"/>
              <w:spacing w:line="240" w:lineRule="auto"/>
              <w:jc w:val="right"/>
              <w:rPr>
                <w:b/>
              </w:rPr>
            </w:pPr>
            <w:r w:rsidRPr="005C43D7">
              <w:rPr>
                <w:b/>
              </w:rPr>
              <w:t xml:space="preserve"> 1,</w:t>
            </w:r>
            <w:r>
              <w:rPr>
                <w:b/>
              </w:rPr>
              <w:t>116</w:t>
            </w:r>
            <w:r w:rsidRPr="005C43D7">
              <w:rPr>
                <w:b/>
              </w:rPr>
              <w:t>,</w:t>
            </w:r>
            <w:r>
              <w:rPr>
                <w:b/>
              </w:rPr>
              <w:t>450</w:t>
            </w:r>
            <w:r w:rsidRPr="005C43D7">
              <w:rPr>
                <w:b/>
              </w:rPr>
              <w:t xml:space="preserve"> </w:t>
            </w:r>
          </w:p>
        </w:tc>
        <w:tc>
          <w:tcPr>
            <w:tcW w:w="716" w:type="pct"/>
            <w:shd w:val="clear" w:color="auto" w:fill="auto"/>
            <w:tcMar>
              <w:top w:w="0" w:type="dxa"/>
              <w:left w:w="113" w:type="dxa"/>
              <w:bottom w:w="0" w:type="dxa"/>
              <w:right w:w="113" w:type="dxa"/>
            </w:tcMar>
            <w:vAlign w:val="center"/>
          </w:tcPr>
          <w:p w:rsidR="008A185A" w:rsidRPr="005C43D7" w:rsidRDefault="008A185A" w:rsidP="008A185A">
            <w:pPr>
              <w:pStyle w:val="Tablecopy"/>
              <w:spacing w:line="240" w:lineRule="auto"/>
              <w:jc w:val="right"/>
              <w:rPr>
                <w:b/>
              </w:rPr>
            </w:pPr>
            <w:r w:rsidRPr="005C43D7">
              <w:rPr>
                <w:b/>
              </w:rPr>
              <w:t xml:space="preserve"> 1,</w:t>
            </w:r>
            <w:r>
              <w:rPr>
                <w:b/>
              </w:rPr>
              <w:t>116</w:t>
            </w:r>
            <w:r w:rsidRPr="005C43D7">
              <w:rPr>
                <w:b/>
              </w:rPr>
              <w:t>,</w:t>
            </w:r>
            <w:r>
              <w:rPr>
                <w:b/>
              </w:rPr>
              <w:t>450</w:t>
            </w:r>
            <w:r w:rsidRPr="005C43D7">
              <w:rPr>
                <w:b/>
              </w:rPr>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spacing w:line="240" w:lineRule="auto"/>
              <w:ind w:right="142"/>
              <w:jc w:val="right"/>
            </w:pP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rPr>
                <w:b/>
              </w:rPr>
            </w:pPr>
            <w:r w:rsidRPr="00A074A3">
              <w:rPr>
                <w:b/>
              </w:rPr>
              <w:t>Net assets</w:t>
            </w:r>
          </w:p>
        </w:tc>
        <w:tc>
          <w:tcPr>
            <w:tcW w:w="501"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p>
        </w:tc>
        <w:tc>
          <w:tcPr>
            <w:tcW w:w="629" w:type="pct"/>
            <w:shd w:val="pct10" w:color="auto" w:fill="auto"/>
            <w:vAlign w:val="center"/>
          </w:tcPr>
          <w:p w:rsidR="008A185A" w:rsidRPr="00A074A3" w:rsidRDefault="008A185A" w:rsidP="008A185A">
            <w:pPr>
              <w:pStyle w:val="Tablecopy"/>
              <w:spacing w:line="240" w:lineRule="auto"/>
              <w:ind w:right="142"/>
              <w:jc w:val="right"/>
              <w:rPr>
                <w:b/>
              </w:rPr>
            </w:pPr>
            <w:r>
              <w:rPr>
                <w:b/>
              </w:rPr>
              <w:t>628,481</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sidRPr="00A074A3">
              <w:rPr>
                <w:b/>
              </w:rPr>
              <w:t xml:space="preserve"> 4</w:t>
            </w:r>
            <w:r>
              <w:rPr>
                <w:b/>
              </w:rPr>
              <w:t>98</w:t>
            </w:r>
            <w:r w:rsidRPr="00A074A3">
              <w:rPr>
                <w:b/>
              </w:rPr>
              <w:t>,</w:t>
            </w:r>
            <w:r>
              <w:rPr>
                <w:b/>
              </w:rPr>
              <w:t>924</w:t>
            </w:r>
            <w:r w:rsidRPr="00A074A3">
              <w:rPr>
                <w:b/>
              </w:rPr>
              <w:t xml:space="preserve"> </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sidRPr="00A074A3">
              <w:rPr>
                <w:b/>
              </w:rPr>
              <w:t xml:space="preserve"> 4</w:t>
            </w:r>
            <w:r>
              <w:rPr>
                <w:b/>
              </w:rPr>
              <w:t>98</w:t>
            </w:r>
            <w:r w:rsidRPr="00A074A3">
              <w:rPr>
                <w:b/>
              </w:rPr>
              <w:t>,</w:t>
            </w:r>
            <w:r>
              <w:rPr>
                <w:b/>
              </w:rPr>
              <w:t>924</w:t>
            </w:r>
            <w:r w:rsidRPr="00A074A3">
              <w:rPr>
                <w:b/>
              </w:rPr>
              <w:t xml:space="preserve"> </w:t>
            </w:r>
          </w:p>
        </w:tc>
      </w:tr>
      <w:tr w:rsidR="008A185A" w:rsidRPr="00ED7062" w:rsidTr="008A185A">
        <w:tc>
          <w:tcPr>
            <w:tcW w:w="2438" w:type="pct"/>
            <w:shd w:val="clear" w:color="auto" w:fill="auto"/>
            <w:tcMar>
              <w:top w:w="0" w:type="dxa"/>
              <w:left w:w="113" w:type="dxa"/>
              <w:bottom w:w="85" w:type="dxa"/>
              <w:right w:w="113" w:type="dxa"/>
            </w:tcMar>
            <w:vAlign w:val="bottom"/>
          </w:tcPr>
          <w:p w:rsidR="008A185A" w:rsidRPr="00A074A3" w:rsidRDefault="008A185A" w:rsidP="008A185A">
            <w:pPr>
              <w:pStyle w:val="Tablecopy"/>
              <w:spacing w:line="240" w:lineRule="auto"/>
              <w:rPr>
                <w:b/>
              </w:rPr>
            </w:pPr>
            <w:r w:rsidRPr="00A074A3">
              <w:rPr>
                <w:b/>
              </w:rPr>
              <w:t>Equity</w:t>
            </w:r>
          </w:p>
        </w:tc>
        <w:tc>
          <w:tcPr>
            <w:tcW w:w="501" w:type="pct"/>
            <w:shd w:val="clear" w:color="auto" w:fill="auto"/>
            <w:tcMar>
              <w:top w:w="0" w:type="dxa"/>
              <w:left w:w="113" w:type="dxa"/>
              <w:bottom w:w="85" w:type="dxa"/>
              <w:right w:w="113" w:type="dxa"/>
            </w:tcMar>
            <w:vAlign w:val="bottom"/>
          </w:tcPr>
          <w:p w:rsidR="008A185A" w:rsidRPr="00A074A3" w:rsidRDefault="008A185A" w:rsidP="008A185A">
            <w:pPr>
              <w:pStyle w:val="Tablecopy"/>
              <w:spacing w:line="240" w:lineRule="auto"/>
              <w:jc w:val="right"/>
              <w:rPr>
                <w:b/>
              </w:rPr>
            </w:pPr>
          </w:p>
        </w:tc>
        <w:tc>
          <w:tcPr>
            <w:tcW w:w="629" w:type="pct"/>
            <w:shd w:val="pct10" w:color="auto" w:fill="auto"/>
            <w:vAlign w:val="center"/>
          </w:tcPr>
          <w:p w:rsidR="008A185A" w:rsidRPr="00A074A3" w:rsidRDefault="008A185A" w:rsidP="008A185A">
            <w:pPr>
              <w:pStyle w:val="Tablecopy"/>
              <w:spacing w:line="240" w:lineRule="auto"/>
              <w:ind w:right="142"/>
              <w:jc w:val="right"/>
              <w:rPr>
                <w:b/>
              </w:rPr>
            </w:pPr>
          </w:p>
        </w:tc>
        <w:tc>
          <w:tcPr>
            <w:tcW w:w="716" w:type="pct"/>
            <w:shd w:val="clear" w:color="auto" w:fill="auto"/>
            <w:tcMar>
              <w:top w:w="0" w:type="dxa"/>
              <w:left w:w="113" w:type="dxa"/>
              <w:bottom w:w="85" w:type="dxa"/>
              <w:right w:w="113" w:type="dxa"/>
            </w:tcMar>
            <w:vAlign w:val="bottom"/>
          </w:tcPr>
          <w:p w:rsidR="008A185A" w:rsidRPr="00A074A3" w:rsidRDefault="008A185A" w:rsidP="008A185A">
            <w:pPr>
              <w:pStyle w:val="Tablecopy"/>
              <w:spacing w:line="240" w:lineRule="auto"/>
              <w:jc w:val="right"/>
              <w:rPr>
                <w:b/>
              </w:rPr>
            </w:pPr>
          </w:p>
        </w:tc>
        <w:tc>
          <w:tcPr>
            <w:tcW w:w="716" w:type="pct"/>
            <w:shd w:val="clear" w:color="auto" w:fill="auto"/>
            <w:tcMar>
              <w:top w:w="0" w:type="dxa"/>
              <w:left w:w="113" w:type="dxa"/>
              <w:bottom w:w="85" w:type="dxa"/>
              <w:right w:w="113" w:type="dxa"/>
            </w:tcMar>
            <w:vAlign w:val="bottom"/>
          </w:tcPr>
          <w:p w:rsidR="008A185A" w:rsidRPr="00A074A3" w:rsidRDefault="008A185A" w:rsidP="008A185A">
            <w:pPr>
              <w:pStyle w:val="Tablecopy"/>
              <w:spacing w:line="240" w:lineRule="auto"/>
              <w:jc w:val="right"/>
              <w:rPr>
                <w:b/>
              </w:rPr>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Contributed capital</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ind w:right="142"/>
              <w:jc w:val="right"/>
            </w:pPr>
            <w:r>
              <w:t>514,175</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383,600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383,600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Accumulated surplus/(deficit)</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spacing w:line="240" w:lineRule="auto"/>
              <w:ind w:right="142"/>
              <w:jc w:val="right"/>
            </w:pPr>
            <w:r>
              <w:t>114,306</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115</w:t>
            </w:r>
            <w:r w:rsidRPr="00ED7062">
              <w:t>,</w:t>
            </w:r>
            <w:r>
              <w:t>324</w:t>
            </w:r>
            <w:r w:rsidRPr="00ED7062">
              <w:t xml:space="preserve"> </w:t>
            </w: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115</w:t>
            </w:r>
            <w:r w:rsidRPr="00ED7062">
              <w:t>,</w:t>
            </w:r>
            <w:r>
              <w:t>324</w:t>
            </w:r>
            <w:r w:rsidRPr="00ED7062">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629" w:type="pct"/>
            <w:shd w:val="pct10" w:color="auto" w:fill="auto"/>
            <w:vAlign w:val="center"/>
          </w:tcPr>
          <w:p w:rsidR="008A185A" w:rsidRPr="00ED7062" w:rsidRDefault="008A185A" w:rsidP="008A185A">
            <w:pPr>
              <w:pStyle w:val="Tablecopy"/>
              <w:spacing w:line="240" w:lineRule="auto"/>
              <w:ind w:right="142"/>
              <w:jc w:val="right"/>
            </w:pP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716"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rPr>
                <w:b/>
              </w:rPr>
            </w:pPr>
            <w:r w:rsidRPr="00A074A3">
              <w:rPr>
                <w:b/>
              </w:rPr>
              <w:t>Net worth</w:t>
            </w:r>
          </w:p>
        </w:tc>
        <w:tc>
          <w:tcPr>
            <w:tcW w:w="501"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p>
        </w:tc>
        <w:tc>
          <w:tcPr>
            <w:tcW w:w="629" w:type="pct"/>
            <w:shd w:val="pct10" w:color="auto" w:fill="auto"/>
            <w:vAlign w:val="center"/>
          </w:tcPr>
          <w:p w:rsidR="008A185A" w:rsidRPr="00A074A3" w:rsidRDefault="008A185A" w:rsidP="008A185A">
            <w:pPr>
              <w:pStyle w:val="Tablecopy"/>
              <w:spacing w:line="240" w:lineRule="auto"/>
              <w:ind w:right="142"/>
              <w:jc w:val="right"/>
              <w:rPr>
                <w:b/>
              </w:rPr>
            </w:pPr>
            <w:r>
              <w:rPr>
                <w:b/>
              </w:rPr>
              <w:t>628,481</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Pr>
                <w:b/>
              </w:rPr>
              <w:t xml:space="preserve"> </w:t>
            </w:r>
            <w:r w:rsidRPr="00A074A3">
              <w:rPr>
                <w:b/>
              </w:rPr>
              <w:t>4</w:t>
            </w:r>
            <w:r>
              <w:rPr>
                <w:b/>
              </w:rPr>
              <w:t>98</w:t>
            </w:r>
            <w:r w:rsidRPr="00A074A3">
              <w:rPr>
                <w:b/>
              </w:rPr>
              <w:t>,</w:t>
            </w:r>
            <w:r>
              <w:rPr>
                <w:b/>
              </w:rPr>
              <w:t>924</w:t>
            </w:r>
            <w:r w:rsidRPr="00A074A3">
              <w:rPr>
                <w:b/>
              </w:rPr>
              <w:t xml:space="preserve"> </w:t>
            </w:r>
          </w:p>
        </w:tc>
        <w:tc>
          <w:tcPr>
            <w:tcW w:w="716" w:type="pct"/>
            <w:shd w:val="clear" w:color="auto" w:fill="auto"/>
            <w:tcMar>
              <w:top w:w="0" w:type="dxa"/>
              <w:left w:w="113" w:type="dxa"/>
              <w:bottom w:w="0" w:type="dxa"/>
              <w:right w:w="113" w:type="dxa"/>
            </w:tcMar>
            <w:vAlign w:val="center"/>
          </w:tcPr>
          <w:p w:rsidR="008A185A" w:rsidRPr="00A074A3" w:rsidRDefault="008A185A" w:rsidP="008A185A">
            <w:pPr>
              <w:pStyle w:val="Tablecopy"/>
              <w:spacing w:line="240" w:lineRule="auto"/>
              <w:jc w:val="right"/>
              <w:rPr>
                <w:b/>
              </w:rPr>
            </w:pPr>
            <w:r>
              <w:rPr>
                <w:b/>
              </w:rPr>
              <w:t xml:space="preserve"> </w:t>
            </w:r>
            <w:r w:rsidRPr="00A074A3">
              <w:rPr>
                <w:b/>
              </w:rPr>
              <w:t>4</w:t>
            </w:r>
            <w:r>
              <w:rPr>
                <w:b/>
              </w:rPr>
              <w:t>98</w:t>
            </w:r>
            <w:r w:rsidRPr="00A074A3">
              <w:rPr>
                <w:b/>
              </w:rPr>
              <w:t>,</w:t>
            </w:r>
            <w:r>
              <w:rPr>
                <w:b/>
              </w:rPr>
              <w:t>924</w:t>
            </w:r>
            <w:r w:rsidRPr="00A074A3">
              <w:rPr>
                <w:b/>
              </w:rPr>
              <w:t xml:space="preserve"> </w:t>
            </w: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2061" w:type="pct"/>
            <w:gridSpan w:val="3"/>
            <w:vMerge w:val="restart"/>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Commitments for expenditure</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1</w:t>
            </w:r>
            <w:r>
              <w:t>4</w:t>
            </w:r>
          </w:p>
        </w:tc>
        <w:tc>
          <w:tcPr>
            <w:tcW w:w="2061" w:type="pct"/>
            <w:gridSpan w:val="3"/>
            <w:vMerge/>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Contingent assets</w:t>
            </w:r>
            <w:r>
              <w:t xml:space="preserve"> and liabilities</w:t>
            </w: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1</w:t>
            </w:r>
            <w:r>
              <w:t>5</w:t>
            </w:r>
          </w:p>
        </w:tc>
        <w:tc>
          <w:tcPr>
            <w:tcW w:w="2061" w:type="pct"/>
            <w:gridSpan w:val="3"/>
            <w:vMerge/>
          </w:tcPr>
          <w:p w:rsidR="008A185A" w:rsidRPr="00ED7062" w:rsidRDefault="008A185A" w:rsidP="008A185A">
            <w:pPr>
              <w:pStyle w:val="Tablecopy"/>
              <w:spacing w:line="240" w:lineRule="auto"/>
              <w:jc w:val="right"/>
            </w:pPr>
          </w:p>
        </w:tc>
      </w:tr>
      <w:tr w:rsidR="008A185A" w:rsidRPr="00ED7062" w:rsidTr="008A185A">
        <w:tc>
          <w:tcPr>
            <w:tcW w:w="2438" w:type="pct"/>
            <w:shd w:val="clear" w:color="auto" w:fill="auto"/>
            <w:tcMar>
              <w:top w:w="0" w:type="dxa"/>
              <w:left w:w="113" w:type="dxa"/>
              <w:bottom w:w="0" w:type="dxa"/>
              <w:right w:w="113" w:type="dxa"/>
            </w:tcMar>
            <w:vAlign w:val="center"/>
          </w:tcPr>
          <w:p w:rsidR="008A185A" w:rsidRPr="00E7298D" w:rsidRDefault="008A185A" w:rsidP="008A185A">
            <w:pPr>
              <w:pStyle w:val="Tablecopy"/>
              <w:spacing w:line="240" w:lineRule="auto"/>
            </w:pPr>
          </w:p>
        </w:tc>
        <w:tc>
          <w:tcPr>
            <w:tcW w:w="501" w:type="pct"/>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2061" w:type="pct"/>
            <w:gridSpan w:val="3"/>
            <w:vMerge/>
          </w:tcPr>
          <w:p w:rsidR="008A185A" w:rsidRPr="00ED7062" w:rsidRDefault="008A185A" w:rsidP="008A185A">
            <w:pPr>
              <w:pStyle w:val="Tablecopy"/>
              <w:spacing w:line="240" w:lineRule="auto"/>
              <w:jc w:val="right"/>
            </w:pPr>
          </w:p>
        </w:tc>
      </w:tr>
      <w:tr w:rsidR="008A185A" w:rsidRPr="00ED7062" w:rsidTr="008A185A">
        <w:trPr>
          <w:trHeight w:val="290"/>
        </w:trPr>
        <w:tc>
          <w:tcPr>
            <w:tcW w:w="5000" w:type="pct"/>
            <w:gridSpan w:val="5"/>
            <w:vAlign w:val="center"/>
          </w:tcPr>
          <w:p w:rsidR="008A185A" w:rsidRPr="00ED7062" w:rsidRDefault="008A185A" w:rsidP="008A185A">
            <w:pPr>
              <w:pStyle w:val="smallbodytext"/>
              <w:spacing w:before="0" w:after="0" w:line="240" w:lineRule="auto"/>
            </w:pPr>
            <w:r w:rsidRPr="00ED7062">
              <w:t>The balance sheet should be read in conjunction with the accompanying notes.</w:t>
            </w:r>
          </w:p>
        </w:tc>
      </w:tr>
    </w:tbl>
    <w:p w:rsidR="008A185A" w:rsidRPr="00FB72FA" w:rsidRDefault="008A185A" w:rsidP="008A185A"/>
    <w:p w:rsidR="008A185A" w:rsidRDefault="008A185A" w:rsidP="008A185A">
      <w:pPr>
        <w:pStyle w:val="Heading10"/>
        <w:outlineLvl w:val="0"/>
      </w:pPr>
      <w:bookmarkStart w:id="71" w:name="_Statement_of_changes"/>
      <w:bookmarkEnd w:id="71"/>
      <w:r>
        <w:br w:type="page"/>
      </w:r>
      <w:bookmarkStart w:id="72" w:name="_Toc366663339"/>
      <w:bookmarkStart w:id="73" w:name="_Toc337471030"/>
      <w:bookmarkStart w:id="74" w:name="_Toc337537796"/>
      <w:bookmarkStart w:id="75" w:name="_Toc337539722"/>
      <w:bookmarkStart w:id="76" w:name="_Toc337707139"/>
      <w:bookmarkStart w:id="77" w:name="_Toc337711247"/>
      <w:bookmarkStart w:id="78" w:name="_Toc366671912"/>
      <w:bookmarkStart w:id="79" w:name="_Toc366672089"/>
      <w:r w:rsidRPr="00FB72FA">
        <w:t>Statement of changes in equity</w:t>
      </w:r>
      <w:bookmarkEnd w:id="72"/>
      <w:r>
        <w:t xml:space="preserve"> </w:t>
      </w:r>
      <w:bookmarkStart w:id="80" w:name="_Toc366663340"/>
      <w:r w:rsidRPr="00FB72FA">
        <w:t>for the financial year ended 30 June 201</w:t>
      </w:r>
      <w:r>
        <w:t>3</w:t>
      </w:r>
      <w:bookmarkEnd w:id="73"/>
      <w:bookmarkEnd w:id="74"/>
      <w:bookmarkEnd w:id="75"/>
      <w:bookmarkEnd w:id="76"/>
      <w:bookmarkEnd w:id="77"/>
      <w:bookmarkEnd w:id="78"/>
      <w:bookmarkEnd w:id="79"/>
      <w:bookmarkEnd w:id="80"/>
    </w:p>
    <w:p w:rsidR="008A185A" w:rsidRPr="008A185A" w:rsidRDefault="008A185A" w:rsidP="008A185A"/>
    <w:tbl>
      <w:tblPr>
        <w:tblW w:w="514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153"/>
        <w:gridCol w:w="876"/>
        <w:gridCol w:w="1322"/>
        <w:gridCol w:w="1233"/>
        <w:gridCol w:w="956"/>
      </w:tblGrid>
      <w:tr w:rsidR="008A185A" w:rsidRPr="00ED7062" w:rsidTr="008A185A">
        <w:tc>
          <w:tcPr>
            <w:tcW w:w="2431" w:type="pct"/>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p>
        </w:tc>
        <w:tc>
          <w:tcPr>
            <w:tcW w:w="513" w:type="pct"/>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p>
        </w:tc>
        <w:tc>
          <w:tcPr>
            <w:tcW w:w="774" w:type="pct"/>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r w:rsidRPr="00ED7062">
              <w:t>Contributions by Owner</w:t>
            </w:r>
          </w:p>
        </w:tc>
        <w:tc>
          <w:tcPr>
            <w:tcW w:w="722" w:type="pct"/>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r w:rsidRPr="00ED7062">
              <w:t>Accumulated Surplus</w:t>
            </w:r>
          </w:p>
        </w:tc>
        <w:tc>
          <w:tcPr>
            <w:tcW w:w="560" w:type="pct"/>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r w:rsidRPr="00ED7062">
              <w:t>Total</w:t>
            </w:r>
          </w:p>
        </w:tc>
      </w:tr>
      <w:tr w:rsidR="008A185A" w:rsidRPr="00ED7062" w:rsidTr="008A185A">
        <w:tc>
          <w:tcPr>
            <w:tcW w:w="2431" w:type="pct"/>
            <w:shd w:val="clear" w:color="auto" w:fill="auto"/>
            <w:tcMar>
              <w:top w:w="57" w:type="dxa"/>
              <w:left w:w="113" w:type="dxa"/>
              <w:bottom w:w="85" w:type="dxa"/>
              <w:right w:w="113" w:type="dxa"/>
            </w:tcMar>
            <w:vAlign w:val="bottom"/>
          </w:tcPr>
          <w:p w:rsidR="008A185A" w:rsidRPr="00A074A3" w:rsidRDefault="008A185A" w:rsidP="008A185A">
            <w:pPr>
              <w:pStyle w:val="Tablecopy"/>
              <w:rPr>
                <w:b/>
              </w:rPr>
            </w:pPr>
            <w:r>
              <w:rPr>
                <w:b/>
              </w:rPr>
              <w:t>Consolidated</w:t>
            </w:r>
          </w:p>
        </w:tc>
        <w:tc>
          <w:tcPr>
            <w:tcW w:w="513" w:type="pct"/>
            <w:shd w:val="clear" w:color="auto" w:fill="auto"/>
            <w:tcMar>
              <w:top w:w="57" w:type="dxa"/>
              <w:left w:w="113" w:type="dxa"/>
              <w:bottom w:w="85" w:type="dxa"/>
              <w:right w:w="113" w:type="dxa"/>
            </w:tcMar>
            <w:vAlign w:val="bottom"/>
          </w:tcPr>
          <w:p w:rsidR="008A185A" w:rsidRPr="00A074A3" w:rsidRDefault="008A185A" w:rsidP="008A185A">
            <w:pPr>
              <w:pStyle w:val="Tablecopy"/>
              <w:jc w:val="right"/>
              <w:rPr>
                <w:b/>
              </w:rPr>
            </w:pPr>
            <w:r w:rsidRPr="00A074A3">
              <w:rPr>
                <w:b/>
              </w:rPr>
              <w:t>Note</w:t>
            </w:r>
          </w:p>
        </w:tc>
        <w:tc>
          <w:tcPr>
            <w:tcW w:w="774" w:type="pct"/>
            <w:shd w:val="clear" w:color="auto" w:fill="auto"/>
            <w:tcMar>
              <w:top w:w="57" w:type="dxa"/>
              <w:left w:w="113" w:type="dxa"/>
              <w:bottom w:w="85" w:type="dxa"/>
              <w:right w:w="113" w:type="dxa"/>
            </w:tcMar>
            <w:vAlign w:val="bottom"/>
          </w:tcPr>
          <w:p w:rsidR="008A185A" w:rsidRPr="00A074A3" w:rsidRDefault="008A185A" w:rsidP="008A185A">
            <w:pPr>
              <w:pStyle w:val="Tablecopy"/>
              <w:jc w:val="right"/>
              <w:rPr>
                <w:b/>
              </w:rPr>
            </w:pPr>
            <w:r w:rsidRPr="00A074A3">
              <w:rPr>
                <w:b/>
              </w:rPr>
              <w:t>$’000</w:t>
            </w:r>
          </w:p>
        </w:tc>
        <w:tc>
          <w:tcPr>
            <w:tcW w:w="722" w:type="pct"/>
            <w:shd w:val="clear" w:color="auto" w:fill="auto"/>
            <w:tcMar>
              <w:top w:w="57" w:type="dxa"/>
              <w:left w:w="113" w:type="dxa"/>
              <w:bottom w:w="85" w:type="dxa"/>
              <w:right w:w="113" w:type="dxa"/>
            </w:tcMar>
            <w:vAlign w:val="bottom"/>
          </w:tcPr>
          <w:p w:rsidR="008A185A" w:rsidRPr="00A074A3" w:rsidRDefault="008A185A" w:rsidP="008A185A">
            <w:pPr>
              <w:pStyle w:val="Tablecopy"/>
              <w:jc w:val="right"/>
              <w:rPr>
                <w:b/>
              </w:rPr>
            </w:pPr>
            <w:r w:rsidRPr="00A074A3">
              <w:rPr>
                <w:b/>
              </w:rPr>
              <w:t>$’000</w:t>
            </w:r>
          </w:p>
        </w:tc>
        <w:tc>
          <w:tcPr>
            <w:tcW w:w="560" w:type="pct"/>
            <w:shd w:val="clear" w:color="auto" w:fill="auto"/>
            <w:tcMar>
              <w:top w:w="57" w:type="dxa"/>
              <w:left w:w="113" w:type="dxa"/>
              <w:bottom w:w="85" w:type="dxa"/>
              <w:right w:w="113" w:type="dxa"/>
            </w:tcMar>
            <w:vAlign w:val="bottom"/>
          </w:tcPr>
          <w:p w:rsidR="008A185A" w:rsidRPr="00A074A3" w:rsidRDefault="008A185A" w:rsidP="008A185A">
            <w:pPr>
              <w:pStyle w:val="Tablecopy"/>
              <w:jc w:val="right"/>
              <w:rPr>
                <w:b/>
              </w:rPr>
            </w:pPr>
            <w:r w:rsidRPr="00A074A3">
              <w:rPr>
                <w:b/>
              </w:rPr>
              <w:t>$’000</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Balance at 1</w:t>
            </w:r>
            <w:r>
              <w:rPr>
                <w:b/>
              </w:rPr>
              <w:t>5</w:t>
            </w:r>
            <w:r w:rsidRPr="00A074A3">
              <w:rPr>
                <w:b/>
              </w:rPr>
              <w:t xml:space="preserve"> </w:t>
            </w:r>
            <w:r>
              <w:rPr>
                <w:b/>
              </w:rPr>
              <w:t xml:space="preserve">December </w:t>
            </w:r>
            <w:r w:rsidRPr="00A074A3">
              <w:rPr>
                <w:b/>
              </w:rPr>
              <w:t>201</w:t>
            </w:r>
            <w:r>
              <w:rPr>
                <w:b/>
              </w:rPr>
              <w:t>1</w:t>
            </w:r>
          </w:p>
        </w:tc>
        <w:tc>
          <w:tcPr>
            <w:tcW w:w="513"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774"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w:t>
            </w:r>
            <w:r w:rsidRPr="00A074A3">
              <w:rPr>
                <w:b/>
              </w:rPr>
              <w:t xml:space="preserve"> </w:t>
            </w:r>
          </w:p>
        </w:tc>
        <w:tc>
          <w:tcPr>
            <w:tcW w:w="722"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w:t>
            </w:r>
            <w:r w:rsidRPr="00A074A3">
              <w:rPr>
                <w:b/>
              </w:rPr>
              <w:t xml:space="preserve"> </w:t>
            </w:r>
          </w:p>
        </w:tc>
        <w:tc>
          <w:tcPr>
            <w:tcW w:w="560"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w:t>
            </w:r>
            <w:r w:rsidRPr="00A074A3">
              <w:rPr>
                <w:b/>
              </w:rPr>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 xml:space="preserve">Net result for the </w:t>
            </w:r>
            <w:r>
              <w:t>period</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7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72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115</w:t>
            </w:r>
            <w:r w:rsidRPr="00ED7062">
              <w:t>,</w:t>
            </w:r>
            <w:r>
              <w:t>324</w:t>
            </w:r>
            <w:r w:rsidRPr="00ED7062">
              <w:t xml:space="preserve"> </w:t>
            </w:r>
          </w:p>
        </w:tc>
        <w:tc>
          <w:tcPr>
            <w:tcW w:w="560"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115</w:t>
            </w:r>
            <w:r w:rsidRPr="00ED7062">
              <w:t>,</w:t>
            </w:r>
            <w:r>
              <w:t>324</w:t>
            </w:r>
            <w:r w:rsidRPr="00ED7062">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t>Administrative restructure – net assets received from DTPLI</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2(</w:t>
            </w:r>
            <w:r>
              <w:t>c)</w:t>
            </w:r>
          </w:p>
        </w:tc>
        <w:tc>
          <w:tcPr>
            <w:tcW w:w="77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 xml:space="preserve"> 398,888</w:t>
            </w:r>
            <w:r w:rsidRPr="00ED7062">
              <w:t xml:space="preserve"> </w:t>
            </w:r>
          </w:p>
        </w:tc>
        <w:tc>
          <w:tcPr>
            <w:tcW w:w="72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560"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398,888</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 xml:space="preserve">Capital contributions </w:t>
            </w:r>
            <w:r>
              <w:t>funding from DTPLI during the period</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7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225</w:t>
            </w:r>
            <w:r w:rsidRPr="00ED7062">
              <w:t>,</w:t>
            </w:r>
            <w:r>
              <w:t>905</w:t>
            </w:r>
          </w:p>
        </w:tc>
        <w:tc>
          <w:tcPr>
            <w:tcW w:w="72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560"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225</w:t>
            </w:r>
            <w:r w:rsidRPr="00ED7062">
              <w:t>,</w:t>
            </w:r>
            <w:r>
              <w:t>905</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 xml:space="preserve">Capital </w:t>
            </w:r>
            <w:r>
              <w:t>transfer to VicTrack</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2(b)</w:t>
            </w:r>
          </w:p>
        </w:tc>
        <w:tc>
          <w:tcPr>
            <w:tcW w:w="774" w:type="pct"/>
            <w:tcBorders>
              <w:bottom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(2</w:t>
            </w:r>
            <w:r w:rsidRPr="00ED7062">
              <w:t>4</w:t>
            </w:r>
            <w:r>
              <w:t>1</w:t>
            </w:r>
            <w:r w:rsidRPr="00ED7062">
              <w:t>,1</w:t>
            </w:r>
            <w:r>
              <w:t>93)</w:t>
            </w:r>
            <w:r w:rsidRPr="00ED7062">
              <w:t xml:space="preserve"> </w:t>
            </w:r>
          </w:p>
        </w:tc>
        <w:tc>
          <w:tcPr>
            <w:tcW w:w="722" w:type="pct"/>
            <w:tcBorders>
              <w:bottom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560" w:type="pct"/>
            <w:tcBorders>
              <w:bottom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(2</w:t>
            </w:r>
            <w:r w:rsidRPr="00ED7062">
              <w:t>4</w:t>
            </w:r>
            <w:r>
              <w:t>1</w:t>
            </w:r>
            <w:r w:rsidRPr="00ED7062">
              <w:t>,1</w:t>
            </w:r>
            <w:r>
              <w:t>93)</w:t>
            </w:r>
            <w:r w:rsidRPr="00ED7062">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Balance at 30 June 201</w:t>
            </w:r>
            <w:r>
              <w:rPr>
                <w:b/>
              </w:rPr>
              <w:t>2</w:t>
            </w:r>
          </w:p>
        </w:tc>
        <w:tc>
          <w:tcPr>
            <w:tcW w:w="513"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774"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3</w:t>
            </w:r>
            <w:r>
              <w:rPr>
                <w:b/>
              </w:rPr>
              <w:t>83</w:t>
            </w:r>
            <w:r w:rsidRPr="00A074A3">
              <w:rPr>
                <w:b/>
              </w:rPr>
              <w:t>,</w:t>
            </w:r>
            <w:r>
              <w:rPr>
                <w:b/>
              </w:rPr>
              <w:t>600</w:t>
            </w:r>
            <w:r w:rsidRPr="00A074A3">
              <w:rPr>
                <w:b/>
              </w:rPr>
              <w:t xml:space="preserve"> </w:t>
            </w:r>
          </w:p>
        </w:tc>
        <w:tc>
          <w:tcPr>
            <w:tcW w:w="722"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115</w:t>
            </w:r>
            <w:r w:rsidRPr="00A074A3">
              <w:rPr>
                <w:b/>
              </w:rPr>
              <w:t>,</w:t>
            </w:r>
            <w:r>
              <w:rPr>
                <w:b/>
              </w:rPr>
              <w:t>324</w:t>
            </w:r>
            <w:r w:rsidRPr="00A074A3">
              <w:rPr>
                <w:b/>
              </w:rPr>
              <w:t xml:space="preserve"> </w:t>
            </w:r>
          </w:p>
        </w:tc>
        <w:tc>
          <w:tcPr>
            <w:tcW w:w="560"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498</w:t>
            </w:r>
            <w:r w:rsidRPr="00A074A3">
              <w:rPr>
                <w:b/>
              </w:rPr>
              <w:t>,</w:t>
            </w:r>
            <w:r>
              <w:rPr>
                <w:b/>
              </w:rPr>
              <w:t>924</w:t>
            </w:r>
            <w:r w:rsidRPr="00A074A3">
              <w:rPr>
                <w:b/>
              </w:rPr>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7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2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560"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A33CEE" w:rsidRDefault="008A185A" w:rsidP="008A185A">
            <w:pPr>
              <w:pStyle w:val="Tablecopy"/>
              <w:rPr>
                <w:b/>
              </w:rPr>
            </w:pPr>
            <w:r w:rsidRPr="00A33CEE">
              <w:rPr>
                <w:b/>
              </w:rPr>
              <w:t>Parent</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7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2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560"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 xml:space="preserve">Net result for the </w:t>
            </w:r>
            <w:r>
              <w:t>period</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7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72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115</w:t>
            </w:r>
            <w:r w:rsidRPr="00ED7062">
              <w:t>,</w:t>
            </w:r>
            <w:r>
              <w:t>324</w:t>
            </w:r>
            <w:r w:rsidRPr="00ED7062">
              <w:t xml:space="preserve"> </w:t>
            </w:r>
          </w:p>
        </w:tc>
        <w:tc>
          <w:tcPr>
            <w:tcW w:w="560"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115</w:t>
            </w:r>
            <w:r w:rsidRPr="00ED7062">
              <w:t>,</w:t>
            </w:r>
            <w:r>
              <w:t>324</w:t>
            </w:r>
            <w:r w:rsidRPr="00ED7062">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t>Administrative restructure – net assets received from DTPLI</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2(</w:t>
            </w:r>
            <w:r>
              <w:t>c)</w:t>
            </w:r>
          </w:p>
        </w:tc>
        <w:tc>
          <w:tcPr>
            <w:tcW w:w="77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 xml:space="preserve"> 398,888</w:t>
            </w:r>
            <w:r w:rsidRPr="00ED7062">
              <w:t xml:space="preserve"> </w:t>
            </w:r>
          </w:p>
        </w:tc>
        <w:tc>
          <w:tcPr>
            <w:tcW w:w="72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560"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398,888</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 xml:space="preserve">Capital contributions </w:t>
            </w:r>
            <w:r>
              <w:t>funding from DTPLI during the period</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74"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225</w:t>
            </w:r>
            <w:r w:rsidRPr="00ED7062">
              <w:t>,</w:t>
            </w:r>
            <w:r>
              <w:t>905</w:t>
            </w:r>
          </w:p>
        </w:tc>
        <w:tc>
          <w:tcPr>
            <w:tcW w:w="722"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560"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225</w:t>
            </w:r>
            <w:r w:rsidRPr="00ED7062">
              <w:t>,</w:t>
            </w:r>
            <w:r>
              <w:t>905</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 xml:space="preserve">Capital </w:t>
            </w:r>
            <w:r>
              <w:t>transfer to VicTrack</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2(b)</w:t>
            </w:r>
          </w:p>
        </w:tc>
        <w:tc>
          <w:tcPr>
            <w:tcW w:w="774" w:type="pct"/>
            <w:tcBorders>
              <w:bottom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(2</w:t>
            </w:r>
            <w:r w:rsidRPr="00ED7062">
              <w:t>4</w:t>
            </w:r>
            <w:r>
              <w:t>1</w:t>
            </w:r>
            <w:r w:rsidRPr="00ED7062">
              <w:t>,1</w:t>
            </w:r>
            <w:r>
              <w:t>93)</w:t>
            </w:r>
            <w:r w:rsidRPr="00ED7062">
              <w:t xml:space="preserve"> </w:t>
            </w:r>
          </w:p>
        </w:tc>
        <w:tc>
          <w:tcPr>
            <w:tcW w:w="722" w:type="pct"/>
            <w:tcBorders>
              <w:bottom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560" w:type="pct"/>
            <w:tcBorders>
              <w:bottom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(2</w:t>
            </w:r>
            <w:r w:rsidRPr="00ED7062">
              <w:t>4</w:t>
            </w:r>
            <w:r>
              <w:t>1</w:t>
            </w:r>
            <w:r w:rsidRPr="00ED7062">
              <w:t>,1</w:t>
            </w:r>
            <w:r>
              <w:t>93)</w:t>
            </w:r>
            <w:r w:rsidRPr="00ED7062">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Balance at 30 June 201</w:t>
            </w:r>
            <w:r>
              <w:rPr>
                <w:b/>
              </w:rPr>
              <w:t>2</w:t>
            </w:r>
          </w:p>
        </w:tc>
        <w:tc>
          <w:tcPr>
            <w:tcW w:w="513"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774" w:type="pct"/>
            <w:shd w:val="pct10"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3</w:t>
            </w:r>
            <w:r>
              <w:rPr>
                <w:b/>
              </w:rPr>
              <w:t>83</w:t>
            </w:r>
            <w:r w:rsidRPr="00A074A3">
              <w:rPr>
                <w:b/>
              </w:rPr>
              <w:t>,</w:t>
            </w:r>
            <w:r>
              <w:rPr>
                <w:b/>
              </w:rPr>
              <w:t>600</w:t>
            </w:r>
            <w:r w:rsidRPr="00A074A3">
              <w:rPr>
                <w:b/>
              </w:rPr>
              <w:t xml:space="preserve"> </w:t>
            </w:r>
          </w:p>
        </w:tc>
        <w:tc>
          <w:tcPr>
            <w:tcW w:w="722" w:type="pct"/>
            <w:shd w:val="pct10"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115</w:t>
            </w:r>
            <w:r w:rsidRPr="00A074A3">
              <w:rPr>
                <w:b/>
              </w:rPr>
              <w:t>,</w:t>
            </w:r>
            <w:r>
              <w:rPr>
                <w:b/>
              </w:rPr>
              <w:t>324</w:t>
            </w:r>
            <w:r w:rsidRPr="00A074A3">
              <w:rPr>
                <w:b/>
              </w:rPr>
              <w:t xml:space="preserve"> </w:t>
            </w:r>
          </w:p>
        </w:tc>
        <w:tc>
          <w:tcPr>
            <w:tcW w:w="560" w:type="pct"/>
            <w:shd w:val="pct10"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498</w:t>
            </w:r>
            <w:r w:rsidRPr="00A074A3">
              <w:rPr>
                <w:b/>
              </w:rPr>
              <w:t>,</w:t>
            </w:r>
            <w:r>
              <w:rPr>
                <w:b/>
              </w:rPr>
              <w:t>924</w:t>
            </w:r>
            <w:r w:rsidRPr="00A074A3">
              <w:rPr>
                <w:b/>
              </w:rPr>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Net result for the year</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74"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722"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1</w:t>
            </w:r>
            <w:r w:rsidRPr="00ED7062">
              <w:t>,</w:t>
            </w:r>
            <w:r>
              <w:t>018</w:t>
            </w:r>
            <w:r w:rsidRPr="00ED7062">
              <w:t>)</w:t>
            </w:r>
          </w:p>
        </w:tc>
        <w:tc>
          <w:tcPr>
            <w:tcW w:w="560"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w:t>
            </w:r>
            <w:r>
              <w:t>1</w:t>
            </w:r>
            <w:r w:rsidRPr="00ED7062">
              <w:t>,</w:t>
            </w:r>
            <w:r>
              <w:t>018</w:t>
            </w:r>
            <w:r w:rsidRPr="00ED7062">
              <w:t>)</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t>Administrative restructure – net assets received</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2(</w:t>
            </w:r>
            <w:r>
              <w:t>a</w:t>
            </w:r>
            <w:r w:rsidRPr="00ED7062">
              <w:t>)</w:t>
            </w:r>
            <w:r>
              <w:t>(i)</w:t>
            </w:r>
          </w:p>
        </w:tc>
        <w:tc>
          <w:tcPr>
            <w:tcW w:w="774"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t xml:space="preserve"> 86,542</w:t>
            </w:r>
            <w:r w:rsidRPr="00ED7062">
              <w:t xml:space="preserve"> </w:t>
            </w:r>
          </w:p>
        </w:tc>
        <w:tc>
          <w:tcPr>
            <w:tcW w:w="722"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560"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86</w:t>
            </w:r>
            <w:r w:rsidRPr="00ED7062">
              <w:t>,</w:t>
            </w:r>
            <w:r>
              <w:t>542</w:t>
            </w:r>
            <w:r w:rsidRPr="00ED7062">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t>Administrative restructure – residual net assets received from Transport Ticketing Authority</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t>2(a)(ii)</w:t>
            </w:r>
          </w:p>
        </w:tc>
        <w:tc>
          <w:tcPr>
            <w:tcW w:w="774" w:type="pct"/>
            <w:shd w:val="pct10" w:color="auto" w:fill="auto"/>
            <w:tcMar>
              <w:top w:w="0" w:type="dxa"/>
              <w:left w:w="113" w:type="dxa"/>
              <w:bottom w:w="0" w:type="dxa"/>
              <w:right w:w="113" w:type="dxa"/>
            </w:tcMar>
            <w:vAlign w:val="center"/>
          </w:tcPr>
          <w:p w:rsidR="008A185A" w:rsidRDefault="008A185A" w:rsidP="008A185A">
            <w:pPr>
              <w:pStyle w:val="Tablecopy"/>
              <w:jc w:val="right"/>
            </w:pPr>
            <w:r>
              <w:t>422</w:t>
            </w:r>
          </w:p>
        </w:tc>
        <w:tc>
          <w:tcPr>
            <w:tcW w:w="722"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t>-</w:t>
            </w:r>
          </w:p>
        </w:tc>
        <w:tc>
          <w:tcPr>
            <w:tcW w:w="560" w:type="pct"/>
            <w:shd w:val="pct10" w:color="auto" w:fill="auto"/>
            <w:tcMar>
              <w:top w:w="0" w:type="dxa"/>
              <w:left w:w="113" w:type="dxa"/>
              <w:bottom w:w="0" w:type="dxa"/>
              <w:right w:w="113" w:type="dxa"/>
            </w:tcMar>
            <w:vAlign w:val="center"/>
          </w:tcPr>
          <w:p w:rsidR="008A185A" w:rsidRDefault="008A185A" w:rsidP="008A185A">
            <w:pPr>
              <w:pStyle w:val="Tablecopy"/>
              <w:jc w:val="right"/>
            </w:pPr>
            <w:r>
              <w:t>422</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 xml:space="preserve">Capital contributions </w:t>
            </w:r>
            <w:r>
              <w:t>funding from DTPLI during the year</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p>
        </w:tc>
        <w:tc>
          <w:tcPr>
            <w:tcW w:w="774"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t xml:space="preserve">566,806 </w:t>
            </w:r>
          </w:p>
        </w:tc>
        <w:tc>
          <w:tcPr>
            <w:tcW w:w="722"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 </w:t>
            </w:r>
          </w:p>
        </w:tc>
        <w:tc>
          <w:tcPr>
            <w:tcW w:w="560"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t>566,806</w:t>
            </w:r>
            <w:r w:rsidRPr="00ED7062">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ED7062" w:rsidRDefault="008A185A" w:rsidP="008A185A">
            <w:pPr>
              <w:pStyle w:val="Tablecopy"/>
            </w:pPr>
            <w:r w:rsidRPr="00ED7062">
              <w:t xml:space="preserve">Capital </w:t>
            </w:r>
            <w:r>
              <w:t>transfer to VicTrack</w:t>
            </w:r>
          </w:p>
        </w:tc>
        <w:tc>
          <w:tcPr>
            <w:tcW w:w="513" w:type="pct"/>
            <w:shd w:val="clear"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2(</w:t>
            </w:r>
            <w:r>
              <w:t>b</w:t>
            </w:r>
            <w:r w:rsidRPr="00ED7062">
              <w:t>)</w:t>
            </w:r>
          </w:p>
        </w:tc>
        <w:tc>
          <w:tcPr>
            <w:tcW w:w="774"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t xml:space="preserve"> (523,195)</w:t>
            </w:r>
            <w:r w:rsidRPr="00ED7062">
              <w:t xml:space="preserve"> </w:t>
            </w:r>
          </w:p>
        </w:tc>
        <w:tc>
          <w:tcPr>
            <w:tcW w:w="722"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rsidRPr="00ED7062">
              <w:t xml:space="preserve"> </w:t>
            </w:r>
            <w:r>
              <w:t>-</w:t>
            </w:r>
            <w:r w:rsidRPr="00ED7062">
              <w:t xml:space="preserve"> </w:t>
            </w:r>
          </w:p>
        </w:tc>
        <w:tc>
          <w:tcPr>
            <w:tcW w:w="560" w:type="pct"/>
            <w:shd w:val="pct10" w:color="auto" w:fill="auto"/>
            <w:tcMar>
              <w:top w:w="0" w:type="dxa"/>
              <w:left w:w="113" w:type="dxa"/>
              <w:bottom w:w="0" w:type="dxa"/>
              <w:right w:w="113" w:type="dxa"/>
            </w:tcMar>
            <w:vAlign w:val="center"/>
          </w:tcPr>
          <w:p w:rsidR="008A185A" w:rsidRPr="00ED7062" w:rsidRDefault="008A185A" w:rsidP="008A185A">
            <w:pPr>
              <w:pStyle w:val="Tablecopy"/>
              <w:jc w:val="right"/>
            </w:pPr>
            <w:r>
              <w:t xml:space="preserve"> (523</w:t>
            </w:r>
            <w:r w:rsidRPr="00ED7062">
              <w:t>,</w:t>
            </w:r>
            <w:r>
              <w:t>195)</w:t>
            </w:r>
            <w:r w:rsidRPr="00ED7062">
              <w:t xml:space="preserve"> </w:t>
            </w:r>
          </w:p>
        </w:tc>
      </w:tr>
      <w:tr w:rsidR="008A185A" w:rsidRPr="00ED7062" w:rsidTr="008A185A">
        <w:tc>
          <w:tcPr>
            <w:tcW w:w="2431" w:type="pct"/>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A074A3">
              <w:rPr>
                <w:b/>
              </w:rPr>
              <w:t>Balance at 30 June 201</w:t>
            </w:r>
            <w:r>
              <w:rPr>
                <w:b/>
              </w:rPr>
              <w:t>3</w:t>
            </w:r>
          </w:p>
        </w:tc>
        <w:tc>
          <w:tcPr>
            <w:tcW w:w="513" w:type="pct"/>
            <w:shd w:val="clear" w:color="auto" w:fill="auto"/>
            <w:tcMar>
              <w:top w:w="0" w:type="dxa"/>
              <w:left w:w="113" w:type="dxa"/>
              <w:bottom w:w="0" w:type="dxa"/>
              <w:right w:w="113" w:type="dxa"/>
            </w:tcMar>
            <w:vAlign w:val="center"/>
          </w:tcPr>
          <w:p w:rsidR="008A185A" w:rsidRPr="00A074A3" w:rsidRDefault="008A185A" w:rsidP="008A185A">
            <w:pPr>
              <w:pStyle w:val="Tablecopy"/>
              <w:jc w:val="right"/>
              <w:rPr>
                <w:b/>
              </w:rPr>
            </w:pPr>
          </w:p>
        </w:tc>
        <w:tc>
          <w:tcPr>
            <w:tcW w:w="774" w:type="pct"/>
            <w:shd w:val="pct10"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514</w:t>
            </w:r>
            <w:r w:rsidRPr="00A074A3">
              <w:rPr>
                <w:b/>
              </w:rPr>
              <w:t>,</w:t>
            </w:r>
            <w:r>
              <w:rPr>
                <w:b/>
              </w:rPr>
              <w:t>175</w:t>
            </w:r>
            <w:r w:rsidRPr="00A074A3">
              <w:rPr>
                <w:b/>
              </w:rPr>
              <w:t xml:space="preserve"> </w:t>
            </w:r>
          </w:p>
        </w:tc>
        <w:tc>
          <w:tcPr>
            <w:tcW w:w="722" w:type="pct"/>
            <w:shd w:val="pct10" w:color="auto" w:fill="auto"/>
            <w:tcMar>
              <w:top w:w="0" w:type="dxa"/>
              <w:left w:w="113" w:type="dxa"/>
              <w:bottom w:w="0" w:type="dxa"/>
              <w:right w:w="113" w:type="dxa"/>
            </w:tcMar>
            <w:vAlign w:val="center"/>
          </w:tcPr>
          <w:p w:rsidR="008A185A" w:rsidRPr="00A074A3" w:rsidRDefault="008A185A" w:rsidP="008A185A">
            <w:pPr>
              <w:pStyle w:val="Tablecopy"/>
              <w:jc w:val="right"/>
              <w:rPr>
                <w:b/>
              </w:rPr>
            </w:pPr>
            <w:r>
              <w:rPr>
                <w:b/>
              </w:rPr>
              <w:t>114,306</w:t>
            </w:r>
            <w:r w:rsidRPr="00A074A3">
              <w:rPr>
                <w:b/>
              </w:rPr>
              <w:t xml:space="preserve"> </w:t>
            </w:r>
          </w:p>
        </w:tc>
        <w:tc>
          <w:tcPr>
            <w:tcW w:w="560" w:type="pct"/>
            <w:shd w:val="pct10" w:color="auto" w:fill="auto"/>
            <w:tcMar>
              <w:top w:w="0" w:type="dxa"/>
              <w:left w:w="113" w:type="dxa"/>
              <w:bottom w:w="0" w:type="dxa"/>
              <w:right w:w="113" w:type="dxa"/>
            </w:tcMar>
            <w:vAlign w:val="center"/>
          </w:tcPr>
          <w:p w:rsidR="008A185A" w:rsidRPr="00A074A3" w:rsidRDefault="008A185A" w:rsidP="008A185A">
            <w:pPr>
              <w:pStyle w:val="Tablecopy"/>
              <w:jc w:val="right"/>
              <w:rPr>
                <w:b/>
              </w:rPr>
            </w:pPr>
            <w:r w:rsidRPr="00A074A3">
              <w:rPr>
                <w:b/>
              </w:rPr>
              <w:t xml:space="preserve"> </w:t>
            </w:r>
            <w:r>
              <w:rPr>
                <w:b/>
              </w:rPr>
              <w:t>628</w:t>
            </w:r>
            <w:r w:rsidRPr="00A074A3">
              <w:rPr>
                <w:b/>
              </w:rPr>
              <w:t>,</w:t>
            </w:r>
            <w:r>
              <w:rPr>
                <w:b/>
              </w:rPr>
              <w:t>481</w:t>
            </w:r>
            <w:r w:rsidRPr="00A074A3">
              <w:rPr>
                <w:b/>
              </w:rPr>
              <w:t xml:space="preserve"> </w:t>
            </w:r>
          </w:p>
        </w:tc>
      </w:tr>
      <w:tr w:rsidR="008A185A" w:rsidRPr="00ED7062" w:rsidTr="008A185A">
        <w:trPr>
          <w:trHeight w:val="220"/>
        </w:trPr>
        <w:tc>
          <w:tcPr>
            <w:tcW w:w="5000" w:type="pct"/>
            <w:gridSpan w:val="5"/>
            <w:shd w:val="clear" w:color="auto" w:fill="auto"/>
            <w:tcMar>
              <w:top w:w="0" w:type="dxa"/>
              <w:left w:w="113" w:type="dxa"/>
              <w:bottom w:w="0" w:type="dxa"/>
              <w:right w:w="113" w:type="dxa"/>
            </w:tcMar>
            <w:vAlign w:val="center"/>
          </w:tcPr>
          <w:p w:rsidR="008A185A" w:rsidRPr="00A074A3" w:rsidRDefault="008A185A" w:rsidP="008A185A">
            <w:pPr>
              <w:pStyle w:val="Tablecopy"/>
              <w:rPr>
                <w:b/>
              </w:rPr>
            </w:pPr>
            <w:r w:rsidRPr="00ED7062">
              <w:t xml:space="preserve">The </w:t>
            </w:r>
            <w:r>
              <w:t>statement of changes in equity</w:t>
            </w:r>
            <w:r w:rsidRPr="00ED7062">
              <w:t xml:space="preserve"> should be read in conjunction with the accompanying notes</w:t>
            </w:r>
            <w:r>
              <w:t>.</w:t>
            </w:r>
          </w:p>
        </w:tc>
      </w:tr>
    </w:tbl>
    <w:p w:rsidR="008A185A" w:rsidRPr="00FB72FA" w:rsidRDefault="008A185A" w:rsidP="008A185A"/>
    <w:p w:rsidR="008A185A" w:rsidRDefault="008A185A" w:rsidP="00AE259B">
      <w:pPr>
        <w:pStyle w:val="Heading10"/>
        <w:outlineLvl w:val="0"/>
      </w:pPr>
      <w:bookmarkStart w:id="81" w:name="_Cash_flow_statement"/>
      <w:bookmarkEnd w:id="81"/>
      <w:r>
        <w:br w:type="page"/>
      </w:r>
      <w:bookmarkStart w:id="82" w:name="_Toc366663341"/>
      <w:bookmarkStart w:id="83" w:name="_Toc337471031"/>
      <w:bookmarkStart w:id="84" w:name="_Toc337537797"/>
      <w:bookmarkStart w:id="85" w:name="_Toc337539723"/>
      <w:bookmarkStart w:id="86" w:name="_Toc337707140"/>
      <w:bookmarkStart w:id="87" w:name="_Toc337711248"/>
      <w:bookmarkStart w:id="88" w:name="_Toc366671913"/>
      <w:bookmarkStart w:id="89" w:name="_Toc366672090"/>
      <w:r w:rsidRPr="00FB72FA">
        <w:t>Cash flow statement</w:t>
      </w:r>
      <w:bookmarkEnd w:id="82"/>
      <w:r w:rsidRPr="00FB72FA">
        <w:t xml:space="preserve"> </w:t>
      </w:r>
      <w:bookmarkStart w:id="90" w:name="_Toc366663342"/>
      <w:r w:rsidRPr="00FB72FA">
        <w:t>for the financial year ended 30 June 201</w:t>
      </w:r>
      <w:r>
        <w:t>3</w:t>
      </w:r>
      <w:bookmarkEnd w:id="83"/>
      <w:bookmarkEnd w:id="84"/>
      <w:bookmarkEnd w:id="85"/>
      <w:bookmarkEnd w:id="86"/>
      <w:bookmarkEnd w:id="87"/>
      <w:bookmarkEnd w:id="88"/>
      <w:bookmarkEnd w:id="89"/>
      <w:bookmarkEnd w:id="90"/>
    </w:p>
    <w:p w:rsidR="00AE259B" w:rsidRPr="00FB72FA" w:rsidRDefault="00AE259B" w:rsidP="00AE259B">
      <w:pPr>
        <w:pStyle w:val="Heading10"/>
      </w:pPr>
    </w:p>
    <w:tbl>
      <w:tblPr>
        <w:tblW w:w="9356" w:type="dxa"/>
        <w:tblInd w:w="113" w:type="dxa"/>
        <w:tblLayout w:type="fixed"/>
        <w:tblCellMar>
          <w:left w:w="0" w:type="dxa"/>
          <w:right w:w="0" w:type="dxa"/>
        </w:tblCellMar>
        <w:tblLook w:val="0000" w:firstRow="0" w:lastRow="0" w:firstColumn="0" w:lastColumn="0" w:noHBand="0" w:noVBand="0"/>
      </w:tblPr>
      <w:tblGrid>
        <w:gridCol w:w="5103"/>
        <w:gridCol w:w="851"/>
        <w:gridCol w:w="1134"/>
        <w:gridCol w:w="1134"/>
        <w:gridCol w:w="1134"/>
      </w:tblGrid>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r w:rsidRPr="00ED7062">
              <w:t>Note</w:t>
            </w:r>
          </w:p>
        </w:tc>
        <w:tc>
          <w:tcPr>
            <w:tcW w:w="1134" w:type="dxa"/>
            <w:tcBorders>
              <w:top w:val="single" w:sz="6" w:space="0" w:color="auto"/>
              <w:left w:val="single" w:sz="6" w:space="0" w:color="auto"/>
              <w:bottom w:val="single" w:sz="6" w:space="0" w:color="auto"/>
              <w:right w:val="single" w:sz="6" w:space="0" w:color="auto"/>
            </w:tcBorders>
            <w:vAlign w:val="bottom"/>
          </w:tcPr>
          <w:p w:rsidR="008A185A" w:rsidRPr="00ED7062" w:rsidRDefault="008A185A" w:rsidP="008A185A">
            <w:pPr>
              <w:pStyle w:val="TableHeading"/>
              <w:spacing w:before="0" w:after="0" w:line="240" w:lineRule="auto"/>
              <w:ind w:right="142"/>
            </w:pPr>
            <w:r>
              <w:t>2013</w:t>
            </w:r>
          </w:p>
          <w:p w:rsidR="008A185A" w:rsidRPr="00ED7062" w:rsidRDefault="008A185A" w:rsidP="008A185A">
            <w:pPr>
              <w:pStyle w:val="TableHeading"/>
              <w:spacing w:before="0" w:after="0" w:line="240" w:lineRule="auto"/>
              <w:ind w:right="142"/>
            </w:pPr>
            <w:r w:rsidRPr="00ED7062">
              <w:t>$’000</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ED7062" w:rsidRDefault="008A185A" w:rsidP="008A185A">
            <w:pPr>
              <w:pStyle w:val="TableHeading"/>
              <w:spacing w:before="0" w:after="0" w:line="240" w:lineRule="auto"/>
            </w:pPr>
            <w:r>
              <w:t>Consolidated15.12.</w:t>
            </w:r>
            <w:r w:rsidRPr="00ED7062">
              <w:t>201</w:t>
            </w:r>
            <w:r>
              <w:t>1</w:t>
            </w:r>
          </w:p>
          <w:p w:rsidR="008A185A" w:rsidRPr="00ED7062" w:rsidRDefault="008A185A" w:rsidP="008A185A">
            <w:pPr>
              <w:pStyle w:val="TableHeading"/>
              <w:spacing w:before="0" w:after="0" w:line="240" w:lineRule="auto"/>
            </w:pPr>
            <w:r>
              <w:t>to 30.6.2012</w:t>
            </w:r>
          </w:p>
          <w:p w:rsidR="008A185A" w:rsidRPr="00ED7062" w:rsidRDefault="008A185A" w:rsidP="008A185A">
            <w:pPr>
              <w:pStyle w:val="TableHeading"/>
              <w:spacing w:before="0" w:after="0" w:line="240" w:lineRule="auto"/>
            </w:pPr>
            <w:r w:rsidRPr="00ED7062">
              <w:t>$’000</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Default="008A185A" w:rsidP="008A185A">
            <w:pPr>
              <w:pStyle w:val="TableHeading"/>
              <w:spacing w:before="0" w:after="0" w:line="240" w:lineRule="auto"/>
            </w:pPr>
            <w:r>
              <w:t>Parent</w:t>
            </w:r>
          </w:p>
          <w:p w:rsidR="008A185A" w:rsidRPr="00ED7062" w:rsidRDefault="008A185A" w:rsidP="008A185A">
            <w:pPr>
              <w:pStyle w:val="TableHeading"/>
              <w:spacing w:before="0" w:after="0" w:line="240" w:lineRule="auto"/>
            </w:pPr>
            <w:r>
              <w:t>15.12.</w:t>
            </w:r>
            <w:r w:rsidRPr="00ED7062">
              <w:t>2011</w:t>
            </w:r>
          </w:p>
          <w:p w:rsidR="008A185A" w:rsidRPr="00ED7062" w:rsidRDefault="008A185A" w:rsidP="008A185A">
            <w:pPr>
              <w:pStyle w:val="TableHeading"/>
              <w:spacing w:before="0" w:after="0" w:line="240" w:lineRule="auto"/>
            </w:pPr>
            <w:r>
              <w:t>to 30.6.2012</w:t>
            </w:r>
          </w:p>
          <w:p w:rsidR="008A185A" w:rsidRPr="00ED7062" w:rsidRDefault="008A185A" w:rsidP="008A185A">
            <w:pPr>
              <w:pStyle w:val="TableHeading"/>
              <w:spacing w:before="0" w:after="0" w:line="240" w:lineRule="auto"/>
            </w:pPr>
            <w:r w:rsidRPr="00ED7062">
              <w:t>$’000</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rPr>
                <w:b/>
              </w:rPr>
            </w:pPr>
            <w:r w:rsidRPr="00844503">
              <w:rPr>
                <w:b/>
              </w:rPr>
              <w:t>Cash flows from operating activities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jc w:val="right"/>
              <w:rPr>
                <w:b/>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rPr>
                <w:b/>
              </w:rPr>
            </w:pPr>
            <w:r w:rsidRPr="00844503">
              <w:rPr>
                <w:b/>
              </w:rPr>
              <w:t>Receipts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jc w:val="right"/>
              <w:rPr>
                <w:b/>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ED7062" w:rsidRDefault="008A185A" w:rsidP="008A185A">
            <w:pPr>
              <w:pStyle w:val="Tablecopy"/>
              <w:spacing w:line="240" w:lineRule="auto"/>
              <w:jc w:val="right"/>
            </w:pP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 xml:space="preserve">Receipts from </w:t>
            </w:r>
            <w:r>
              <w:t>DTPLI</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4,094,364</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861</w:t>
            </w:r>
            <w:r w:rsidRPr="00ED7062">
              <w:t>,</w:t>
            </w:r>
            <w:r>
              <w:t>031</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861</w:t>
            </w:r>
            <w:r w:rsidRPr="00ED7062">
              <w:t>,</w:t>
            </w:r>
            <w:r>
              <w:t>031</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t>Farebox revenue (received for passing onto DTPLI)</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603,867</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 xml:space="preserve"> 150</w:t>
            </w:r>
            <w:r w:rsidRPr="00ED7062">
              <w:t>,</w:t>
            </w:r>
            <w:r>
              <w:t>463</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 xml:space="preserve"> 150</w:t>
            </w:r>
            <w:r w:rsidRPr="00ED7062">
              <w:t>,</w:t>
            </w:r>
            <w:r>
              <w:t>463</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Goods and Services Tax recovered from the ATO</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257,360</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54</w:t>
            </w:r>
            <w:r w:rsidRPr="00ED7062">
              <w:t>,</w:t>
            </w:r>
            <w:r>
              <w:t>632</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54</w:t>
            </w:r>
            <w:r w:rsidRPr="00ED7062">
              <w:t>,</w:t>
            </w:r>
            <w:r>
              <w:t>632</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t>Receipts from operators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8,435</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2</w:t>
            </w:r>
            <w:r w:rsidRPr="00ED7062">
              <w:t>,</w:t>
            </w:r>
            <w:r>
              <w:t>056</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2</w:t>
            </w:r>
            <w:r w:rsidRPr="00ED7062">
              <w:t>,</w:t>
            </w:r>
            <w:r>
              <w:t>056</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Interest received</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2,899</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1</w:t>
            </w:r>
            <w:r w:rsidRPr="00ED7062">
              <w:t>,</w:t>
            </w:r>
            <w:r>
              <w:t>186</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1</w:t>
            </w:r>
            <w:r w:rsidRPr="00ED7062">
              <w:t>,</w:t>
            </w:r>
            <w:r>
              <w:t>186</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Other receipts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8,769</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182</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182</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rPr>
                <w:b/>
              </w:rPr>
            </w:pPr>
            <w:r w:rsidRPr="00844503">
              <w:rPr>
                <w:b/>
              </w:rPr>
              <w:t>Total receipts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jc w:val="right"/>
              <w:rPr>
                <w:b/>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844503" w:rsidRDefault="008A185A" w:rsidP="008A185A">
            <w:pPr>
              <w:pStyle w:val="Tablecopy"/>
              <w:spacing w:line="240" w:lineRule="auto"/>
              <w:ind w:right="142"/>
              <w:jc w:val="right"/>
              <w:rPr>
                <w:b/>
              </w:rPr>
            </w:pPr>
            <w:r>
              <w:rPr>
                <w:b/>
              </w:rPr>
              <w:t>4,975,694</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jc w:val="right"/>
              <w:rPr>
                <w:b/>
              </w:rPr>
            </w:pPr>
            <w:r>
              <w:rPr>
                <w:b/>
              </w:rPr>
              <w:t xml:space="preserve"> 1</w:t>
            </w:r>
            <w:r w:rsidRPr="00844503">
              <w:rPr>
                <w:b/>
              </w:rPr>
              <w:t>,</w:t>
            </w:r>
            <w:r>
              <w:rPr>
                <w:b/>
              </w:rPr>
              <w:t>069</w:t>
            </w:r>
            <w:r w:rsidRPr="00844503">
              <w:rPr>
                <w:b/>
              </w:rPr>
              <w:t>,</w:t>
            </w:r>
            <w:r>
              <w:rPr>
                <w:b/>
              </w:rPr>
              <w:t>550</w:t>
            </w:r>
            <w:r w:rsidRPr="00844503">
              <w:rPr>
                <w:b/>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jc w:val="right"/>
              <w:rPr>
                <w:b/>
              </w:rPr>
            </w:pPr>
            <w:r>
              <w:rPr>
                <w:b/>
              </w:rPr>
              <w:t xml:space="preserve"> 1</w:t>
            </w:r>
            <w:r w:rsidRPr="00844503">
              <w:rPr>
                <w:b/>
              </w:rPr>
              <w:t>,</w:t>
            </w:r>
            <w:r>
              <w:rPr>
                <w:b/>
              </w:rPr>
              <w:t>069</w:t>
            </w:r>
            <w:r w:rsidRPr="00844503">
              <w:rPr>
                <w:b/>
              </w:rPr>
              <w:t>,</w:t>
            </w:r>
            <w:r>
              <w:rPr>
                <w:b/>
              </w:rPr>
              <w:t>550</w:t>
            </w:r>
            <w:r w:rsidRPr="00844503">
              <w:rPr>
                <w:b/>
              </w:rPr>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rPr>
                <w:b/>
              </w:rPr>
            </w:pPr>
            <w:r w:rsidRPr="00844503">
              <w:rPr>
                <w:b/>
              </w:rPr>
              <w:t>Payments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jc w:val="right"/>
              <w:rPr>
                <w:b/>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844503" w:rsidRDefault="008A185A" w:rsidP="008A185A">
            <w:pPr>
              <w:pStyle w:val="Tablecopy"/>
              <w:spacing w:line="240" w:lineRule="auto"/>
              <w:ind w:right="142"/>
              <w:jc w:val="right"/>
              <w:rPr>
                <w:b/>
              </w:rPr>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jc w:val="right"/>
              <w:rPr>
                <w:b/>
              </w:rPr>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jc w:val="right"/>
              <w:rPr>
                <w:b/>
              </w:rPr>
            </w:pP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Payments to service providers and transport agencies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(2,793,766)</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(8</w:t>
            </w:r>
            <w:r>
              <w:t>61</w:t>
            </w:r>
            <w:r w:rsidRPr="00ED7062">
              <w:t>,5</w:t>
            </w:r>
            <w:r>
              <w:t>02</w:t>
            </w:r>
            <w:r w:rsidRPr="00ED7062">
              <w: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(8</w:t>
            </w:r>
            <w:r>
              <w:t>61</w:t>
            </w:r>
            <w:r w:rsidRPr="00ED7062">
              <w:t>,5</w:t>
            </w:r>
            <w:r>
              <w:t>02</w:t>
            </w:r>
            <w:r w:rsidRPr="00ED7062">
              <w:t>)</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t>Farebox revenue (remitted to DTPLI)</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(600,308)</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(150,463)</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(150,463)</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Payments to suppliers and employees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(37,591)</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(3</w:t>
            </w:r>
            <w:r>
              <w:t>0</w:t>
            </w:r>
            <w:r w:rsidRPr="00ED7062">
              <w:t>,</w:t>
            </w:r>
            <w:r>
              <w:t>709</w:t>
            </w:r>
            <w:r w:rsidRPr="00ED7062">
              <w: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(3</w:t>
            </w:r>
            <w:r>
              <w:t>0</w:t>
            </w:r>
            <w:r w:rsidRPr="00ED7062">
              <w:t>,</w:t>
            </w:r>
            <w:r>
              <w:t>709</w:t>
            </w:r>
            <w:r w:rsidRPr="00ED7062">
              <w:t>)</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 xml:space="preserve">Interest </w:t>
            </w:r>
            <w:r>
              <w:t xml:space="preserve">and other costs of finance </w:t>
            </w:r>
            <w:r w:rsidRPr="00ED7062">
              <w:t>paid</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(31,078)</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w:t>
            </w:r>
            <w:r>
              <w:t>8</w:t>
            </w:r>
            <w:r w:rsidRPr="00ED7062">
              <w:t>,</w:t>
            </w:r>
            <w:r>
              <w:t>120</w:t>
            </w:r>
            <w:r w:rsidRPr="00ED7062">
              <w: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w:t>
            </w:r>
            <w:r>
              <w:t>8</w:t>
            </w:r>
            <w:r w:rsidRPr="00ED7062">
              <w:t>,</w:t>
            </w:r>
            <w:r>
              <w:t>120</w:t>
            </w:r>
            <w:r w:rsidRPr="00ED7062">
              <w:t>)</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Capital asset charge</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(1,428,369)</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w:t>
            </w:r>
            <w:r>
              <w:t>1</w:t>
            </w:r>
            <w:r w:rsidRPr="00ED7062">
              <w:t>,</w:t>
            </w:r>
            <w:r>
              <w:t>788</w:t>
            </w:r>
            <w:r w:rsidRPr="00ED7062">
              <w: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w:t>
            </w:r>
            <w:r>
              <w:t>1</w:t>
            </w:r>
            <w:r w:rsidRPr="00ED7062">
              <w:t>,</w:t>
            </w:r>
            <w:r>
              <w:t>788</w:t>
            </w:r>
            <w:r w:rsidRPr="00ED7062">
              <w:t>)</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295095" w:rsidRDefault="008A185A" w:rsidP="008A185A">
            <w:pPr>
              <w:pStyle w:val="Tablecopy"/>
              <w:spacing w:line="240" w:lineRule="auto"/>
              <w:rPr>
                <w:b/>
              </w:rPr>
            </w:pPr>
            <w:r w:rsidRPr="00295095">
              <w:rPr>
                <w:b/>
              </w:rPr>
              <w:t>Total payments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9C5762" w:rsidRDefault="008A185A" w:rsidP="008A185A">
            <w:pPr>
              <w:pStyle w:val="Tablecopy"/>
              <w:spacing w:line="240" w:lineRule="auto"/>
              <w:ind w:right="142"/>
              <w:jc w:val="right"/>
              <w:rPr>
                <w:b/>
              </w:rPr>
            </w:pPr>
            <w:r>
              <w:rPr>
                <w:b/>
              </w:rPr>
              <w:t>(4,891,112)</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rPr>
                <w:b/>
              </w:rPr>
            </w:pPr>
            <w:r w:rsidRPr="009C5762">
              <w:rPr>
                <w:b/>
              </w:rPr>
              <w:t>(1,052,582)</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rPr>
                <w:b/>
              </w:rPr>
            </w:pPr>
            <w:r w:rsidRPr="009C5762">
              <w:rPr>
                <w:b/>
              </w:rPr>
              <w:t>(1,052,582)</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rPr>
                <w:b/>
              </w:rPr>
            </w:pPr>
            <w:r w:rsidRPr="00844503">
              <w:rPr>
                <w:b/>
              </w:rPr>
              <w:t>Net cash flows from</w:t>
            </w:r>
            <w:r>
              <w:rPr>
                <w:b/>
              </w:rPr>
              <w:t>/(used in)</w:t>
            </w:r>
            <w:r w:rsidRPr="00844503">
              <w:rPr>
                <w:b/>
              </w:rPr>
              <w:t xml:space="preserve"> operating activities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rPr>
                <w:rFonts w:cs="DIN-Bold"/>
                <w:bCs/>
              </w:rPr>
            </w:pPr>
            <w:r w:rsidRPr="009C5762">
              <w:t>1</w:t>
            </w:r>
            <w:r>
              <w:t>7</w:t>
            </w:r>
            <w:r w:rsidRPr="009C5762">
              <w:t>(c)</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844503" w:rsidRDefault="008A185A" w:rsidP="008A185A">
            <w:pPr>
              <w:pStyle w:val="Tablecopy"/>
              <w:spacing w:line="240" w:lineRule="auto"/>
              <w:ind w:right="142"/>
              <w:jc w:val="right"/>
              <w:rPr>
                <w:b/>
              </w:rPr>
            </w:pPr>
            <w:r>
              <w:rPr>
                <w:b/>
              </w:rPr>
              <w:t>84,582</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jc w:val="right"/>
              <w:rPr>
                <w:b/>
              </w:rPr>
            </w:pPr>
            <w:r w:rsidRPr="00844503">
              <w:rPr>
                <w:b/>
              </w:rPr>
              <w:t xml:space="preserve"> 1</w:t>
            </w:r>
            <w:r>
              <w:rPr>
                <w:b/>
              </w:rPr>
              <w:t>6</w:t>
            </w:r>
            <w:r w:rsidRPr="00844503">
              <w:rPr>
                <w:b/>
              </w:rPr>
              <w:t>,</w:t>
            </w:r>
            <w:r>
              <w:rPr>
                <w:b/>
              </w:rPr>
              <w:t>968</w:t>
            </w:r>
            <w:r w:rsidRPr="00844503">
              <w:rPr>
                <w:b/>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jc w:val="right"/>
              <w:rPr>
                <w:b/>
              </w:rPr>
            </w:pPr>
            <w:r w:rsidRPr="00844503">
              <w:rPr>
                <w:b/>
              </w:rPr>
              <w:t xml:space="preserve"> 1</w:t>
            </w:r>
            <w:r>
              <w:rPr>
                <w:b/>
              </w:rPr>
              <w:t>6</w:t>
            </w:r>
            <w:r w:rsidRPr="00844503">
              <w:rPr>
                <w:b/>
              </w:rPr>
              <w:t>,</w:t>
            </w:r>
            <w:r>
              <w:rPr>
                <w:b/>
              </w:rPr>
              <w:t>968</w:t>
            </w:r>
            <w:r w:rsidRPr="00844503">
              <w:rPr>
                <w:b/>
              </w:rPr>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rPr>
                <w:b/>
              </w:rPr>
            </w:pPr>
            <w:r w:rsidRPr="00844503">
              <w:rPr>
                <w:b/>
              </w:rPr>
              <w:t>Cash flows from investing activities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844503" w:rsidRDefault="008A185A" w:rsidP="008A185A">
            <w:pPr>
              <w:pStyle w:val="Tablecopy"/>
              <w:spacing w:line="240" w:lineRule="auto"/>
              <w:ind w:right="142"/>
              <w:jc w:val="right"/>
              <w:rPr>
                <w:b/>
              </w:rPr>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jc w:val="right"/>
              <w:rPr>
                <w:b/>
              </w:rPr>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jc w:val="right"/>
              <w:rPr>
                <w:b/>
              </w:rPr>
            </w:pP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 xml:space="preserve">Payments for </w:t>
            </w:r>
            <w:r>
              <w:t>non-financial assets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(672,564)</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(1</w:t>
            </w:r>
            <w:r>
              <w:t>3</w:t>
            </w:r>
            <w:r w:rsidRPr="00ED7062">
              <w:t>2,</w:t>
            </w:r>
            <w:r>
              <w:t>346</w:t>
            </w:r>
            <w:r w:rsidRPr="00ED7062">
              <w: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(1</w:t>
            </w:r>
            <w:r>
              <w:t>3</w:t>
            </w:r>
            <w:r w:rsidRPr="00ED7062">
              <w:t>2,</w:t>
            </w:r>
            <w:r>
              <w:t>346</w:t>
            </w:r>
            <w:r w:rsidRPr="00ED7062">
              <w:t>)</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t>Proceeds from insurance for train replacement</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10,173</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t>-</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 xml:space="preserve">Proceeds from disposals of </w:t>
            </w:r>
            <w:r>
              <w:t>non-financial assets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357</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 xml:space="preserve">Cash received from </w:t>
            </w:r>
            <w:r>
              <w:t>bank account/</w:t>
            </w:r>
            <w:r w:rsidRPr="00ED7062">
              <w:t>activity transferred in</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ind w:right="142"/>
              <w:jc w:val="right"/>
            </w:pPr>
            <w:r>
              <w:t>405</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1</w:t>
            </w:r>
            <w:r>
              <w:t>4</w:t>
            </w:r>
            <w:r w:rsidRPr="00ED7062">
              <w:t>,</w:t>
            </w:r>
            <w:r>
              <w:t>749</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1</w:t>
            </w:r>
            <w:r>
              <w:t>4</w:t>
            </w:r>
            <w:r w:rsidRPr="00ED7062">
              <w:t>,</w:t>
            </w:r>
            <w:r>
              <w:t>749</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rPr>
                <w:b/>
              </w:rPr>
            </w:pPr>
            <w:r w:rsidRPr="00844503">
              <w:rPr>
                <w:b/>
              </w:rPr>
              <w:t xml:space="preserve">Net cash flows </w:t>
            </w:r>
            <w:r>
              <w:rPr>
                <w:b/>
              </w:rPr>
              <w:t>from/(</w:t>
            </w:r>
            <w:r w:rsidRPr="00844503">
              <w:rPr>
                <w:b/>
              </w:rPr>
              <w:t>used in</w:t>
            </w:r>
            <w:r>
              <w:rPr>
                <w:b/>
              </w:rPr>
              <w:t>)</w:t>
            </w:r>
            <w:r w:rsidRPr="00844503">
              <w:rPr>
                <w:b/>
              </w:rPr>
              <w:t xml:space="preserve"> investing activities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844503" w:rsidRDefault="008A185A" w:rsidP="008A185A">
            <w:pPr>
              <w:pStyle w:val="Tablecopy"/>
              <w:ind w:right="142"/>
              <w:jc w:val="right"/>
              <w:rPr>
                <w:b/>
              </w:rPr>
            </w:pPr>
            <w:r>
              <w:rPr>
                <w:b/>
              </w:rPr>
              <w:t>(661,629)</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jc w:val="right"/>
              <w:rPr>
                <w:b/>
              </w:rPr>
            </w:pPr>
            <w:r w:rsidRPr="00844503">
              <w:rPr>
                <w:b/>
              </w:rPr>
              <w:t>(1</w:t>
            </w:r>
            <w:r>
              <w:rPr>
                <w:b/>
              </w:rPr>
              <w:t>17</w:t>
            </w:r>
            <w:r w:rsidRPr="00844503">
              <w:rPr>
                <w:b/>
              </w:rPr>
              <w:t>,</w:t>
            </w:r>
            <w:r>
              <w:rPr>
                <w:b/>
              </w:rPr>
              <w:t>597</w:t>
            </w:r>
            <w:r w:rsidRPr="00844503">
              <w:rPr>
                <w:b/>
              </w:rPr>
              <w: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844503" w:rsidRDefault="008A185A" w:rsidP="008A185A">
            <w:pPr>
              <w:pStyle w:val="Tablecopy"/>
              <w:spacing w:line="240" w:lineRule="auto"/>
              <w:jc w:val="right"/>
              <w:rPr>
                <w:b/>
              </w:rPr>
            </w:pPr>
            <w:r w:rsidRPr="00844503">
              <w:rPr>
                <w:b/>
              </w:rPr>
              <w:t>(1</w:t>
            </w:r>
            <w:r>
              <w:rPr>
                <w:b/>
              </w:rPr>
              <w:t>17</w:t>
            </w:r>
            <w:r w:rsidRPr="00844503">
              <w:rPr>
                <w:b/>
              </w:rPr>
              <w:t>,</w:t>
            </w:r>
            <w:r>
              <w:rPr>
                <w:b/>
              </w:rPr>
              <w:t>597</w:t>
            </w:r>
            <w:r w:rsidRPr="00844503">
              <w:rPr>
                <w:b/>
              </w:rPr>
              <w:t>)</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rPr>
                <w:b/>
              </w:rPr>
            </w:pPr>
            <w:r w:rsidRPr="00844503">
              <w:rPr>
                <w:b/>
              </w:rPr>
              <w:t>Cash flows from financing activities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844503" w:rsidRDefault="008A185A" w:rsidP="008A185A">
            <w:pPr>
              <w:pStyle w:val="Tablecopy"/>
              <w:spacing w:line="240" w:lineRule="auto"/>
              <w:ind w:right="142"/>
              <w:jc w:val="right"/>
              <w:rPr>
                <w:b/>
              </w:rPr>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jc w:val="right"/>
              <w:rPr>
                <w:b/>
              </w:rPr>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844503" w:rsidRDefault="008A185A" w:rsidP="008A185A">
            <w:pPr>
              <w:pStyle w:val="Tablecopy"/>
              <w:spacing w:line="240" w:lineRule="auto"/>
              <w:jc w:val="right"/>
              <w:rPr>
                <w:b/>
              </w:rPr>
            </w:pP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Proceeds from capital contribution</w:t>
            </w:r>
            <w:r>
              <w:t>s</w:t>
            </w:r>
            <w:r w:rsidRPr="00ED7062">
              <w:t xml:space="preserve"> </w:t>
            </w:r>
            <w:r>
              <w:t>by DTPLI</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566,806</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1</w:t>
            </w:r>
            <w:r>
              <w:t>57</w:t>
            </w:r>
            <w:r w:rsidRPr="00ED7062">
              <w:t>,</w:t>
            </w:r>
            <w:r>
              <w:t>000</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1</w:t>
            </w:r>
            <w:r>
              <w:t>57</w:t>
            </w:r>
            <w:r w:rsidRPr="00ED7062">
              <w:t>,</w:t>
            </w:r>
            <w:r>
              <w:t>000</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Repayments of finance lease liabilities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(231)</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w:t>
            </w:r>
            <w:r>
              <w:t>7</w:t>
            </w:r>
            <w:r w:rsidRPr="00ED7062">
              <w:t>2)</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w:t>
            </w:r>
            <w:r>
              <w:t>7</w:t>
            </w:r>
            <w:r w:rsidRPr="00ED7062">
              <w:t>2)</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rPr>
                <w:b/>
              </w:rPr>
            </w:pPr>
            <w:r w:rsidRPr="009C5762">
              <w:rPr>
                <w:b/>
              </w:rPr>
              <w:t xml:space="preserve">Net cash flows </w:t>
            </w:r>
            <w:r>
              <w:rPr>
                <w:b/>
              </w:rPr>
              <w:t>from/(used in)</w:t>
            </w:r>
            <w:r w:rsidRPr="009C5762">
              <w:rPr>
                <w:b/>
              </w:rPr>
              <w:t xml:space="preserve"> financing activities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9C5762" w:rsidRDefault="008A185A" w:rsidP="008A185A">
            <w:pPr>
              <w:pStyle w:val="Tablecopy"/>
              <w:spacing w:line="240" w:lineRule="auto"/>
              <w:ind w:right="142"/>
              <w:jc w:val="right"/>
              <w:rPr>
                <w:b/>
              </w:rPr>
            </w:pPr>
            <w:r>
              <w:rPr>
                <w:b/>
              </w:rPr>
              <w:t>566,575</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rPr>
                <w:b/>
              </w:rPr>
            </w:pPr>
            <w:r w:rsidRPr="009C5762">
              <w:rPr>
                <w:b/>
              </w:rPr>
              <w:t xml:space="preserve"> 1</w:t>
            </w:r>
            <w:r>
              <w:rPr>
                <w:b/>
              </w:rPr>
              <w:t>56</w:t>
            </w:r>
            <w:r w:rsidRPr="009C5762">
              <w:rPr>
                <w:b/>
              </w:rPr>
              <w:t>,</w:t>
            </w:r>
            <w:r>
              <w:rPr>
                <w:b/>
              </w:rPr>
              <w:t>928</w:t>
            </w:r>
            <w:r w:rsidRPr="009C5762">
              <w:rPr>
                <w:b/>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rPr>
                <w:b/>
              </w:rPr>
            </w:pPr>
            <w:r w:rsidRPr="009C5762">
              <w:rPr>
                <w:b/>
              </w:rPr>
              <w:t xml:space="preserve"> 1</w:t>
            </w:r>
            <w:r>
              <w:rPr>
                <w:b/>
              </w:rPr>
              <w:t>56</w:t>
            </w:r>
            <w:r w:rsidRPr="009C5762">
              <w:rPr>
                <w:b/>
              </w:rPr>
              <w:t>,</w:t>
            </w:r>
            <w:r>
              <w:rPr>
                <w:b/>
              </w:rPr>
              <w:t>928</w:t>
            </w:r>
            <w:r w:rsidRPr="009C5762">
              <w:rPr>
                <w:b/>
              </w:rPr>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rPr>
                <w:b/>
              </w:rPr>
            </w:pPr>
            <w:r w:rsidRPr="009C5762">
              <w:rPr>
                <w:b/>
              </w:rPr>
              <w:t>Net increase</w:t>
            </w:r>
            <w:r>
              <w:rPr>
                <w:b/>
              </w:rPr>
              <w:t>/(decrease)</w:t>
            </w:r>
            <w:r w:rsidRPr="009C5762">
              <w:rPr>
                <w:b/>
              </w:rPr>
              <w:t xml:space="preserve"> in cash and cash equivalents</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F626CB" w:rsidRDefault="008A185A" w:rsidP="008A185A">
            <w:pPr>
              <w:pStyle w:val="Tablecopy"/>
              <w:ind w:right="142"/>
              <w:jc w:val="right"/>
              <w:rPr>
                <w:b/>
              </w:rPr>
            </w:pPr>
            <w:r w:rsidRPr="00F626CB">
              <w:rPr>
                <w:b/>
              </w:rPr>
              <w:t>(10,</w:t>
            </w:r>
            <w:r>
              <w:rPr>
                <w:b/>
              </w:rPr>
              <w:t>472</w:t>
            </w:r>
            <w:r w:rsidRPr="00F626CB">
              <w:rPr>
                <w:b/>
              </w:rPr>
              <w: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F626CB" w:rsidRDefault="008A185A" w:rsidP="008A185A">
            <w:pPr>
              <w:pStyle w:val="Tablecopy"/>
              <w:spacing w:line="240" w:lineRule="auto"/>
              <w:jc w:val="right"/>
              <w:rPr>
                <w:b/>
              </w:rPr>
            </w:pPr>
            <w:r w:rsidRPr="00F626CB">
              <w:rPr>
                <w:b/>
              </w:rPr>
              <w:t xml:space="preserve"> 56,299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F626CB" w:rsidRDefault="008A185A" w:rsidP="008A185A">
            <w:pPr>
              <w:pStyle w:val="Tablecopy"/>
              <w:spacing w:line="240" w:lineRule="auto"/>
              <w:jc w:val="right"/>
              <w:rPr>
                <w:b/>
              </w:rPr>
            </w:pPr>
            <w:r w:rsidRPr="00F626CB">
              <w:rPr>
                <w:b/>
              </w:rPr>
              <w:t xml:space="preserve"> 56,299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pPr>
            <w:r w:rsidRPr="00ED7062">
              <w:t>Cash and cash equivalents at the beginning of the financial year</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ED7062" w:rsidRDefault="008A185A" w:rsidP="008A185A">
            <w:pPr>
              <w:pStyle w:val="Tablecopy"/>
              <w:spacing w:line="240" w:lineRule="auto"/>
              <w:ind w:right="142"/>
              <w:jc w:val="right"/>
            </w:pPr>
            <w:r>
              <w:t>56,299</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w:t>
            </w:r>
            <w:r w:rsidRPr="00ED706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ED7062" w:rsidRDefault="008A185A" w:rsidP="008A185A">
            <w:pPr>
              <w:pStyle w:val="Tablecopy"/>
              <w:spacing w:line="240" w:lineRule="auto"/>
              <w:jc w:val="right"/>
            </w:pPr>
            <w:r w:rsidRPr="00ED7062">
              <w:t xml:space="preserve"> </w:t>
            </w:r>
            <w:r>
              <w:t>-</w:t>
            </w:r>
            <w:r w:rsidRPr="00ED7062">
              <w:t xml:space="preserve"> </w:t>
            </w:r>
          </w:p>
        </w:tc>
      </w:tr>
      <w:tr w:rsidR="008A185A" w:rsidRPr="00ED7062" w:rsidTr="008A185A">
        <w:tc>
          <w:tcPr>
            <w:tcW w:w="510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6A67AF" w:rsidRDefault="008A185A" w:rsidP="008A185A">
            <w:pPr>
              <w:pStyle w:val="Tablecopy"/>
              <w:spacing w:line="240" w:lineRule="auto"/>
              <w:rPr>
                <w:b/>
              </w:rPr>
            </w:pPr>
            <w:r w:rsidRPr="006A67AF">
              <w:rPr>
                <w:b/>
              </w:rPr>
              <w:t>Cash and cash equivalents at the end of the financial year</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9C5762" w:rsidRDefault="008A185A" w:rsidP="008A185A">
            <w:pPr>
              <w:pStyle w:val="Tablecopy"/>
              <w:spacing w:line="240" w:lineRule="auto"/>
              <w:jc w:val="right"/>
              <w:rPr>
                <w:rFonts w:cs="DIN-Bold"/>
                <w:bCs/>
              </w:rPr>
            </w:pPr>
            <w:r w:rsidRPr="009C5762">
              <w:t>17(a)</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8A185A" w:rsidRPr="006A67AF" w:rsidRDefault="008A185A" w:rsidP="008A185A">
            <w:pPr>
              <w:pStyle w:val="Tablecopy"/>
              <w:ind w:right="142"/>
              <w:jc w:val="right"/>
              <w:rPr>
                <w:b/>
              </w:rPr>
            </w:pPr>
            <w:r>
              <w:rPr>
                <w:b/>
              </w:rPr>
              <w:t>45,827</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6A67AF" w:rsidRDefault="008A185A" w:rsidP="008A185A">
            <w:pPr>
              <w:pStyle w:val="Tablecopy"/>
              <w:spacing w:line="240" w:lineRule="auto"/>
              <w:jc w:val="right"/>
              <w:rPr>
                <w:b/>
              </w:rPr>
            </w:pPr>
            <w:r w:rsidRPr="006A67AF">
              <w:rPr>
                <w:b/>
              </w:rPr>
              <w:t xml:space="preserve"> </w:t>
            </w:r>
            <w:r>
              <w:rPr>
                <w:b/>
              </w:rPr>
              <w:t>56</w:t>
            </w:r>
            <w:r w:rsidRPr="006A67AF">
              <w:rPr>
                <w:b/>
              </w:rPr>
              <w:t>,</w:t>
            </w:r>
            <w:r>
              <w:rPr>
                <w:b/>
              </w:rPr>
              <w:t>299</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6A67AF" w:rsidRDefault="008A185A" w:rsidP="008A185A">
            <w:pPr>
              <w:pStyle w:val="Tablecopy"/>
              <w:spacing w:line="240" w:lineRule="auto"/>
              <w:jc w:val="right"/>
              <w:rPr>
                <w:b/>
              </w:rPr>
            </w:pPr>
            <w:r w:rsidRPr="006A67AF">
              <w:rPr>
                <w:b/>
              </w:rPr>
              <w:t xml:space="preserve"> </w:t>
            </w:r>
            <w:r>
              <w:rPr>
                <w:b/>
              </w:rPr>
              <w:t>56</w:t>
            </w:r>
            <w:r w:rsidRPr="006A67AF">
              <w:rPr>
                <w:b/>
              </w:rPr>
              <w:t>,</w:t>
            </w:r>
            <w:r>
              <w:rPr>
                <w:b/>
              </w:rPr>
              <w:t>299</w:t>
            </w:r>
          </w:p>
        </w:tc>
      </w:tr>
      <w:tr w:rsidR="008A185A" w:rsidRPr="00ED7062" w:rsidTr="008A185A">
        <w:trPr>
          <w:trHeight w:val="236"/>
        </w:trPr>
        <w:tc>
          <w:tcPr>
            <w:tcW w:w="9356" w:type="dxa"/>
            <w:gridSpan w:val="5"/>
            <w:tcBorders>
              <w:top w:val="single" w:sz="6" w:space="0" w:color="auto"/>
              <w:left w:val="single" w:sz="6" w:space="0" w:color="auto"/>
              <w:bottom w:val="single" w:sz="6" w:space="0" w:color="auto"/>
              <w:right w:val="single" w:sz="6" w:space="0" w:color="auto"/>
            </w:tcBorders>
          </w:tcPr>
          <w:p w:rsidR="008A185A" w:rsidRPr="00ED7062" w:rsidRDefault="008A185A" w:rsidP="008A185A">
            <w:pPr>
              <w:pStyle w:val="Tablecopy"/>
              <w:spacing w:line="240" w:lineRule="auto"/>
              <w:ind w:left="142"/>
            </w:pPr>
            <w:r w:rsidRPr="00ED7062">
              <w:t>The cash flow statement should be read in conjunction with the accompanying notes.</w:t>
            </w:r>
          </w:p>
        </w:tc>
      </w:tr>
    </w:tbl>
    <w:p w:rsidR="008A185A" w:rsidRPr="004B2832" w:rsidRDefault="008A185A" w:rsidP="008A185A"/>
    <w:p w:rsidR="008A185A" w:rsidRPr="00FB72FA" w:rsidRDefault="008A185A" w:rsidP="00AE259B">
      <w:pPr>
        <w:pStyle w:val="Heading10"/>
        <w:outlineLvl w:val="0"/>
      </w:pPr>
      <w:bookmarkStart w:id="91" w:name="_Notes_to_the"/>
      <w:bookmarkEnd w:id="91"/>
      <w:r>
        <w:br w:type="page"/>
      </w:r>
      <w:bookmarkStart w:id="92" w:name="_Toc337471032"/>
      <w:bookmarkStart w:id="93" w:name="_Toc337537798"/>
      <w:bookmarkStart w:id="94" w:name="_Toc337539724"/>
      <w:bookmarkStart w:id="95" w:name="_Toc337707141"/>
      <w:bookmarkStart w:id="96" w:name="_Toc337711249"/>
      <w:bookmarkStart w:id="97" w:name="_Toc366663343"/>
      <w:bookmarkStart w:id="98" w:name="_Toc366671914"/>
      <w:bookmarkStart w:id="99" w:name="_Toc366672091"/>
      <w:r w:rsidRPr="00FB72FA">
        <w:t>Notes to the financial statements</w:t>
      </w:r>
      <w:bookmarkEnd w:id="92"/>
      <w:bookmarkEnd w:id="93"/>
      <w:bookmarkEnd w:id="94"/>
      <w:bookmarkEnd w:id="95"/>
      <w:bookmarkEnd w:id="96"/>
      <w:bookmarkEnd w:id="97"/>
      <w:bookmarkEnd w:id="98"/>
      <w:bookmarkEnd w:id="99"/>
    </w:p>
    <w:p w:rsidR="00AE259B" w:rsidRDefault="00AE259B" w:rsidP="008A185A">
      <w:bookmarkStart w:id="100" w:name="_Note_1._Summary"/>
      <w:bookmarkStart w:id="101" w:name="_Note_1._Summary_1"/>
      <w:bookmarkEnd w:id="100"/>
      <w:bookmarkEnd w:id="101"/>
    </w:p>
    <w:p w:rsidR="00857E55" w:rsidRPr="00AD22A8" w:rsidRDefault="002059C1" w:rsidP="00DA50F4">
      <w:pPr>
        <w:pStyle w:val="TOC1"/>
        <w:rPr>
          <w:rFonts w:ascii="Calibri" w:hAnsi="Calibri"/>
          <w:sz w:val="22"/>
          <w:szCs w:val="22"/>
        </w:rPr>
      </w:pPr>
      <w:hyperlink w:anchor="_Toc366672092" w:history="1">
        <w:r w:rsidR="00857E55" w:rsidRPr="00265092">
          <w:rPr>
            <w:rStyle w:val="Hyperlink"/>
            <w:color w:val="auto"/>
            <w:u w:val="none"/>
          </w:rPr>
          <w:t>Note 1. Summary of significant accounting policies</w:t>
        </w:r>
        <w:r w:rsidR="00857E55" w:rsidRPr="00265092">
          <w:rPr>
            <w:webHidden/>
          </w:rPr>
          <w:tab/>
        </w:r>
        <w:r w:rsidR="00857E55" w:rsidRPr="00265092">
          <w:rPr>
            <w:webHidden/>
          </w:rPr>
          <w:fldChar w:fldCharType="begin"/>
        </w:r>
        <w:r w:rsidR="00857E55" w:rsidRPr="00265092">
          <w:rPr>
            <w:webHidden/>
          </w:rPr>
          <w:instrText xml:space="preserve"> PAGEREF _Toc366672092 \h </w:instrText>
        </w:r>
        <w:r w:rsidR="00857E55" w:rsidRPr="00265092">
          <w:rPr>
            <w:webHidden/>
          </w:rPr>
        </w:r>
        <w:r w:rsidR="00857E55" w:rsidRPr="00265092">
          <w:rPr>
            <w:webHidden/>
          </w:rPr>
          <w:fldChar w:fldCharType="separate"/>
        </w:r>
        <w:r w:rsidR="00DA50F4" w:rsidRPr="00265092">
          <w:rPr>
            <w:webHidden/>
          </w:rPr>
          <w:t>49</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093" w:history="1">
        <w:r w:rsidR="00857E55" w:rsidRPr="00265092">
          <w:rPr>
            <w:rStyle w:val="Hyperlink"/>
            <w:color w:val="auto"/>
            <w:u w:val="none"/>
          </w:rPr>
          <w:t>Note 2. Restructuring of administrative arrangements and other asset transfers</w:t>
        </w:r>
        <w:r w:rsidR="00857E55" w:rsidRPr="00265092">
          <w:rPr>
            <w:webHidden/>
          </w:rPr>
          <w:tab/>
        </w:r>
        <w:r w:rsidR="00857E55" w:rsidRPr="00265092">
          <w:rPr>
            <w:webHidden/>
          </w:rPr>
          <w:fldChar w:fldCharType="begin"/>
        </w:r>
        <w:r w:rsidR="00857E55" w:rsidRPr="00265092">
          <w:rPr>
            <w:webHidden/>
          </w:rPr>
          <w:instrText xml:space="preserve"> PAGEREF _Toc366672093 \h </w:instrText>
        </w:r>
        <w:r w:rsidR="00857E55" w:rsidRPr="00265092">
          <w:rPr>
            <w:webHidden/>
          </w:rPr>
        </w:r>
        <w:r w:rsidR="00857E55" w:rsidRPr="00265092">
          <w:rPr>
            <w:webHidden/>
          </w:rPr>
          <w:fldChar w:fldCharType="separate"/>
        </w:r>
        <w:r w:rsidR="00DA50F4" w:rsidRPr="00265092">
          <w:rPr>
            <w:webHidden/>
          </w:rPr>
          <w:t>69</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094" w:history="1">
        <w:r w:rsidR="00857E55" w:rsidRPr="00265092">
          <w:rPr>
            <w:rStyle w:val="Hyperlink"/>
            <w:color w:val="auto"/>
            <w:u w:val="none"/>
          </w:rPr>
          <w:t>Note 3. Income from transactions</w:t>
        </w:r>
        <w:r w:rsidR="00857E55" w:rsidRPr="00265092">
          <w:rPr>
            <w:webHidden/>
          </w:rPr>
          <w:tab/>
        </w:r>
        <w:r w:rsidR="00857E55" w:rsidRPr="00265092">
          <w:rPr>
            <w:webHidden/>
          </w:rPr>
          <w:fldChar w:fldCharType="begin"/>
        </w:r>
        <w:r w:rsidR="00857E55" w:rsidRPr="00265092">
          <w:rPr>
            <w:webHidden/>
          </w:rPr>
          <w:instrText xml:space="preserve"> PAGEREF _Toc366672094 \h </w:instrText>
        </w:r>
        <w:r w:rsidR="00857E55" w:rsidRPr="00265092">
          <w:rPr>
            <w:webHidden/>
          </w:rPr>
        </w:r>
        <w:r w:rsidR="00857E55" w:rsidRPr="00265092">
          <w:rPr>
            <w:webHidden/>
          </w:rPr>
          <w:fldChar w:fldCharType="separate"/>
        </w:r>
        <w:r w:rsidR="00DA50F4" w:rsidRPr="00265092">
          <w:rPr>
            <w:webHidden/>
          </w:rPr>
          <w:t>73</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095" w:history="1">
        <w:r w:rsidR="00857E55" w:rsidRPr="00265092">
          <w:rPr>
            <w:rStyle w:val="Hyperlink"/>
            <w:color w:val="auto"/>
            <w:u w:val="none"/>
          </w:rPr>
          <w:t>Note 4. Expenses from transactions</w:t>
        </w:r>
        <w:r w:rsidR="00857E55" w:rsidRPr="00265092">
          <w:rPr>
            <w:webHidden/>
          </w:rPr>
          <w:tab/>
        </w:r>
        <w:r w:rsidR="00857E55" w:rsidRPr="00265092">
          <w:rPr>
            <w:webHidden/>
          </w:rPr>
          <w:fldChar w:fldCharType="begin"/>
        </w:r>
        <w:r w:rsidR="00857E55" w:rsidRPr="00265092">
          <w:rPr>
            <w:webHidden/>
          </w:rPr>
          <w:instrText xml:space="preserve"> PAGEREF _Toc366672095 \h </w:instrText>
        </w:r>
        <w:r w:rsidR="00857E55" w:rsidRPr="00265092">
          <w:rPr>
            <w:webHidden/>
          </w:rPr>
        </w:r>
        <w:r w:rsidR="00857E55" w:rsidRPr="00265092">
          <w:rPr>
            <w:webHidden/>
          </w:rPr>
          <w:fldChar w:fldCharType="separate"/>
        </w:r>
        <w:r w:rsidR="00DA50F4" w:rsidRPr="00265092">
          <w:rPr>
            <w:webHidden/>
          </w:rPr>
          <w:t>74</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096" w:history="1">
        <w:r w:rsidR="00857E55" w:rsidRPr="00265092">
          <w:rPr>
            <w:rStyle w:val="Hyperlink"/>
            <w:color w:val="auto"/>
            <w:u w:val="none"/>
          </w:rPr>
          <w:t>Note 5. Other economic flows included in net result</w:t>
        </w:r>
        <w:r w:rsidR="00857E55" w:rsidRPr="00265092">
          <w:rPr>
            <w:webHidden/>
          </w:rPr>
          <w:tab/>
        </w:r>
        <w:r w:rsidR="00857E55" w:rsidRPr="00265092">
          <w:rPr>
            <w:webHidden/>
          </w:rPr>
          <w:fldChar w:fldCharType="begin"/>
        </w:r>
        <w:r w:rsidR="00857E55" w:rsidRPr="00265092">
          <w:rPr>
            <w:webHidden/>
          </w:rPr>
          <w:instrText xml:space="preserve"> PAGEREF _Toc366672096 \h </w:instrText>
        </w:r>
        <w:r w:rsidR="00857E55" w:rsidRPr="00265092">
          <w:rPr>
            <w:webHidden/>
          </w:rPr>
        </w:r>
        <w:r w:rsidR="00857E55" w:rsidRPr="00265092">
          <w:rPr>
            <w:webHidden/>
          </w:rPr>
          <w:fldChar w:fldCharType="separate"/>
        </w:r>
        <w:r w:rsidR="00DA50F4" w:rsidRPr="00265092">
          <w:rPr>
            <w:webHidden/>
          </w:rPr>
          <w:t>75</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097" w:history="1">
        <w:r w:rsidR="00857E55" w:rsidRPr="00265092">
          <w:rPr>
            <w:rStyle w:val="Hyperlink"/>
            <w:color w:val="auto"/>
            <w:u w:val="none"/>
          </w:rPr>
          <w:t>Note 6. Receivables</w:t>
        </w:r>
        <w:r w:rsidR="00857E55" w:rsidRPr="00265092">
          <w:rPr>
            <w:webHidden/>
          </w:rPr>
          <w:tab/>
        </w:r>
        <w:r w:rsidR="00857E55" w:rsidRPr="00265092">
          <w:rPr>
            <w:webHidden/>
          </w:rPr>
          <w:fldChar w:fldCharType="begin"/>
        </w:r>
        <w:r w:rsidR="00857E55" w:rsidRPr="00265092">
          <w:rPr>
            <w:webHidden/>
          </w:rPr>
          <w:instrText xml:space="preserve"> PAGEREF _Toc366672097 \h </w:instrText>
        </w:r>
        <w:r w:rsidR="00857E55" w:rsidRPr="00265092">
          <w:rPr>
            <w:webHidden/>
          </w:rPr>
        </w:r>
        <w:r w:rsidR="00857E55" w:rsidRPr="00265092">
          <w:rPr>
            <w:webHidden/>
          </w:rPr>
          <w:fldChar w:fldCharType="separate"/>
        </w:r>
        <w:r w:rsidR="00DA50F4" w:rsidRPr="00265092">
          <w:rPr>
            <w:webHidden/>
          </w:rPr>
          <w:t>76</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098" w:history="1">
        <w:r w:rsidR="00857E55" w:rsidRPr="00265092">
          <w:rPr>
            <w:rStyle w:val="Hyperlink"/>
            <w:color w:val="auto"/>
            <w:u w:val="none"/>
          </w:rPr>
          <w:t>Note 7. Inventories</w:t>
        </w:r>
        <w:r w:rsidR="00857E55" w:rsidRPr="00265092">
          <w:rPr>
            <w:webHidden/>
          </w:rPr>
          <w:tab/>
        </w:r>
        <w:r w:rsidR="00857E55" w:rsidRPr="00265092">
          <w:rPr>
            <w:webHidden/>
          </w:rPr>
          <w:fldChar w:fldCharType="begin"/>
        </w:r>
        <w:r w:rsidR="00857E55" w:rsidRPr="00265092">
          <w:rPr>
            <w:webHidden/>
          </w:rPr>
          <w:instrText xml:space="preserve"> PAGEREF _Toc366672098 \h </w:instrText>
        </w:r>
        <w:r w:rsidR="00857E55" w:rsidRPr="00265092">
          <w:rPr>
            <w:webHidden/>
          </w:rPr>
        </w:r>
        <w:r w:rsidR="00857E55" w:rsidRPr="00265092">
          <w:rPr>
            <w:webHidden/>
          </w:rPr>
          <w:fldChar w:fldCharType="separate"/>
        </w:r>
        <w:r w:rsidR="00DA50F4" w:rsidRPr="00265092">
          <w:rPr>
            <w:webHidden/>
          </w:rPr>
          <w:t>76</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099" w:history="1">
        <w:r w:rsidR="00857E55" w:rsidRPr="00265092">
          <w:rPr>
            <w:rStyle w:val="Hyperlink"/>
            <w:color w:val="auto"/>
            <w:u w:val="none"/>
          </w:rPr>
          <w:t>Note 8. Property, plant and equipment</w:t>
        </w:r>
        <w:r w:rsidR="00857E55" w:rsidRPr="00265092">
          <w:rPr>
            <w:webHidden/>
          </w:rPr>
          <w:tab/>
        </w:r>
        <w:r w:rsidR="00857E55" w:rsidRPr="00265092">
          <w:rPr>
            <w:webHidden/>
          </w:rPr>
          <w:fldChar w:fldCharType="begin"/>
        </w:r>
        <w:r w:rsidR="00857E55" w:rsidRPr="00265092">
          <w:rPr>
            <w:webHidden/>
          </w:rPr>
          <w:instrText xml:space="preserve"> PAGEREF _Toc366672099 \h </w:instrText>
        </w:r>
        <w:r w:rsidR="00857E55" w:rsidRPr="00265092">
          <w:rPr>
            <w:webHidden/>
          </w:rPr>
        </w:r>
        <w:r w:rsidR="00857E55" w:rsidRPr="00265092">
          <w:rPr>
            <w:webHidden/>
          </w:rPr>
          <w:fldChar w:fldCharType="separate"/>
        </w:r>
        <w:r w:rsidR="00DA50F4" w:rsidRPr="00265092">
          <w:rPr>
            <w:webHidden/>
          </w:rPr>
          <w:t>77</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100" w:history="1">
        <w:r w:rsidR="00857E55" w:rsidRPr="00265092">
          <w:rPr>
            <w:rStyle w:val="Hyperlink"/>
            <w:color w:val="auto"/>
            <w:u w:val="none"/>
          </w:rPr>
          <w:t>Note 9. Intangible assets</w:t>
        </w:r>
        <w:r w:rsidR="00857E55" w:rsidRPr="00265092">
          <w:rPr>
            <w:webHidden/>
          </w:rPr>
          <w:tab/>
        </w:r>
        <w:r w:rsidR="00857E55" w:rsidRPr="00265092">
          <w:rPr>
            <w:webHidden/>
          </w:rPr>
          <w:fldChar w:fldCharType="begin"/>
        </w:r>
        <w:r w:rsidR="00857E55" w:rsidRPr="00265092">
          <w:rPr>
            <w:webHidden/>
          </w:rPr>
          <w:instrText xml:space="preserve"> PAGEREF _Toc366672100 \h </w:instrText>
        </w:r>
        <w:r w:rsidR="00857E55" w:rsidRPr="00265092">
          <w:rPr>
            <w:webHidden/>
          </w:rPr>
        </w:r>
        <w:r w:rsidR="00857E55" w:rsidRPr="00265092">
          <w:rPr>
            <w:webHidden/>
          </w:rPr>
          <w:fldChar w:fldCharType="separate"/>
        </w:r>
        <w:r w:rsidR="00DA50F4" w:rsidRPr="00265092">
          <w:rPr>
            <w:webHidden/>
          </w:rPr>
          <w:t>79</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101" w:history="1">
        <w:r w:rsidR="00857E55" w:rsidRPr="00265092">
          <w:rPr>
            <w:rStyle w:val="Hyperlink"/>
            <w:color w:val="auto"/>
            <w:u w:val="none"/>
          </w:rPr>
          <w:t>Note 10. Payables</w:t>
        </w:r>
        <w:r w:rsidR="00857E55" w:rsidRPr="00265092">
          <w:rPr>
            <w:webHidden/>
          </w:rPr>
          <w:tab/>
        </w:r>
        <w:r w:rsidR="00857E55" w:rsidRPr="00265092">
          <w:rPr>
            <w:webHidden/>
          </w:rPr>
          <w:fldChar w:fldCharType="begin"/>
        </w:r>
        <w:r w:rsidR="00857E55" w:rsidRPr="00265092">
          <w:rPr>
            <w:webHidden/>
          </w:rPr>
          <w:instrText xml:space="preserve"> PAGEREF _Toc366672101 \h </w:instrText>
        </w:r>
        <w:r w:rsidR="00857E55" w:rsidRPr="00265092">
          <w:rPr>
            <w:webHidden/>
          </w:rPr>
        </w:r>
        <w:r w:rsidR="00857E55" w:rsidRPr="00265092">
          <w:rPr>
            <w:webHidden/>
          </w:rPr>
          <w:fldChar w:fldCharType="separate"/>
        </w:r>
        <w:r w:rsidR="00DA50F4" w:rsidRPr="00265092">
          <w:rPr>
            <w:webHidden/>
          </w:rPr>
          <w:t>80</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102" w:history="1">
        <w:r w:rsidR="00857E55" w:rsidRPr="00265092">
          <w:rPr>
            <w:rStyle w:val="Hyperlink"/>
            <w:color w:val="auto"/>
            <w:u w:val="none"/>
          </w:rPr>
          <w:t>Note 11. Borrowings</w:t>
        </w:r>
        <w:r w:rsidR="00857E55" w:rsidRPr="00265092">
          <w:rPr>
            <w:webHidden/>
          </w:rPr>
          <w:tab/>
        </w:r>
        <w:r w:rsidR="00857E55" w:rsidRPr="00265092">
          <w:rPr>
            <w:webHidden/>
          </w:rPr>
          <w:fldChar w:fldCharType="begin"/>
        </w:r>
        <w:r w:rsidR="00857E55" w:rsidRPr="00265092">
          <w:rPr>
            <w:webHidden/>
          </w:rPr>
          <w:instrText xml:space="preserve"> PAGEREF _Toc366672102 \h </w:instrText>
        </w:r>
        <w:r w:rsidR="00857E55" w:rsidRPr="00265092">
          <w:rPr>
            <w:webHidden/>
          </w:rPr>
        </w:r>
        <w:r w:rsidR="00857E55" w:rsidRPr="00265092">
          <w:rPr>
            <w:webHidden/>
          </w:rPr>
          <w:fldChar w:fldCharType="separate"/>
        </w:r>
        <w:r w:rsidR="00DA50F4" w:rsidRPr="00265092">
          <w:rPr>
            <w:webHidden/>
          </w:rPr>
          <w:t>80</w:t>
        </w:r>
        <w:r w:rsidR="00857E55" w:rsidRPr="00265092">
          <w:rPr>
            <w:webHidden/>
          </w:rPr>
          <w:fldChar w:fldCharType="end"/>
        </w:r>
      </w:hyperlink>
    </w:p>
    <w:p w:rsidR="00857E55" w:rsidRPr="00AD22A8" w:rsidRDefault="002059C1" w:rsidP="00DA50F4">
      <w:pPr>
        <w:pStyle w:val="TOC1"/>
        <w:rPr>
          <w:rFonts w:ascii="Calibri" w:hAnsi="Calibri"/>
          <w:sz w:val="22"/>
          <w:szCs w:val="22"/>
        </w:rPr>
      </w:pPr>
      <w:hyperlink w:anchor="_Toc366672103" w:history="1">
        <w:r w:rsidR="00857E55" w:rsidRPr="00265092">
          <w:rPr>
            <w:rStyle w:val="Hyperlink"/>
            <w:color w:val="auto"/>
            <w:u w:val="none"/>
          </w:rPr>
          <w:t>Note 12. Provisions</w:t>
        </w:r>
        <w:r w:rsidR="00857E55" w:rsidRPr="00265092">
          <w:rPr>
            <w:webHidden/>
          </w:rPr>
          <w:tab/>
        </w:r>
        <w:r w:rsidR="00857E55" w:rsidRPr="00265092">
          <w:rPr>
            <w:webHidden/>
          </w:rPr>
          <w:fldChar w:fldCharType="begin"/>
        </w:r>
        <w:r w:rsidR="00857E55" w:rsidRPr="00265092">
          <w:rPr>
            <w:webHidden/>
          </w:rPr>
          <w:instrText xml:space="preserve"> PAGEREF _Toc366672103 \h </w:instrText>
        </w:r>
        <w:r w:rsidR="00857E55" w:rsidRPr="00265092">
          <w:rPr>
            <w:webHidden/>
          </w:rPr>
        </w:r>
        <w:r w:rsidR="00857E55" w:rsidRPr="00265092">
          <w:rPr>
            <w:webHidden/>
          </w:rPr>
          <w:fldChar w:fldCharType="separate"/>
        </w:r>
        <w:r w:rsidR="00DA50F4" w:rsidRPr="00265092">
          <w:rPr>
            <w:webHidden/>
          </w:rPr>
          <w:t>81</w:t>
        </w:r>
        <w:r w:rsidR="00857E55" w:rsidRPr="00265092">
          <w:rPr>
            <w:webHidden/>
          </w:rPr>
          <w:fldChar w:fldCharType="end"/>
        </w:r>
      </w:hyperlink>
    </w:p>
    <w:p w:rsidR="00857E55" w:rsidRPr="00265092" w:rsidRDefault="002059C1" w:rsidP="00DA50F4">
      <w:pPr>
        <w:pStyle w:val="TOC1"/>
        <w:rPr>
          <w:rStyle w:val="Hyperlink"/>
          <w:color w:val="auto"/>
          <w:u w:val="none"/>
        </w:rPr>
      </w:pPr>
      <w:hyperlink w:anchor="_Toc366672104" w:history="1">
        <w:r w:rsidR="00857E55" w:rsidRPr="00265092">
          <w:rPr>
            <w:rStyle w:val="Hyperlink"/>
            <w:color w:val="auto"/>
            <w:u w:val="none"/>
          </w:rPr>
          <w:t>Note 13. Financial instruments</w:t>
        </w:r>
        <w:r w:rsidR="00857E55" w:rsidRPr="00265092">
          <w:rPr>
            <w:webHidden/>
          </w:rPr>
          <w:tab/>
        </w:r>
        <w:r w:rsidR="00857E55" w:rsidRPr="00265092">
          <w:rPr>
            <w:webHidden/>
          </w:rPr>
          <w:fldChar w:fldCharType="begin"/>
        </w:r>
        <w:r w:rsidR="00857E55" w:rsidRPr="00265092">
          <w:rPr>
            <w:webHidden/>
          </w:rPr>
          <w:instrText xml:space="preserve"> PAGEREF _Toc366672104 \h </w:instrText>
        </w:r>
        <w:r w:rsidR="00857E55" w:rsidRPr="00265092">
          <w:rPr>
            <w:webHidden/>
          </w:rPr>
        </w:r>
        <w:r w:rsidR="00857E55" w:rsidRPr="00265092">
          <w:rPr>
            <w:webHidden/>
          </w:rPr>
          <w:fldChar w:fldCharType="separate"/>
        </w:r>
        <w:r w:rsidR="00DA50F4" w:rsidRPr="00265092">
          <w:rPr>
            <w:webHidden/>
          </w:rPr>
          <w:t>84</w:t>
        </w:r>
        <w:r w:rsidR="00857E55" w:rsidRPr="00265092">
          <w:rPr>
            <w:webHidden/>
          </w:rPr>
          <w:fldChar w:fldCharType="end"/>
        </w:r>
      </w:hyperlink>
    </w:p>
    <w:p w:rsidR="00265092" w:rsidRPr="00AD22A8" w:rsidRDefault="002059C1" w:rsidP="00265092">
      <w:pPr>
        <w:pStyle w:val="TOC1"/>
        <w:rPr>
          <w:rFonts w:ascii="Calibri" w:hAnsi="Calibri"/>
          <w:sz w:val="22"/>
          <w:szCs w:val="22"/>
        </w:rPr>
      </w:pPr>
      <w:hyperlink w:anchor="_Toc366674805" w:history="1">
        <w:r w:rsidR="00265092" w:rsidRPr="00265092">
          <w:rPr>
            <w:rStyle w:val="Hyperlink"/>
            <w:color w:val="auto"/>
            <w:u w:val="none"/>
          </w:rPr>
          <w:t>Note 14. Commitments for expenditure</w:t>
        </w:r>
        <w:r w:rsidR="00265092" w:rsidRPr="00265092">
          <w:rPr>
            <w:webHidden/>
          </w:rPr>
          <w:tab/>
        </w:r>
        <w:r w:rsidR="00265092" w:rsidRPr="00265092">
          <w:rPr>
            <w:webHidden/>
          </w:rPr>
          <w:fldChar w:fldCharType="begin"/>
        </w:r>
        <w:r w:rsidR="00265092" w:rsidRPr="00265092">
          <w:rPr>
            <w:webHidden/>
          </w:rPr>
          <w:instrText xml:space="preserve"> PAGEREF _Toc366674805 \h </w:instrText>
        </w:r>
        <w:r w:rsidR="00265092" w:rsidRPr="00265092">
          <w:rPr>
            <w:webHidden/>
          </w:rPr>
        </w:r>
        <w:r w:rsidR="00265092" w:rsidRPr="00265092">
          <w:rPr>
            <w:webHidden/>
          </w:rPr>
          <w:fldChar w:fldCharType="separate"/>
        </w:r>
        <w:r w:rsidR="00265092" w:rsidRPr="00265092">
          <w:rPr>
            <w:webHidden/>
          </w:rPr>
          <w:t>9</w:t>
        </w:r>
        <w:r w:rsidR="00265092" w:rsidRPr="00265092">
          <w:rPr>
            <w:webHidden/>
          </w:rPr>
          <w:fldChar w:fldCharType="end"/>
        </w:r>
      </w:hyperlink>
      <w:r w:rsidR="00265092" w:rsidRPr="00265092">
        <w:rPr>
          <w:rStyle w:val="Hyperlink"/>
          <w:color w:val="auto"/>
          <w:u w:val="none"/>
        </w:rPr>
        <w:t>4</w:t>
      </w:r>
    </w:p>
    <w:p w:rsidR="00265092" w:rsidRPr="00AD22A8" w:rsidRDefault="002059C1" w:rsidP="00265092">
      <w:pPr>
        <w:pStyle w:val="TOC1"/>
        <w:rPr>
          <w:rFonts w:ascii="Calibri" w:hAnsi="Calibri"/>
          <w:sz w:val="22"/>
          <w:szCs w:val="22"/>
        </w:rPr>
      </w:pPr>
      <w:hyperlink w:anchor="_Toc366674806" w:history="1">
        <w:r w:rsidR="00265092" w:rsidRPr="00265092">
          <w:rPr>
            <w:rStyle w:val="Hyperlink"/>
            <w:color w:val="auto"/>
            <w:u w:val="none"/>
          </w:rPr>
          <w:t>Note 15. Contingent assets and liabilities</w:t>
        </w:r>
        <w:r w:rsidR="00265092" w:rsidRPr="00265092">
          <w:rPr>
            <w:webHidden/>
          </w:rPr>
          <w:tab/>
        </w:r>
        <w:r w:rsidR="00265092" w:rsidRPr="00265092">
          <w:rPr>
            <w:webHidden/>
          </w:rPr>
          <w:fldChar w:fldCharType="begin"/>
        </w:r>
        <w:r w:rsidR="00265092" w:rsidRPr="00265092">
          <w:rPr>
            <w:webHidden/>
          </w:rPr>
          <w:instrText xml:space="preserve"> PAGEREF _Toc366674806 \h </w:instrText>
        </w:r>
        <w:r w:rsidR="00265092" w:rsidRPr="00265092">
          <w:rPr>
            <w:webHidden/>
          </w:rPr>
        </w:r>
        <w:r w:rsidR="00265092" w:rsidRPr="00265092">
          <w:rPr>
            <w:webHidden/>
          </w:rPr>
          <w:fldChar w:fldCharType="separate"/>
        </w:r>
        <w:r w:rsidR="00265092" w:rsidRPr="00265092">
          <w:rPr>
            <w:webHidden/>
          </w:rPr>
          <w:t>9</w:t>
        </w:r>
        <w:r w:rsidR="00265092" w:rsidRPr="00265092">
          <w:rPr>
            <w:webHidden/>
          </w:rPr>
          <w:fldChar w:fldCharType="end"/>
        </w:r>
      </w:hyperlink>
      <w:r w:rsidR="00265092" w:rsidRPr="00265092">
        <w:rPr>
          <w:rStyle w:val="Hyperlink"/>
          <w:color w:val="auto"/>
          <w:u w:val="none"/>
        </w:rPr>
        <w:t>8</w:t>
      </w:r>
    </w:p>
    <w:p w:rsidR="00265092" w:rsidRPr="00AD22A8" w:rsidRDefault="002059C1" w:rsidP="00265092">
      <w:pPr>
        <w:pStyle w:val="TOC1"/>
        <w:rPr>
          <w:rFonts w:ascii="Calibri" w:hAnsi="Calibri"/>
          <w:sz w:val="22"/>
          <w:szCs w:val="22"/>
        </w:rPr>
      </w:pPr>
      <w:hyperlink w:anchor="_Toc366674807" w:history="1">
        <w:r w:rsidR="00265092" w:rsidRPr="00265092">
          <w:rPr>
            <w:rStyle w:val="Hyperlink"/>
            <w:color w:val="auto"/>
            <w:u w:val="none"/>
          </w:rPr>
          <w:t>Note 16. Superannuation</w:t>
        </w:r>
        <w:r w:rsidR="00265092" w:rsidRPr="00265092">
          <w:rPr>
            <w:webHidden/>
          </w:rPr>
          <w:tab/>
        </w:r>
      </w:hyperlink>
      <w:r w:rsidR="00265092" w:rsidRPr="00265092">
        <w:rPr>
          <w:rStyle w:val="Hyperlink"/>
          <w:color w:val="auto"/>
          <w:u w:val="none"/>
        </w:rPr>
        <w:t>99</w:t>
      </w:r>
    </w:p>
    <w:p w:rsidR="00265092" w:rsidRPr="00AD22A8" w:rsidRDefault="002059C1" w:rsidP="00265092">
      <w:pPr>
        <w:pStyle w:val="TOC1"/>
        <w:rPr>
          <w:rFonts w:ascii="Calibri" w:hAnsi="Calibri"/>
          <w:sz w:val="22"/>
          <w:szCs w:val="22"/>
        </w:rPr>
      </w:pPr>
      <w:hyperlink w:anchor="_Toc366674808" w:history="1">
        <w:r w:rsidR="00265092" w:rsidRPr="00265092">
          <w:rPr>
            <w:rStyle w:val="Hyperlink"/>
            <w:color w:val="auto"/>
            <w:u w:val="none"/>
          </w:rPr>
          <w:t>Note 17. Cash flow information</w:t>
        </w:r>
        <w:r w:rsidR="00265092" w:rsidRPr="00265092">
          <w:rPr>
            <w:webHidden/>
          </w:rPr>
          <w:tab/>
        </w:r>
        <w:r w:rsidR="00265092" w:rsidRPr="00265092">
          <w:rPr>
            <w:webHidden/>
          </w:rPr>
          <w:fldChar w:fldCharType="begin"/>
        </w:r>
        <w:r w:rsidR="00265092" w:rsidRPr="00265092">
          <w:rPr>
            <w:webHidden/>
          </w:rPr>
          <w:instrText xml:space="preserve"> PAGEREF _Toc366674808 \h </w:instrText>
        </w:r>
        <w:r w:rsidR="00265092" w:rsidRPr="00265092">
          <w:rPr>
            <w:webHidden/>
          </w:rPr>
        </w:r>
        <w:r w:rsidR="00265092" w:rsidRPr="00265092">
          <w:rPr>
            <w:webHidden/>
          </w:rPr>
          <w:fldChar w:fldCharType="separate"/>
        </w:r>
        <w:r w:rsidR="00265092" w:rsidRPr="00265092">
          <w:rPr>
            <w:webHidden/>
          </w:rPr>
          <w:t>10</w:t>
        </w:r>
        <w:r w:rsidR="00265092" w:rsidRPr="00265092">
          <w:rPr>
            <w:webHidden/>
          </w:rPr>
          <w:fldChar w:fldCharType="end"/>
        </w:r>
      </w:hyperlink>
      <w:r w:rsidR="00265092" w:rsidRPr="00265092">
        <w:rPr>
          <w:rStyle w:val="Hyperlink"/>
          <w:color w:val="auto"/>
          <w:u w:val="none"/>
        </w:rPr>
        <w:t>0</w:t>
      </w:r>
    </w:p>
    <w:p w:rsidR="00265092" w:rsidRPr="00AD22A8" w:rsidRDefault="002059C1" w:rsidP="00265092">
      <w:pPr>
        <w:pStyle w:val="TOC1"/>
        <w:rPr>
          <w:rFonts w:ascii="Calibri" w:hAnsi="Calibri"/>
          <w:sz w:val="22"/>
          <w:szCs w:val="22"/>
        </w:rPr>
      </w:pPr>
      <w:hyperlink w:anchor="_Toc366674809" w:history="1">
        <w:r w:rsidR="00265092" w:rsidRPr="00265092">
          <w:rPr>
            <w:rStyle w:val="Hyperlink"/>
            <w:color w:val="auto"/>
            <w:u w:val="none"/>
          </w:rPr>
          <w:t>Note 18. Leases</w:t>
        </w:r>
        <w:r w:rsidR="00265092" w:rsidRPr="00265092">
          <w:rPr>
            <w:webHidden/>
          </w:rPr>
          <w:tab/>
        </w:r>
        <w:r w:rsidR="00265092" w:rsidRPr="00265092">
          <w:rPr>
            <w:webHidden/>
          </w:rPr>
          <w:fldChar w:fldCharType="begin"/>
        </w:r>
        <w:r w:rsidR="00265092" w:rsidRPr="00265092">
          <w:rPr>
            <w:webHidden/>
          </w:rPr>
          <w:instrText xml:space="preserve"> PAGEREF _Toc366674809 \h </w:instrText>
        </w:r>
        <w:r w:rsidR="00265092" w:rsidRPr="00265092">
          <w:rPr>
            <w:webHidden/>
          </w:rPr>
        </w:r>
        <w:r w:rsidR="00265092" w:rsidRPr="00265092">
          <w:rPr>
            <w:webHidden/>
          </w:rPr>
          <w:fldChar w:fldCharType="separate"/>
        </w:r>
        <w:r w:rsidR="00265092" w:rsidRPr="00265092">
          <w:rPr>
            <w:webHidden/>
          </w:rPr>
          <w:t>10</w:t>
        </w:r>
        <w:r w:rsidR="00265092" w:rsidRPr="00265092">
          <w:rPr>
            <w:webHidden/>
          </w:rPr>
          <w:fldChar w:fldCharType="end"/>
        </w:r>
      </w:hyperlink>
      <w:r w:rsidR="00265092" w:rsidRPr="00265092">
        <w:rPr>
          <w:rStyle w:val="Hyperlink"/>
          <w:color w:val="auto"/>
          <w:u w:val="none"/>
        </w:rPr>
        <w:t>1</w:t>
      </w:r>
    </w:p>
    <w:p w:rsidR="00265092" w:rsidRPr="00AD22A8" w:rsidRDefault="002059C1" w:rsidP="00265092">
      <w:pPr>
        <w:pStyle w:val="TOC1"/>
        <w:rPr>
          <w:rFonts w:ascii="Calibri" w:hAnsi="Calibri"/>
          <w:sz w:val="22"/>
          <w:szCs w:val="22"/>
        </w:rPr>
      </w:pPr>
      <w:hyperlink w:anchor="_Toc366674810" w:history="1">
        <w:r w:rsidR="00265092" w:rsidRPr="00265092">
          <w:rPr>
            <w:rStyle w:val="Hyperlink"/>
            <w:color w:val="auto"/>
            <w:u w:val="none"/>
          </w:rPr>
          <w:t>Note 19. Responsible persons</w:t>
        </w:r>
        <w:r w:rsidR="00265092" w:rsidRPr="00265092">
          <w:rPr>
            <w:webHidden/>
          </w:rPr>
          <w:tab/>
        </w:r>
        <w:r w:rsidR="00265092" w:rsidRPr="00265092">
          <w:rPr>
            <w:webHidden/>
          </w:rPr>
          <w:fldChar w:fldCharType="begin"/>
        </w:r>
        <w:r w:rsidR="00265092" w:rsidRPr="00265092">
          <w:rPr>
            <w:webHidden/>
          </w:rPr>
          <w:instrText xml:space="preserve"> PAGEREF _Toc366674810 \h </w:instrText>
        </w:r>
        <w:r w:rsidR="00265092" w:rsidRPr="00265092">
          <w:rPr>
            <w:webHidden/>
          </w:rPr>
        </w:r>
        <w:r w:rsidR="00265092" w:rsidRPr="00265092">
          <w:rPr>
            <w:webHidden/>
          </w:rPr>
          <w:fldChar w:fldCharType="separate"/>
        </w:r>
        <w:r w:rsidR="00265092" w:rsidRPr="00265092">
          <w:rPr>
            <w:webHidden/>
          </w:rPr>
          <w:t>10</w:t>
        </w:r>
        <w:r w:rsidR="00265092" w:rsidRPr="00265092">
          <w:rPr>
            <w:webHidden/>
          </w:rPr>
          <w:fldChar w:fldCharType="end"/>
        </w:r>
      </w:hyperlink>
      <w:r w:rsidR="00265092" w:rsidRPr="00265092">
        <w:rPr>
          <w:rStyle w:val="Hyperlink"/>
          <w:color w:val="auto"/>
          <w:u w:val="none"/>
        </w:rPr>
        <w:t>2</w:t>
      </w:r>
    </w:p>
    <w:p w:rsidR="00265092" w:rsidRPr="00AD22A8" w:rsidRDefault="002059C1" w:rsidP="00265092">
      <w:pPr>
        <w:pStyle w:val="TOC1"/>
        <w:rPr>
          <w:rFonts w:ascii="Calibri" w:hAnsi="Calibri"/>
          <w:sz w:val="22"/>
          <w:szCs w:val="22"/>
        </w:rPr>
      </w:pPr>
      <w:hyperlink w:anchor="_Toc366674811" w:history="1">
        <w:r w:rsidR="00265092" w:rsidRPr="00265092">
          <w:rPr>
            <w:rStyle w:val="Hyperlink"/>
            <w:color w:val="auto"/>
            <w:u w:val="none"/>
          </w:rPr>
          <w:t>Note 20. Remuneration of executives and payments to other personnel (i.e. contractors with significant management responsibilities)</w:t>
        </w:r>
        <w:r w:rsidR="00265092" w:rsidRPr="00265092">
          <w:rPr>
            <w:webHidden/>
          </w:rPr>
          <w:tab/>
        </w:r>
        <w:r w:rsidR="00265092" w:rsidRPr="00265092">
          <w:rPr>
            <w:webHidden/>
          </w:rPr>
          <w:fldChar w:fldCharType="begin"/>
        </w:r>
        <w:r w:rsidR="00265092" w:rsidRPr="00265092">
          <w:rPr>
            <w:webHidden/>
          </w:rPr>
          <w:instrText xml:space="preserve"> PAGEREF _Toc366674811 \h </w:instrText>
        </w:r>
        <w:r w:rsidR="00265092" w:rsidRPr="00265092">
          <w:rPr>
            <w:webHidden/>
          </w:rPr>
        </w:r>
        <w:r w:rsidR="00265092" w:rsidRPr="00265092">
          <w:rPr>
            <w:webHidden/>
          </w:rPr>
          <w:fldChar w:fldCharType="separate"/>
        </w:r>
        <w:r w:rsidR="00265092" w:rsidRPr="00265092">
          <w:rPr>
            <w:webHidden/>
          </w:rPr>
          <w:t>10</w:t>
        </w:r>
        <w:r w:rsidR="00265092" w:rsidRPr="00265092">
          <w:rPr>
            <w:webHidden/>
          </w:rPr>
          <w:fldChar w:fldCharType="end"/>
        </w:r>
      </w:hyperlink>
      <w:r w:rsidR="00265092" w:rsidRPr="00265092">
        <w:rPr>
          <w:rStyle w:val="Hyperlink"/>
          <w:color w:val="auto"/>
          <w:u w:val="none"/>
        </w:rPr>
        <w:t>3</w:t>
      </w:r>
    </w:p>
    <w:p w:rsidR="00265092" w:rsidRPr="00AD22A8" w:rsidRDefault="002059C1" w:rsidP="00265092">
      <w:pPr>
        <w:pStyle w:val="TOC1"/>
        <w:rPr>
          <w:rFonts w:ascii="Calibri" w:hAnsi="Calibri"/>
          <w:sz w:val="22"/>
          <w:szCs w:val="22"/>
        </w:rPr>
      </w:pPr>
      <w:hyperlink w:anchor="_Toc366674812" w:history="1">
        <w:r w:rsidR="00265092" w:rsidRPr="00265092">
          <w:rPr>
            <w:rStyle w:val="Hyperlink"/>
            <w:color w:val="auto"/>
            <w:u w:val="none"/>
          </w:rPr>
          <w:t>Note 21. Remuneration of auditors</w:t>
        </w:r>
        <w:r w:rsidR="00265092" w:rsidRPr="00265092">
          <w:rPr>
            <w:webHidden/>
          </w:rPr>
          <w:tab/>
        </w:r>
        <w:r w:rsidR="00265092" w:rsidRPr="00265092">
          <w:rPr>
            <w:webHidden/>
          </w:rPr>
          <w:fldChar w:fldCharType="begin"/>
        </w:r>
        <w:r w:rsidR="00265092" w:rsidRPr="00265092">
          <w:rPr>
            <w:webHidden/>
          </w:rPr>
          <w:instrText xml:space="preserve"> PAGEREF _Toc366674812 \h </w:instrText>
        </w:r>
        <w:r w:rsidR="00265092" w:rsidRPr="00265092">
          <w:rPr>
            <w:webHidden/>
          </w:rPr>
        </w:r>
        <w:r w:rsidR="00265092" w:rsidRPr="00265092">
          <w:rPr>
            <w:webHidden/>
          </w:rPr>
          <w:fldChar w:fldCharType="separate"/>
        </w:r>
        <w:r w:rsidR="00265092" w:rsidRPr="00265092">
          <w:rPr>
            <w:webHidden/>
          </w:rPr>
          <w:t>10</w:t>
        </w:r>
        <w:r w:rsidR="00265092" w:rsidRPr="00265092">
          <w:rPr>
            <w:webHidden/>
          </w:rPr>
          <w:fldChar w:fldCharType="end"/>
        </w:r>
      </w:hyperlink>
      <w:r w:rsidR="00265092" w:rsidRPr="00265092">
        <w:rPr>
          <w:rStyle w:val="Hyperlink"/>
          <w:color w:val="auto"/>
          <w:u w:val="none"/>
        </w:rPr>
        <w:t>5</w:t>
      </w:r>
    </w:p>
    <w:p w:rsidR="00265092" w:rsidRPr="00AD22A8" w:rsidRDefault="002059C1" w:rsidP="00265092">
      <w:pPr>
        <w:pStyle w:val="TOC1"/>
        <w:rPr>
          <w:rFonts w:ascii="Calibri" w:hAnsi="Calibri"/>
          <w:sz w:val="22"/>
          <w:szCs w:val="22"/>
        </w:rPr>
      </w:pPr>
      <w:hyperlink w:anchor="_Toc366674813" w:history="1">
        <w:r w:rsidR="00265092" w:rsidRPr="00265092">
          <w:rPr>
            <w:rStyle w:val="Hyperlink"/>
            <w:color w:val="auto"/>
            <w:u w:val="none"/>
          </w:rPr>
          <w:t>Note 22. Fare and cardholder funds administration</w:t>
        </w:r>
        <w:r w:rsidR="00265092" w:rsidRPr="00265092">
          <w:rPr>
            <w:webHidden/>
          </w:rPr>
          <w:tab/>
        </w:r>
        <w:r w:rsidR="00265092" w:rsidRPr="00265092">
          <w:rPr>
            <w:webHidden/>
          </w:rPr>
          <w:fldChar w:fldCharType="begin"/>
        </w:r>
        <w:r w:rsidR="00265092" w:rsidRPr="00265092">
          <w:rPr>
            <w:webHidden/>
          </w:rPr>
          <w:instrText xml:space="preserve"> PAGEREF _Toc366674813 \h </w:instrText>
        </w:r>
        <w:r w:rsidR="00265092" w:rsidRPr="00265092">
          <w:rPr>
            <w:webHidden/>
          </w:rPr>
        </w:r>
        <w:r w:rsidR="00265092" w:rsidRPr="00265092">
          <w:rPr>
            <w:webHidden/>
          </w:rPr>
          <w:fldChar w:fldCharType="separate"/>
        </w:r>
        <w:r w:rsidR="00265092" w:rsidRPr="00265092">
          <w:rPr>
            <w:webHidden/>
          </w:rPr>
          <w:t>10</w:t>
        </w:r>
        <w:r w:rsidR="00265092" w:rsidRPr="00265092">
          <w:rPr>
            <w:webHidden/>
          </w:rPr>
          <w:fldChar w:fldCharType="end"/>
        </w:r>
      </w:hyperlink>
      <w:r w:rsidR="00265092" w:rsidRPr="00265092">
        <w:rPr>
          <w:rStyle w:val="Hyperlink"/>
          <w:color w:val="auto"/>
          <w:u w:val="none"/>
        </w:rPr>
        <w:t>6</w:t>
      </w:r>
    </w:p>
    <w:p w:rsidR="00265092" w:rsidRPr="00AD22A8" w:rsidRDefault="002059C1" w:rsidP="00265092">
      <w:pPr>
        <w:pStyle w:val="TOC1"/>
        <w:rPr>
          <w:rFonts w:ascii="Calibri" w:hAnsi="Calibri"/>
          <w:sz w:val="22"/>
          <w:szCs w:val="22"/>
        </w:rPr>
      </w:pPr>
      <w:hyperlink w:anchor="_Toc366674814" w:history="1">
        <w:r w:rsidR="00265092" w:rsidRPr="00265092">
          <w:rPr>
            <w:rStyle w:val="Hyperlink"/>
            <w:color w:val="auto"/>
            <w:u w:val="none"/>
          </w:rPr>
          <w:t>Note 23. Subsequent event</w:t>
        </w:r>
        <w:r w:rsidR="00265092" w:rsidRPr="00265092">
          <w:rPr>
            <w:webHidden/>
          </w:rPr>
          <w:tab/>
        </w:r>
        <w:r w:rsidR="00265092" w:rsidRPr="00265092">
          <w:rPr>
            <w:webHidden/>
          </w:rPr>
          <w:fldChar w:fldCharType="begin"/>
        </w:r>
        <w:r w:rsidR="00265092" w:rsidRPr="00265092">
          <w:rPr>
            <w:webHidden/>
          </w:rPr>
          <w:instrText xml:space="preserve"> PAGEREF _Toc366674814 \h </w:instrText>
        </w:r>
        <w:r w:rsidR="00265092" w:rsidRPr="00265092">
          <w:rPr>
            <w:webHidden/>
          </w:rPr>
        </w:r>
        <w:r w:rsidR="00265092" w:rsidRPr="00265092">
          <w:rPr>
            <w:webHidden/>
          </w:rPr>
          <w:fldChar w:fldCharType="separate"/>
        </w:r>
        <w:r w:rsidR="00265092" w:rsidRPr="00265092">
          <w:rPr>
            <w:webHidden/>
          </w:rPr>
          <w:t>10</w:t>
        </w:r>
        <w:r w:rsidR="00265092" w:rsidRPr="00265092">
          <w:rPr>
            <w:webHidden/>
          </w:rPr>
          <w:fldChar w:fldCharType="end"/>
        </w:r>
      </w:hyperlink>
      <w:r w:rsidR="00265092" w:rsidRPr="00265092">
        <w:rPr>
          <w:rStyle w:val="Hyperlink"/>
          <w:color w:val="auto"/>
          <w:u w:val="none"/>
        </w:rPr>
        <w:t>6</w:t>
      </w:r>
    </w:p>
    <w:p w:rsidR="00265092" w:rsidRPr="00AD22A8" w:rsidRDefault="002059C1" w:rsidP="00265092">
      <w:pPr>
        <w:pStyle w:val="TOC1"/>
        <w:rPr>
          <w:rFonts w:ascii="Calibri" w:hAnsi="Calibri"/>
          <w:sz w:val="22"/>
          <w:szCs w:val="22"/>
        </w:rPr>
      </w:pPr>
      <w:hyperlink w:anchor="_Toc366674815" w:history="1">
        <w:r w:rsidR="00265092" w:rsidRPr="00265092">
          <w:rPr>
            <w:rStyle w:val="Hyperlink"/>
            <w:color w:val="auto"/>
            <w:u w:val="none"/>
          </w:rPr>
          <w:t>Note 24. Glossary of terms and style of conventions</w:t>
        </w:r>
        <w:r w:rsidR="00265092" w:rsidRPr="00265092">
          <w:rPr>
            <w:webHidden/>
          </w:rPr>
          <w:tab/>
        </w:r>
        <w:r w:rsidR="00265092" w:rsidRPr="00265092">
          <w:rPr>
            <w:webHidden/>
          </w:rPr>
          <w:fldChar w:fldCharType="begin"/>
        </w:r>
        <w:r w:rsidR="00265092" w:rsidRPr="00265092">
          <w:rPr>
            <w:webHidden/>
          </w:rPr>
          <w:instrText xml:space="preserve"> PAGEREF _Toc366674815 \h </w:instrText>
        </w:r>
        <w:r w:rsidR="00265092" w:rsidRPr="00265092">
          <w:rPr>
            <w:webHidden/>
          </w:rPr>
        </w:r>
        <w:r w:rsidR="00265092" w:rsidRPr="00265092">
          <w:rPr>
            <w:webHidden/>
          </w:rPr>
          <w:fldChar w:fldCharType="separate"/>
        </w:r>
        <w:r w:rsidR="00265092" w:rsidRPr="00265092">
          <w:rPr>
            <w:webHidden/>
          </w:rPr>
          <w:t>10</w:t>
        </w:r>
        <w:r w:rsidR="00265092" w:rsidRPr="00265092">
          <w:rPr>
            <w:webHidden/>
          </w:rPr>
          <w:fldChar w:fldCharType="end"/>
        </w:r>
      </w:hyperlink>
      <w:r w:rsidR="00265092" w:rsidRPr="00265092">
        <w:rPr>
          <w:rStyle w:val="Hyperlink"/>
          <w:color w:val="auto"/>
          <w:u w:val="none"/>
        </w:rPr>
        <w:t>7</w:t>
      </w:r>
    </w:p>
    <w:p w:rsidR="00AE259B" w:rsidRPr="00265092" w:rsidRDefault="00AE259B" w:rsidP="008A185A"/>
    <w:p w:rsidR="008A185A" w:rsidRPr="007916CF" w:rsidRDefault="008A185A" w:rsidP="00AE259B">
      <w:pPr>
        <w:pStyle w:val="Heading10"/>
        <w:outlineLvl w:val="0"/>
      </w:pPr>
      <w:r>
        <w:br w:type="page"/>
      </w:r>
      <w:bookmarkStart w:id="102" w:name="_Toc337471033"/>
      <w:bookmarkStart w:id="103" w:name="_Toc337537799"/>
      <w:bookmarkStart w:id="104" w:name="_Toc337539725"/>
      <w:bookmarkStart w:id="105" w:name="_Toc337707142"/>
      <w:bookmarkStart w:id="106" w:name="_Toc337711250"/>
      <w:bookmarkStart w:id="107" w:name="_Toc366672092"/>
      <w:r w:rsidRPr="007916CF">
        <w:t>Note 1. Summary of significant accounting policies</w:t>
      </w:r>
      <w:bookmarkEnd w:id="102"/>
      <w:bookmarkEnd w:id="103"/>
      <w:bookmarkEnd w:id="104"/>
      <w:bookmarkEnd w:id="105"/>
      <w:bookmarkEnd w:id="106"/>
      <w:bookmarkEnd w:id="107"/>
    </w:p>
    <w:p w:rsidR="00AE259B" w:rsidRDefault="00AE259B" w:rsidP="008A185A">
      <w:pPr>
        <w:rPr>
          <w:rFonts w:ascii="Arial" w:hAnsi="Arial" w:cs="Arial"/>
        </w:rPr>
      </w:pPr>
    </w:p>
    <w:p w:rsidR="008A185A" w:rsidRDefault="008A185A" w:rsidP="008A185A">
      <w:pPr>
        <w:rPr>
          <w:rFonts w:ascii="Arial" w:hAnsi="Arial" w:cs="Arial"/>
        </w:rPr>
      </w:pPr>
      <w:r w:rsidRPr="00AE259B">
        <w:rPr>
          <w:rFonts w:ascii="Arial" w:hAnsi="Arial" w:cs="Arial"/>
        </w:rPr>
        <w:t>These annual financial statements represent the audited general purpose financial statements for the Public Transport Development Authority, operating as Public Transport Victoria (PTV), for the financial year ended 30 June 2013.  The purpose of the report is to provide users with information about PTV’s stewardship of resources entrusted to it.</w:t>
      </w:r>
    </w:p>
    <w:p w:rsidR="00AE259B" w:rsidRPr="00AE259B" w:rsidRDefault="00AE259B"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 xml:space="preserve">PTV was established on 15 December 2011 by amendments to the </w:t>
      </w:r>
      <w:r w:rsidRPr="00AE259B">
        <w:rPr>
          <w:rFonts w:ascii="Arial" w:hAnsi="Arial" w:cs="Arial"/>
          <w:i/>
        </w:rPr>
        <w:t>Transport Integration Act 2010</w:t>
      </w:r>
      <w:r w:rsidRPr="00AE259B">
        <w:rPr>
          <w:rFonts w:ascii="Arial" w:hAnsi="Arial" w:cs="Arial"/>
        </w:rPr>
        <w:t>.  These annual financial statements are the first separate annual financial statements prepared by PTV.  Comparative figures for 2012 represented the period from 15 December 2011 to 30 June 2012 and were included in the Department of Transport, Planning and Local Infrastructure's 2011-12 annual report.</w:t>
      </w:r>
    </w:p>
    <w:p w:rsidR="00AE259B" w:rsidRDefault="00AE259B" w:rsidP="00AE259B">
      <w:pPr>
        <w:pStyle w:val="Heading20"/>
      </w:pPr>
      <w:bookmarkStart w:id="108" w:name="_Toc337537692"/>
    </w:p>
    <w:p w:rsidR="008A185A" w:rsidRPr="00AE259B" w:rsidRDefault="008A185A" w:rsidP="00AE259B">
      <w:pPr>
        <w:pStyle w:val="Heading20"/>
      </w:pPr>
      <w:r w:rsidRPr="00AE259B">
        <w:t>(a) Statement of compliance</w:t>
      </w:r>
      <w:bookmarkEnd w:id="108"/>
    </w:p>
    <w:p w:rsidR="008A185A" w:rsidRDefault="008A185A" w:rsidP="008A185A">
      <w:pPr>
        <w:tabs>
          <w:tab w:val="left" w:pos="993"/>
        </w:tabs>
        <w:rPr>
          <w:rFonts w:ascii="Arial" w:hAnsi="Arial" w:cs="Arial"/>
          <w:i/>
          <w:iCs/>
        </w:rPr>
      </w:pPr>
      <w:r w:rsidRPr="00AE259B">
        <w:rPr>
          <w:rFonts w:ascii="Arial" w:hAnsi="Arial" w:cs="Arial"/>
        </w:rPr>
        <w:t>These general purpose financial statements have been prepared in accordance with the</w:t>
      </w:r>
      <w:r w:rsidRPr="00AE259B">
        <w:rPr>
          <w:rFonts w:ascii="Arial" w:hAnsi="Arial" w:cs="Arial"/>
          <w:i/>
          <w:iCs/>
        </w:rPr>
        <w:t xml:space="preserve"> Financial Management Act 1994</w:t>
      </w:r>
      <w:r w:rsidRPr="00AE259B">
        <w:rPr>
          <w:rFonts w:ascii="Arial" w:hAnsi="Arial" w:cs="Arial"/>
        </w:rPr>
        <w:t xml:space="preserve"> and applicable Australian Accounting Standards (AAS), which include interpretations issued by the Australian Accounting Standards Board (AASB).  In particular, they are presented in a manner consistent with the requirements of AASB 1049</w:t>
      </w:r>
      <w:r w:rsidRPr="00AE259B">
        <w:rPr>
          <w:rFonts w:ascii="Arial" w:hAnsi="Arial" w:cs="Arial"/>
          <w:i/>
          <w:iCs/>
        </w:rPr>
        <w:t xml:space="preserve"> Whole of Government and General Government Sector Financial Reporting.</w:t>
      </w:r>
    </w:p>
    <w:p w:rsidR="00AE259B" w:rsidRPr="00AE259B" w:rsidRDefault="00AE259B" w:rsidP="008A185A">
      <w:pPr>
        <w:tabs>
          <w:tab w:val="left" w:pos="993"/>
        </w:tabs>
        <w:rPr>
          <w:rFonts w:ascii="Arial" w:hAnsi="Arial" w:cs="Arial"/>
          <w:i/>
          <w:iCs/>
        </w:rPr>
      </w:pPr>
    </w:p>
    <w:p w:rsidR="008A185A" w:rsidRDefault="008A185A" w:rsidP="008A185A">
      <w:pPr>
        <w:rPr>
          <w:rFonts w:ascii="Arial" w:hAnsi="Arial" w:cs="Arial"/>
        </w:rPr>
      </w:pPr>
      <w:r w:rsidRPr="00AE259B">
        <w:rPr>
          <w:rFonts w:ascii="Arial" w:hAnsi="Arial" w:cs="Arial"/>
        </w:rPr>
        <w:t>Where appropriate, those AAS paragraphs applicable to not-for-profit entities have been applied.</w:t>
      </w:r>
    </w:p>
    <w:p w:rsidR="00AE259B" w:rsidRPr="00AE259B" w:rsidRDefault="00AE259B" w:rsidP="008A185A">
      <w:pPr>
        <w:rPr>
          <w:rFonts w:ascii="Arial" w:hAnsi="Arial" w:cs="Arial"/>
        </w:rPr>
      </w:pPr>
    </w:p>
    <w:p w:rsidR="008A185A" w:rsidRDefault="008A185A" w:rsidP="008A185A">
      <w:pPr>
        <w:rPr>
          <w:rFonts w:ascii="Arial" w:hAnsi="Arial" w:cs="Arial"/>
        </w:rPr>
      </w:pPr>
      <w:r w:rsidRPr="00AE259B">
        <w:rPr>
          <w:rFonts w:ascii="Arial" w:hAnsi="Arial" w:cs="Arial"/>
        </w:rPr>
        <w:t>Accounting policies are selected and applied in a manner which ensures that the resulting financial information satisfies the concepts of relevance and reliability, thereby ensuring that the substance of the underlying transactions or other events is reported.</w:t>
      </w:r>
    </w:p>
    <w:p w:rsidR="00AE259B" w:rsidRPr="00AE259B" w:rsidRDefault="00AE259B" w:rsidP="008A185A">
      <w:pPr>
        <w:rPr>
          <w:rFonts w:ascii="Arial" w:hAnsi="Arial" w:cs="Arial"/>
        </w:rPr>
      </w:pPr>
    </w:p>
    <w:p w:rsidR="008A185A" w:rsidRDefault="008A185A" w:rsidP="008A185A">
      <w:pPr>
        <w:rPr>
          <w:rFonts w:ascii="Arial" w:hAnsi="Arial" w:cs="Arial"/>
        </w:rPr>
      </w:pPr>
      <w:r w:rsidRPr="00AE259B">
        <w:rPr>
          <w:rFonts w:ascii="Arial" w:hAnsi="Arial" w:cs="Arial"/>
        </w:rPr>
        <w:t>To gain a better understanding of the terminology used in this report, a glossary of terms can be found in Note 24.</w:t>
      </w:r>
    </w:p>
    <w:p w:rsidR="00AE259B" w:rsidRPr="00AE259B" w:rsidRDefault="00AE259B" w:rsidP="008A185A">
      <w:pPr>
        <w:rPr>
          <w:rFonts w:ascii="Arial" w:hAnsi="Arial" w:cs="Arial"/>
        </w:rPr>
      </w:pPr>
    </w:p>
    <w:p w:rsidR="008A185A" w:rsidRDefault="008A185A" w:rsidP="008A185A">
      <w:pPr>
        <w:rPr>
          <w:rFonts w:ascii="Arial" w:hAnsi="Arial" w:cs="Arial"/>
        </w:rPr>
      </w:pPr>
      <w:r w:rsidRPr="00AE259B">
        <w:rPr>
          <w:rFonts w:ascii="Arial" w:hAnsi="Arial" w:cs="Arial"/>
        </w:rPr>
        <w:t>The annual financial statements were authorised for issue by the PTV Board on 6 September 2013.</w:t>
      </w:r>
    </w:p>
    <w:p w:rsidR="00AE259B" w:rsidRPr="00AE259B" w:rsidRDefault="00AE259B" w:rsidP="008A185A">
      <w:pPr>
        <w:rPr>
          <w:rFonts w:ascii="Arial" w:hAnsi="Arial" w:cs="Arial"/>
        </w:rPr>
      </w:pPr>
    </w:p>
    <w:p w:rsidR="008A185A" w:rsidRPr="00AE259B" w:rsidRDefault="008A185A" w:rsidP="00AE259B">
      <w:pPr>
        <w:pStyle w:val="Heading20"/>
      </w:pPr>
      <w:bookmarkStart w:id="109" w:name="_Toc337537693"/>
      <w:r w:rsidRPr="00AE259B">
        <w:t>(b) Basis of accounting preparation and measurement</w:t>
      </w:r>
      <w:bookmarkEnd w:id="109"/>
    </w:p>
    <w:p w:rsidR="008A185A" w:rsidRDefault="008A185A" w:rsidP="008A185A">
      <w:pPr>
        <w:rPr>
          <w:rFonts w:ascii="Arial" w:hAnsi="Arial" w:cs="Arial"/>
        </w:rPr>
      </w:pPr>
      <w:r w:rsidRPr="00AE259B">
        <w:rPr>
          <w:rFonts w:ascii="Arial" w:hAnsi="Arial" w:cs="Arial"/>
        </w:rPr>
        <w:t>The accrual basis of accounting has been applied in the preparation of these financial statements whereby assets, liabilities, equity, income and expenses are recognised in the reporting period to which they relate, regardless of when cash is received or paid.</w:t>
      </w:r>
    </w:p>
    <w:p w:rsidR="00AE259B" w:rsidRPr="00AE259B" w:rsidRDefault="00AE259B" w:rsidP="008A185A">
      <w:pPr>
        <w:rPr>
          <w:rFonts w:ascii="Arial" w:hAnsi="Arial" w:cs="Arial"/>
        </w:rPr>
      </w:pPr>
    </w:p>
    <w:p w:rsidR="008A185A" w:rsidRDefault="008A185A" w:rsidP="008A185A">
      <w:pPr>
        <w:rPr>
          <w:rFonts w:ascii="Arial" w:hAnsi="Arial" w:cs="Arial"/>
        </w:rPr>
      </w:pPr>
      <w:r w:rsidRPr="00AE259B">
        <w:rPr>
          <w:rFonts w:ascii="Arial" w:hAnsi="Arial" w:cs="Arial"/>
        </w:rPr>
        <w:t>The financial statements have been prepared on a going concern basis, despite the negative working capital.  The going concern assumption has been made as PTV continues to be fully funded by government grant and capital contribution in accordance with the approved budget.</w:t>
      </w:r>
    </w:p>
    <w:p w:rsidR="00AE259B" w:rsidRPr="00AE259B" w:rsidRDefault="00AE259B" w:rsidP="008A185A">
      <w:pPr>
        <w:rPr>
          <w:rFonts w:ascii="Arial" w:hAnsi="Arial" w:cs="Arial"/>
        </w:rPr>
      </w:pPr>
    </w:p>
    <w:p w:rsidR="008A185A" w:rsidRDefault="008A185A" w:rsidP="008A185A">
      <w:pPr>
        <w:rPr>
          <w:rFonts w:ascii="Arial" w:hAnsi="Arial" w:cs="Arial"/>
        </w:rPr>
      </w:pPr>
      <w:r w:rsidRPr="00AE259B">
        <w:rPr>
          <w:rFonts w:ascii="Arial" w:hAnsi="Arial" w:cs="Arial"/>
        </w:rPr>
        <w:t>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Actual results may differ from these estimates.</w:t>
      </w:r>
    </w:p>
    <w:p w:rsidR="00AE259B" w:rsidRPr="00AE259B" w:rsidRDefault="00AE259B"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The estimates and associated assumptions are reviewed on an ongoing basis. Revisions to accounting estimates are recognised in the period in which the estimate is revised and also future periods that are affected by the revision.  Judgements and assumptions made by management in the application of AASs that have significant effects on the financial statements and estimates relate to:</w:t>
      </w:r>
    </w:p>
    <w:p w:rsidR="008A185A" w:rsidRPr="00AE259B" w:rsidRDefault="008A185A" w:rsidP="008A185A">
      <w:pPr>
        <w:pStyle w:val="Bullets"/>
        <w:rPr>
          <w:rFonts w:ascii="Arial" w:hAnsi="Arial" w:cs="Arial"/>
          <w:sz w:val="24"/>
          <w:szCs w:val="24"/>
        </w:rPr>
      </w:pPr>
      <w:r w:rsidRPr="00AE259B">
        <w:rPr>
          <w:rFonts w:ascii="Arial" w:hAnsi="Arial" w:cs="Arial"/>
          <w:sz w:val="24"/>
          <w:szCs w:val="24"/>
        </w:rPr>
        <w:t>the fair value of land, buildings, infrastructure, plant and equipment (refer to Note 1(k)); and</w:t>
      </w:r>
    </w:p>
    <w:p w:rsidR="008A185A" w:rsidRPr="00AE259B" w:rsidRDefault="008A185A" w:rsidP="008A185A">
      <w:pPr>
        <w:pStyle w:val="Bullets"/>
        <w:rPr>
          <w:rFonts w:ascii="Arial" w:hAnsi="Arial" w:cs="Arial"/>
          <w:sz w:val="24"/>
          <w:szCs w:val="24"/>
        </w:rPr>
      </w:pPr>
      <w:r w:rsidRPr="00AE259B">
        <w:rPr>
          <w:rFonts w:ascii="Arial" w:hAnsi="Arial" w:cs="Arial"/>
          <w:sz w:val="24"/>
          <w:szCs w:val="24"/>
        </w:rPr>
        <w:t>superannuation expense (refer to Note 1(g)).</w:t>
      </w:r>
    </w:p>
    <w:p w:rsidR="00AE259B" w:rsidRDefault="00AE259B"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These financial statements are presented in Australian dollars, and prepared in accordance with the historical cost convention except for:</w:t>
      </w:r>
    </w:p>
    <w:p w:rsidR="008A185A" w:rsidRPr="00AE259B" w:rsidRDefault="008A185A" w:rsidP="008A185A">
      <w:pPr>
        <w:pStyle w:val="Bullets"/>
        <w:rPr>
          <w:rFonts w:ascii="Arial" w:hAnsi="Arial" w:cs="Arial"/>
          <w:sz w:val="24"/>
          <w:szCs w:val="24"/>
        </w:rPr>
      </w:pPr>
      <w:r w:rsidRPr="00AE259B">
        <w:rPr>
          <w:rFonts w:ascii="Arial" w:hAnsi="Arial" w:cs="Arial"/>
          <w:sz w:val="24"/>
          <w:szCs w:val="24"/>
        </w:rPr>
        <w:t>non-current physical assets which, subsequent to acquisition, are measured at a revalued amount being their fair value at the date of the revaluation less any subsequent accumulated depreciation and subsequent impairment losses. Revaluations are made with sufficient regularity to ensure that the carrying amounts do not materially differ from their fair value;</w:t>
      </w:r>
    </w:p>
    <w:p w:rsidR="008A185A" w:rsidRPr="00AE259B" w:rsidRDefault="008A185A" w:rsidP="008A185A">
      <w:pPr>
        <w:pStyle w:val="Bullets"/>
        <w:rPr>
          <w:rFonts w:ascii="Arial" w:hAnsi="Arial" w:cs="Arial"/>
          <w:sz w:val="24"/>
          <w:szCs w:val="24"/>
        </w:rPr>
      </w:pPr>
      <w:r w:rsidRPr="00AE259B">
        <w:rPr>
          <w:rFonts w:ascii="Arial" w:hAnsi="Arial" w:cs="Arial"/>
          <w:sz w:val="24"/>
          <w:szCs w:val="24"/>
        </w:rPr>
        <w:t>the fair value of an asset other than land is generally based on its depreciated replacement value; and</w:t>
      </w:r>
    </w:p>
    <w:p w:rsidR="008A185A" w:rsidRPr="00AE259B" w:rsidRDefault="008A185A" w:rsidP="008A185A">
      <w:pPr>
        <w:pStyle w:val="Bullets"/>
        <w:rPr>
          <w:rFonts w:ascii="Arial" w:hAnsi="Arial" w:cs="Arial"/>
          <w:sz w:val="24"/>
          <w:szCs w:val="24"/>
        </w:rPr>
      </w:pPr>
      <w:r w:rsidRPr="00AE259B">
        <w:rPr>
          <w:rFonts w:ascii="Arial" w:hAnsi="Arial" w:cs="Arial"/>
          <w:sz w:val="24"/>
          <w:szCs w:val="24"/>
        </w:rPr>
        <w:t>certain liabilities that are calculated with regard to actuarial assessments.</w:t>
      </w:r>
    </w:p>
    <w:p w:rsidR="008A185A" w:rsidRDefault="008A185A" w:rsidP="008A185A">
      <w:pPr>
        <w:rPr>
          <w:rFonts w:ascii="Arial" w:hAnsi="Arial" w:cs="Arial"/>
        </w:rPr>
      </w:pPr>
      <w:r w:rsidRPr="00AE259B">
        <w:rPr>
          <w:rFonts w:ascii="Arial" w:hAnsi="Arial" w:cs="Arial"/>
        </w:rPr>
        <w:t>The accounting policies set out below have been applied in preparing the financial statements for the year ended 30 June 2013 and the comparative information presented for the period ended 30 June 2012.</w:t>
      </w:r>
    </w:p>
    <w:p w:rsidR="00AE259B" w:rsidRPr="00AE259B" w:rsidRDefault="00AE259B" w:rsidP="008A185A">
      <w:pPr>
        <w:rPr>
          <w:rFonts w:ascii="Arial" w:hAnsi="Arial" w:cs="Arial"/>
          <w:spacing w:val="-2"/>
        </w:rPr>
      </w:pPr>
    </w:p>
    <w:p w:rsidR="008A185A" w:rsidRPr="00AE259B" w:rsidRDefault="008A185A" w:rsidP="00AE259B">
      <w:pPr>
        <w:pStyle w:val="Heading20"/>
      </w:pPr>
      <w:bookmarkStart w:id="110" w:name="_Toc337537694"/>
      <w:r w:rsidRPr="00AE259B">
        <w:t>(c) Reporting entity</w:t>
      </w:r>
      <w:bookmarkEnd w:id="110"/>
    </w:p>
    <w:p w:rsidR="008A185A" w:rsidRDefault="008A185A" w:rsidP="008A185A">
      <w:pPr>
        <w:rPr>
          <w:rFonts w:ascii="Arial" w:hAnsi="Arial" w:cs="Arial"/>
        </w:rPr>
      </w:pPr>
      <w:r w:rsidRPr="00AE259B">
        <w:rPr>
          <w:rFonts w:ascii="Arial" w:hAnsi="Arial" w:cs="Arial"/>
        </w:rPr>
        <w:t>The financial statements cover the Public Transport Development Authority, operating as Public Transport Victoria (PTV).</w:t>
      </w:r>
      <w:r w:rsidR="00AE259B">
        <w:rPr>
          <w:rFonts w:ascii="Arial" w:hAnsi="Arial" w:cs="Arial"/>
        </w:rPr>
        <w:t xml:space="preserve"> </w:t>
      </w:r>
      <w:r w:rsidRPr="00AE259B">
        <w:rPr>
          <w:rFonts w:ascii="Arial" w:hAnsi="Arial" w:cs="Arial"/>
        </w:rPr>
        <w:t>PTV is a statutory authority of the State of Victoria, established under the</w:t>
      </w:r>
      <w:r w:rsidRPr="00AE259B">
        <w:rPr>
          <w:rFonts w:ascii="Arial" w:hAnsi="Arial" w:cs="Arial"/>
          <w:i/>
          <w:iCs/>
        </w:rPr>
        <w:t xml:space="preserve"> Transport Integration Act 2010.</w:t>
      </w:r>
      <w:r w:rsidRPr="00AE259B">
        <w:rPr>
          <w:rFonts w:ascii="Arial" w:hAnsi="Arial" w:cs="Arial"/>
        </w:rPr>
        <w:t xml:space="preserve"> </w:t>
      </w:r>
    </w:p>
    <w:p w:rsidR="00AE259B" w:rsidRPr="00AE259B" w:rsidRDefault="00AE259B"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The legislation to establish the Public Transport Development Authority was passed by the Parliament on 8 November 2011 and received Royal Assent on 15 December 2011.  Operations for PTV commenced on 2 April 2012.</w:t>
      </w:r>
    </w:p>
    <w:p w:rsidR="008A185A" w:rsidRPr="00AE259B" w:rsidRDefault="008A185A" w:rsidP="008A185A">
      <w:pPr>
        <w:rPr>
          <w:rFonts w:ascii="Arial" w:hAnsi="Arial" w:cs="Arial"/>
        </w:rPr>
      </w:pPr>
      <w:r w:rsidRPr="00AE259B">
        <w:rPr>
          <w:rFonts w:ascii="Arial" w:hAnsi="Arial" w:cs="Arial"/>
        </w:rPr>
        <w:t>Its principal address is 750 Collins Street, Docklands, Victoria 3008.</w:t>
      </w:r>
    </w:p>
    <w:p w:rsidR="008A185A" w:rsidRPr="00AE259B" w:rsidRDefault="008A185A" w:rsidP="008A185A">
      <w:pPr>
        <w:rPr>
          <w:rFonts w:ascii="Arial" w:hAnsi="Arial" w:cs="Arial"/>
        </w:rPr>
      </w:pPr>
      <w:r w:rsidRPr="00AE259B">
        <w:rPr>
          <w:rFonts w:ascii="Arial" w:hAnsi="Arial" w:cs="Arial"/>
        </w:rPr>
        <w:t>The financial statements include all the controlled activities of PTV.</w:t>
      </w:r>
    </w:p>
    <w:p w:rsidR="00AE259B" w:rsidRDefault="00AE259B"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 xml:space="preserve">A description of the nature of PTV's operations and its principal activities is included in the report of operations on page </w:t>
      </w:r>
      <w:r w:rsidR="00AE259B">
        <w:rPr>
          <w:rFonts w:ascii="Arial" w:hAnsi="Arial" w:cs="Arial"/>
        </w:rPr>
        <w:t>13</w:t>
      </w:r>
      <w:r w:rsidRPr="00AE259B">
        <w:rPr>
          <w:rFonts w:ascii="Arial" w:hAnsi="Arial" w:cs="Arial"/>
        </w:rPr>
        <w:t>, which does not form part of the financial statements.</w:t>
      </w:r>
    </w:p>
    <w:p w:rsidR="00AE259B" w:rsidRDefault="00AE259B" w:rsidP="00AE259B">
      <w:pPr>
        <w:pStyle w:val="Heading30"/>
      </w:pPr>
    </w:p>
    <w:p w:rsidR="008A185A" w:rsidRPr="00AE259B" w:rsidRDefault="008A185A" w:rsidP="00AE259B">
      <w:pPr>
        <w:pStyle w:val="Heading30"/>
      </w:pPr>
      <w:r w:rsidRPr="00AE259B">
        <w:t>Objectives and funding</w:t>
      </w:r>
    </w:p>
    <w:p w:rsidR="008A185A" w:rsidRPr="00AE259B" w:rsidRDefault="008A185A" w:rsidP="008A185A">
      <w:pPr>
        <w:rPr>
          <w:rFonts w:ascii="Arial" w:hAnsi="Arial" w:cs="Arial"/>
        </w:rPr>
      </w:pPr>
      <w:r w:rsidRPr="00AE259B">
        <w:rPr>
          <w:rFonts w:ascii="Arial" w:hAnsi="Arial" w:cs="Arial"/>
        </w:rPr>
        <w:t>PTV leads Victoria's public transport system, including by managing train, tram and bus services.  It provides a single contact point for customers seeking information on public transport services, fares, tickets and initiatives.</w:t>
      </w:r>
    </w:p>
    <w:p w:rsidR="008A185A" w:rsidRDefault="008A185A" w:rsidP="008A185A">
      <w:pPr>
        <w:rPr>
          <w:rFonts w:ascii="Arial" w:hAnsi="Arial" w:cs="Arial"/>
          <w:spacing w:val="-2"/>
        </w:rPr>
      </w:pPr>
      <w:r w:rsidRPr="00AE259B">
        <w:rPr>
          <w:rFonts w:ascii="Arial" w:hAnsi="Arial" w:cs="Arial"/>
          <w:spacing w:val="-2"/>
        </w:rPr>
        <w:t>PTV is predominantly funded by grants from Department of Transport, Planning and Local Infrastructure (DTPLI).</w:t>
      </w:r>
    </w:p>
    <w:p w:rsidR="00AE259B" w:rsidRPr="00AE259B" w:rsidRDefault="00AE259B" w:rsidP="008A185A">
      <w:pPr>
        <w:rPr>
          <w:rFonts w:ascii="Arial" w:hAnsi="Arial" w:cs="Arial"/>
          <w:spacing w:val="-2"/>
        </w:rPr>
      </w:pPr>
    </w:p>
    <w:p w:rsidR="008A185A" w:rsidRPr="00AE259B" w:rsidRDefault="008A185A" w:rsidP="00AE259B">
      <w:pPr>
        <w:pStyle w:val="Heading20"/>
      </w:pPr>
      <w:bookmarkStart w:id="111" w:name="_Toc337537695"/>
      <w:r w:rsidRPr="00AE259B">
        <w:t>(d) Basis of consolidation</w:t>
      </w:r>
      <w:bookmarkEnd w:id="111"/>
    </w:p>
    <w:p w:rsidR="008A185A" w:rsidRPr="00AE259B" w:rsidRDefault="008A185A" w:rsidP="008A185A">
      <w:pPr>
        <w:rPr>
          <w:rFonts w:ascii="Arial" w:hAnsi="Arial" w:cs="Arial"/>
        </w:rPr>
      </w:pPr>
      <w:r w:rsidRPr="00AE259B">
        <w:rPr>
          <w:rFonts w:ascii="Arial" w:hAnsi="Arial" w:cs="Arial"/>
        </w:rPr>
        <w:t>In accordance with AASB 127 Consolidated and Separate Financial Statements:</w:t>
      </w:r>
    </w:p>
    <w:p w:rsidR="008A185A" w:rsidRPr="00AE259B" w:rsidRDefault="008A185A" w:rsidP="008A185A">
      <w:pPr>
        <w:pStyle w:val="Bullets"/>
        <w:ind w:left="284" w:hanging="284"/>
        <w:rPr>
          <w:rFonts w:ascii="Arial" w:hAnsi="Arial" w:cs="Arial"/>
          <w:sz w:val="24"/>
          <w:szCs w:val="24"/>
        </w:rPr>
      </w:pPr>
      <w:r w:rsidRPr="00AE259B">
        <w:rPr>
          <w:rFonts w:ascii="Arial" w:hAnsi="Arial" w:cs="Arial"/>
          <w:sz w:val="24"/>
          <w:szCs w:val="24"/>
        </w:rPr>
        <w:t>The consolidated financial statements of PTV incorporate assets and liabilities of all reporting entities controlled by PTV as at 30 June 2012, and their income and expenses for that part of the reporting period in which control existed.</w:t>
      </w:r>
    </w:p>
    <w:p w:rsidR="008A185A" w:rsidRDefault="008A185A" w:rsidP="008A185A">
      <w:pPr>
        <w:rPr>
          <w:rFonts w:ascii="Arial" w:hAnsi="Arial" w:cs="Arial"/>
        </w:rPr>
      </w:pPr>
      <w:r w:rsidRPr="00AE259B">
        <w:rPr>
          <w:rFonts w:ascii="Arial" w:hAnsi="Arial" w:cs="Arial"/>
        </w:rPr>
        <w:t>The only reporting entity controlled by PTV as at 30 June 2012 was Metlink Victoria Pty Ltd ("Metlink").  Metlink was subsequently deregistered on 26 August 2012.</w:t>
      </w:r>
    </w:p>
    <w:p w:rsidR="00DB6104" w:rsidRPr="00AE259B" w:rsidRDefault="00DB6104" w:rsidP="008A185A">
      <w:pPr>
        <w:rPr>
          <w:rFonts w:ascii="Arial" w:hAnsi="Arial" w:cs="Arial"/>
        </w:rPr>
      </w:pPr>
    </w:p>
    <w:p w:rsidR="008A185A" w:rsidRPr="00AE259B" w:rsidRDefault="008A185A" w:rsidP="00DB6104">
      <w:pPr>
        <w:pStyle w:val="Heading20"/>
      </w:pPr>
      <w:bookmarkStart w:id="112" w:name="_Toc337537696"/>
      <w:r w:rsidRPr="00AE259B">
        <w:t xml:space="preserve">(e) </w:t>
      </w:r>
      <w:bookmarkStart w:id="113" w:name="_Toc337537697"/>
      <w:bookmarkEnd w:id="112"/>
      <w:r w:rsidRPr="00AE259B">
        <w:t>Scope and presentation of financial statements</w:t>
      </w:r>
      <w:bookmarkEnd w:id="113"/>
    </w:p>
    <w:p w:rsidR="008A185A" w:rsidRPr="00AE259B" w:rsidRDefault="008A185A" w:rsidP="00DB6104">
      <w:pPr>
        <w:pStyle w:val="Heading30"/>
      </w:pPr>
      <w:r w:rsidRPr="00AE259B">
        <w:t>Comprehensive operating statement</w:t>
      </w:r>
    </w:p>
    <w:p w:rsidR="008A185A" w:rsidRDefault="008A185A" w:rsidP="008A185A">
      <w:pPr>
        <w:rPr>
          <w:rFonts w:ascii="Arial" w:hAnsi="Arial" w:cs="Arial"/>
          <w:i/>
          <w:iCs/>
        </w:rPr>
      </w:pPr>
      <w:r w:rsidRPr="00AE259B">
        <w:rPr>
          <w:rFonts w:ascii="Arial" w:hAnsi="Arial" w:cs="Arial"/>
        </w:rPr>
        <w:t xml:space="preserve">Income and expenses in the comprehensive operating statement are classified according to whether or not they arise from ‘transactions’ or ‘other economic flows’.  This classification is consistent with the whole of government reporting format and is allowed under AASB 101 </w:t>
      </w:r>
      <w:r w:rsidRPr="00AE259B">
        <w:rPr>
          <w:rFonts w:ascii="Arial" w:hAnsi="Arial" w:cs="Arial"/>
          <w:i/>
          <w:iCs/>
        </w:rPr>
        <w:t>Presentation of Financial Statements.</w:t>
      </w:r>
    </w:p>
    <w:p w:rsidR="00DB6104" w:rsidRPr="00AE259B" w:rsidRDefault="00DB6104" w:rsidP="008A185A">
      <w:pPr>
        <w:rPr>
          <w:rFonts w:ascii="Arial" w:hAnsi="Arial" w:cs="Arial"/>
          <w:i/>
          <w:iCs/>
        </w:rPr>
      </w:pPr>
    </w:p>
    <w:p w:rsidR="008A185A" w:rsidRDefault="008A185A" w:rsidP="008A185A">
      <w:pPr>
        <w:rPr>
          <w:rFonts w:ascii="Arial" w:hAnsi="Arial" w:cs="Arial"/>
        </w:rPr>
      </w:pPr>
      <w:r w:rsidRPr="00AE259B">
        <w:rPr>
          <w:rFonts w:ascii="Arial" w:hAnsi="Arial" w:cs="Arial"/>
        </w:rPr>
        <w:t xml:space="preserve">‘Transactions’ and ‘other economic flows’ are defined by the </w:t>
      </w:r>
      <w:r w:rsidRPr="00AE259B">
        <w:rPr>
          <w:rFonts w:ascii="Arial" w:hAnsi="Arial" w:cs="Arial"/>
          <w:i/>
        </w:rPr>
        <w:t>Australian System of Government Finance Statistics: Concepts, Sources and Methods 2005 and Amendments to Australian System of Government Finance Statistics, 2005</w:t>
      </w:r>
      <w:r w:rsidRPr="00AE259B">
        <w:rPr>
          <w:rFonts w:ascii="Arial" w:hAnsi="Arial" w:cs="Arial"/>
        </w:rPr>
        <w:t xml:space="preserve"> (ABS Catalogue No. 5514.0) (the GFS manual) (refer to Note 24).</w:t>
      </w:r>
    </w:p>
    <w:p w:rsidR="00DB6104" w:rsidRPr="00AE259B" w:rsidRDefault="00DB6104" w:rsidP="008A185A">
      <w:pPr>
        <w:rPr>
          <w:rFonts w:ascii="Arial" w:hAnsi="Arial" w:cs="Arial"/>
        </w:rPr>
      </w:pPr>
    </w:p>
    <w:p w:rsidR="008A185A" w:rsidRDefault="008A185A" w:rsidP="008A185A">
      <w:pPr>
        <w:rPr>
          <w:rFonts w:ascii="Arial" w:hAnsi="Arial" w:cs="Arial"/>
        </w:rPr>
      </w:pPr>
      <w:r w:rsidRPr="00AE259B">
        <w:rPr>
          <w:rFonts w:ascii="Arial" w:hAnsi="Arial" w:cs="Arial"/>
        </w:rPr>
        <w:t>‘Transactions’ are those economic flows that are considered to arise as a result of policy decisions, usually interactions between two entities by mutual agreement.  Transactions also include flows within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(e.g. assets provided/given free of charge or for nominal consideration) or where the final consideration is cash (refer to Note 24).</w:t>
      </w:r>
    </w:p>
    <w:p w:rsidR="00DB6104" w:rsidRPr="00AE259B" w:rsidRDefault="00DB6104" w:rsidP="008A185A">
      <w:pPr>
        <w:rPr>
          <w:rFonts w:ascii="Arial" w:hAnsi="Arial" w:cs="Arial"/>
          <w:spacing w:val="-2"/>
        </w:rPr>
      </w:pPr>
    </w:p>
    <w:p w:rsidR="008A185A" w:rsidRPr="00AE259B" w:rsidRDefault="008A185A" w:rsidP="008A185A">
      <w:pPr>
        <w:rPr>
          <w:rFonts w:ascii="Arial" w:hAnsi="Arial" w:cs="Arial"/>
        </w:rPr>
      </w:pPr>
      <w:r w:rsidRPr="00AE259B">
        <w:rPr>
          <w:rFonts w:ascii="Arial" w:hAnsi="Arial" w:cs="Arial"/>
        </w:rPr>
        <w:t>‘Other economic flows’ are changes in volume or changes arising from market re-measurements. They include:</w:t>
      </w:r>
    </w:p>
    <w:p w:rsidR="008A185A" w:rsidRPr="00AE259B" w:rsidRDefault="008A185A" w:rsidP="00A17713">
      <w:pPr>
        <w:widowControl w:val="0"/>
        <w:numPr>
          <w:ilvl w:val="0"/>
          <w:numId w:val="11"/>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gains and losses from disposals;</w:t>
      </w:r>
    </w:p>
    <w:p w:rsidR="008A185A" w:rsidRPr="00AE259B" w:rsidRDefault="008A185A" w:rsidP="00A17713">
      <w:pPr>
        <w:widowControl w:val="0"/>
        <w:numPr>
          <w:ilvl w:val="0"/>
          <w:numId w:val="11"/>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revaluations and impairments of non-financial physical and intangible assets; and</w:t>
      </w:r>
    </w:p>
    <w:p w:rsidR="008A185A" w:rsidRPr="00AE259B" w:rsidRDefault="008A185A" w:rsidP="00A17713">
      <w:pPr>
        <w:widowControl w:val="0"/>
        <w:numPr>
          <w:ilvl w:val="0"/>
          <w:numId w:val="11"/>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fair value changes of financial instruments.</w:t>
      </w:r>
    </w:p>
    <w:p w:rsidR="008A185A" w:rsidRPr="00AE259B" w:rsidRDefault="008A185A" w:rsidP="008A185A">
      <w:pPr>
        <w:rPr>
          <w:rFonts w:ascii="Arial" w:hAnsi="Arial" w:cs="Arial"/>
        </w:rPr>
      </w:pPr>
      <w:r w:rsidRPr="00AE259B">
        <w:rPr>
          <w:rFonts w:ascii="Arial" w:hAnsi="Arial" w:cs="Arial"/>
        </w:rPr>
        <w:t>The net result is equivalent to profit or loss derived in accordance with AASs (refer to Note 24).</w:t>
      </w:r>
    </w:p>
    <w:p w:rsidR="00DB6104" w:rsidRDefault="00DB6104" w:rsidP="00DB6104">
      <w:pPr>
        <w:pStyle w:val="Heading30"/>
      </w:pPr>
    </w:p>
    <w:p w:rsidR="008A185A" w:rsidRPr="00AE259B" w:rsidRDefault="008A185A" w:rsidP="00DB6104">
      <w:pPr>
        <w:pStyle w:val="Heading30"/>
      </w:pPr>
      <w:r w:rsidRPr="00AE259B">
        <w:t>Balance sheet</w:t>
      </w:r>
    </w:p>
    <w:p w:rsidR="008A185A" w:rsidRPr="00AE259B" w:rsidRDefault="008A185A" w:rsidP="008A185A">
      <w:pPr>
        <w:rPr>
          <w:rFonts w:ascii="Arial" w:hAnsi="Arial" w:cs="Arial"/>
        </w:rPr>
      </w:pPr>
      <w:r w:rsidRPr="00AE259B">
        <w:rPr>
          <w:rFonts w:ascii="Arial" w:hAnsi="Arial" w:cs="Arial"/>
        </w:rPr>
        <w:t>Assets and liabilities are presented in liquidity order with assets aggregated into financial assets and non-financial assets.</w:t>
      </w:r>
    </w:p>
    <w:p w:rsidR="008A185A" w:rsidRDefault="008A185A" w:rsidP="008A185A">
      <w:pPr>
        <w:rPr>
          <w:rFonts w:ascii="Arial" w:hAnsi="Arial" w:cs="Arial"/>
        </w:rPr>
      </w:pPr>
      <w:r w:rsidRPr="00AE259B">
        <w:rPr>
          <w:rFonts w:ascii="Arial" w:hAnsi="Arial" w:cs="Arial"/>
        </w:rPr>
        <w:t>Current and non-current assets and liabilities (non-current generally being those assets or liabilities expected to be recovered or settled more than 12 months) are disclosed in the notes, where relevant.</w:t>
      </w:r>
    </w:p>
    <w:p w:rsidR="00DB6104" w:rsidRPr="00AE259B" w:rsidRDefault="00DB6104" w:rsidP="008A185A">
      <w:pPr>
        <w:rPr>
          <w:rFonts w:ascii="Arial" w:hAnsi="Arial" w:cs="Arial"/>
        </w:rPr>
      </w:pPr>
    </w:p>
    <w:p w:rsidR="008A185A" w:rsidRPr="00AE259B" w:rsidRDefault="008A185A" w:rsidP="00DB6104">
      <w:pPr>
        <w:pStyle w:val="Heading30"/>
      </w:pPr>
      <w:r w:rsidRPr="00AE259B">
        <w:t>Cash flow statements</w:t>
      </w:r>
    </w:p>
    <w:p w:rsidR="008A185A" w:rsidRDefault="008A185A" w:rsidP="008A185A">
      <w:pPr>
        <w:rPr>
          <w:rFonts w:ascii="Arial" w:hAnsi="Arial" w:cs="Arial"/>
          <w:i/>
          <w:iCs/>
        </w:rPr>
      </w:pPr>
      <w:r w:rsidRPr="00AE259B">
        <w:rPr>
          <w:rFonts w:ascii="Arial" w:hAnsi="Arial" w:cs="Arial"/>
        </w:rPr>
        <w:t xml:space="preserve">Cash flows are classified according to whether or not they arise from operating activities, investing activities, or financing activities.  This classification is consistent with requirements under AASB 107 </w:t>
      </w:r>
      <w:r w:rsidRPr="00AE259B">
        <w:rPr>
          <w:rFonts w:ascii="Arial" w:hAnsi="Arial" w:cs="Arial"/>
          <w:i/>
          <w:iCs/>
        </w:rPr>
        <w:t>Statement of Cash Flows.</w:t>
      </w:r>
    </w:p>
    <w:p w:rsidR="00DB6104" w:rsidRPr="00AE259B" w:rsidRDefault="00DB6104" w:rsidP="008A185A">
      <w:pPr>
        <w:rPr>
          <w:rFonts w:ascii="Arial" w:hAnsi="Arial" w:cs="Arial"/>
          <w:i/>
          <w:iCs/>
        </w:rPr>
      </w:pPr>
    </w:p>
    <w:p w:rsidR="008A185A" w:rsidRPr="00AE259B" w:rsidRDefault="008A185A" w:rsidP="00DB6104">
      <w:pPr>
        <w:pStyle w:val="Heading30"/>
      </w:pPr>
      <w:r w:rsidRPr="00AE259B">
        <w:t>Statement of changes in equity</w:t>
      </w:r>
    </w:p>
    <w:p w:rsidR="008A185A" w:rsidRDefault="008A185A" w:rsidP="008A185A">
      <w:pPr>
        <w:rPr>
          <w:rFonts w:ascii="Arial" w:hAnsi="Arial" w:cs="Arial"/>
        </w:rPr>
      </w:pPr>
      <w:r w:rsidRPr="00AE259B">
        <w:rPr>
          <w:rFonts w:ascii="Arial" w:hAnsi="Arial" w:cs="Arial"/>
        </w:rPr>
        <w:t>The statement of changes in equity presents reconciliations of non-owner and owner changes in equity from opening balance at the beginning of the reporting period to the closing balance at the end of the reporting period.  It also shows separately changes due to amounts recognised in the ‘Comprehensive result’ and amounts recognised in ‘Other economic flows - other movements in equity’ related to ‘Transactions with owner in its capacity as owner’.</w:t>
      </w:r>
    </w:p>
    <w:p w:rsidR="00DB6104" w:rsidRPr="00AE259B" w:rsidRDefault="00DB6104" w:rsidP="008A185A">
      <w:pPr>
        <w:rPr>
          <w:rFonts w:ascii="Arial" w:hAnsi="Arial" w:cs="Arial"/>
        </w:rPr>
      </w:pPr>
    </w:p>
    <w:p w:rsidR="008A185A" w:rsidRPr="00AE259B" w:rsidRDefault="008A185A" w:rsidP="00DB6104">
      <w:pPr>
        <w:pStyle w:val="Heading30"/>
      </w:pPr>
      <w:r w:rsidRPr="00AE259B">
        <w:t>Rounding</w:t>
      </w:r>
    </w:p>
    <w:p w:rsidR="008A185A" w:rsidRDefault="008A185A" w:rsidP="008A185A">
      <w:pPr>
        <w:rPr>
          <w:rFonts w:ascii="Arial" w:hAnsi="Arial" w:cs="Arial"/>
        </w:rPr>
      </w:pPr>
      <w:r w:rsidRPr="00AE259B">
        <w:rPr>
          <w:rFonts w:ascii="Arial" w:hAnsi="Arial" w:cs="Arial"/>
        </w:rPr>
        <w:t>Amounts in the financial statements have been rounded to the nearest $1,000, unless otherwise stated.  Figures in the financial statements may not equate due to rounding.  Please refer to Note 24 for a style convention for explanations of minor discrepancies resulting from rounding.</w:t>
      </w:r>
    </w:p>
    <w:p w:rsidR="00DB6104" w:rsidRPr="00AE259B" w:rsidRDefault="00DB6104" w:rsidP="008A185A">
      <w:pPr>
        <w:rPr>
          <w:rFonts w:ascii="Arial" w:hAnsi="Arial" w:cs="Arial"/>
        </w:rPr>
      </w:pPr>
    </w:p>
    <w:p w:rsidR="008A185A" w:rsidRPr="00AE259B" w:rsidRDefault="008A185A" w:rsidP="00DB6104">
      <w:pPr>
        <w:pStyle w:val="Heading20"/>
      </w:pPr>
      <w:bookmarkStart w:id="114" w:name="_Toc337537698"/>
      <w:r w:rsidRPr="00AE259B">
        <w:t>(f) Income from transactions</w:t>
      </w:r>
      <w:bookmarkEnd w:id="114"/>
    </w:p>
    <w:p w:rsidR="008A185A" w:rsidRDefault="008A185A" w:rsidP="008A185A">
      <w:pPr>
        <w:rPr>
          <w:rFonts w:ascii="Arial" w:hAnsi="Arial" w:cs="Arial"/>
        </w:rPr>
      </w:pPr>
      <w:r w:rsidRPr="00AE259B">
        <w:rPr>
          <w:rFonts w:ascii="Arial" w:hAnsi="Arial" w:cs="Arial"/>
        </w:rPr>
        <w:t>Income is recognised to the extent that it is probable that the economic benefits will flow to the entity and the income can be reliably measured at fair value.</w:t>
      </w:r>
    </w:p>
    <w:p w:rsidR="00DB6104" w:rsidRPr="00AE259B" w:rsidRDefault="00DB6104" w:rsidP="008A185A">
      <w:pPr>
        <w:rPr>
          <w:rFonts w:ascii="Arial" w:hAnsi="Arial" w:cs="Arial"/>
        </w:rPr>
      </w:pPr>
    </w:p>
    <w:p w:rsidR="008A185A" w:rsidRPr="00AE259B" w:rsidRDefault="008A185A" w:rsidP="00DB6104">
      <w:pPr>
        <w:pStyle w:val="Heading30"/>
      </w:pPr>
      <w:r w:rsidRPr="00AE259B">
        <w:t>Interest</w:t>
      </w:r>
    </w:p>
    <w:p w:rsidR="008A185A" w:rsidRDefault="008A185A" w:rsidP="008A185A">
      <w:pPr>
        <w:rPr>
          <w:rFonts w:ascii="Arial" w:hAnsi="Arial" w:cs="Arial"/>
        </w:rPr>
      </w:pPr>
      <w:r w:rsidRPr="00AE259B">
        <w:rPr>
          <w:rFonts w:ascii="Arial" w:hAnsi="Arial" w:cs="Arial"/>
        </w:rPr>
        <w:t>Interest income includes interest received on bank term deposits and other investments and the unwinding over time of the discount on financial assets. Interest income is recognised using the effective interest method which allocates the interest over the relevant period.</w:t>
      </w:r>
    </w:p>
    <w:p w:rsidR="00DB6104" w:rsidRDefault="00DB6104" w:rsidP="008A185A">
      <w:pPr>
        <w:rPr>
          <w:rFonts w:ascii="Arial" w:hAnsi="Arial" w:cs="Arial"/>
        </w:rPr>
      </w:pPr>
    </w:p>
    <w:p w:rsidR="00E72670" w:rsidRDefault="00E72670" w:rsidP="008A185A">
      <w:pPr>
        <w:rPr>
          <w:rFonts w:ascii="Arial" w:hAnsi="Arial" w:cs="Arial"/>
        </w:rPr>
      </w:pPr>
    </w:p>
    <w:p w:rsidR="00E72670" w:rsidRDefault="00E72670" w:rsidP="008A185A">
      <w:pPr>
        <w:rPr>
          <w:rFonts w:ascii="Arial" w:hAnsi="Arial" w:cs="Arial"/>
        </w:rPr>
      </w:pPr>
    </w:p>
    <w:p w:rsidR="00E72670" w:rsidRPr="00AE259B" w:rsidRDefault="00E72670" w:rsidP="008A185A">
      <w:pPr>
        <w:rPr>
          <w:rFonts w:ascii="Arial" w:hAnsi="Arial" w:cs="Arial"/>
        </w:rPr>
      </w:pPr>
    </w:p>
    <w:p w:rsidR="008A185A" w:rsidRPr="00AE259B" w:rsidRDefault="008A185A" w:rsidP="00DB6104">
      <w:pPr>
        <w:pStyle w:val="Heading30"/>
      </w:pPr>
      <w:r w:rsidRPr="00AE259B">
        <w:t>Sale of services</w:t>
      </w:r>
    </w:p>
    <w:p w:rsidR="008A185A" w:rsidRPr="00DB6104" w:rsidRDefault="008A185A" w:rsidP="00DB6104">
      <w:pPr>
        <w:pStyle w:val="Heading40"/>
      </w:pPr>
      <w:r w:rsidRPr="00DB6104">
        <w:t xml:space="preserve">Income from the supply of services </w:t>
      </w:r>
    </w:p>
    <w:p w:rsidR="008A185A" w:rsidRPr="00DB6104" w:rsidRDefault="008A185A" w:rsidP="008A185A">
      <w:pPr>
        <w:rPr>
          <w:rFonts w:ascii="Arial" w:hAnsi="Arial" w:cs="Arial"/>
        </w:rPr>
      </w:pPr>
      <w:r w:rsidRPr="00DB6104">
        <w:rPr>
          <w:rFonts w:ascii="Arial" w:hAnsi="Arial" w:cs="Arial"/>
        </w:rPr>
        <w:t>Income from the supply of services is recognised by reference to the stage of completion of services being performed. The income is recognised when:</w:t>
      </w:r>
    </w:p>
    <w:p w:rsidR="008A185A" w:rsidRPr="00DB6104" w:rsidRDefault="008A185A" w:rsidP="008A185A">
      <w:pPr>
        <w:pStyle w:val="Bullets"/>
        <w:ind w:left="284" w:hanging="284"/>
        <w:rPr>
          <w:rFonts w:ascii="Arial" w:hAnsi="Arial" w:cs="Arial"/>
          <w:sz w:val="24"/>
          <w:szCs w:val="24"/>
        </w:rPr>
      </w:pPr>
      <w:r w:rsidRPr="00DB6104">
        <w:rPr>
          <w:rFonts w:ascii="Arial" w:hAnsi="Arial" w:cs="Arial"/>
          <w:sz w:val="24"/>
          <w:szCs w:val="24"/>
        </w:rPr>
        <w:t>the amount of income, stage of completion and transaction costs incurred can be reliably measured; and</w:t>
      </w:r>
    </w:p>
    <w:p w:rsidR="008A185A" w:rsidRPr="00DB6104" w:rsidRDefault="008A185A" w:rsidP="008A185A">
      <w:pPr>
        <w:pStyle w:val="Bullets"/>
        <w:ind w:left="284" w:hanging="284"/>
        <w:rPr>
          <w:rFonts w:ascii="Arial" w:hAnsi="Arial" w:cs="Arial"/>
          <w:sz w:val="24"/>
          <w:szCs w:val="24"/>
        </w:rPr>
      </w:pPr>
      <w:r w:rsidRPr="00DB6104">
        <w:rPr>
          <w:rFonts w:ascii="Arial" w:hAnsi="Arial" w:cs="Arial"/>
          <w:sz w:val="24"/>
          <w:szCs w:val="24"/>
        </w:rPr>
        <w:t>it is probable that the economic benefits associated with the transaction will flow to PTV.</w:t>
      </w:r>
    </w:p>
    <w:p w:rsidR="00DB6104" w:rsidRDefault="00DB6104" w:rsidP="00DB6104">
      <w:pPr>
        <w:pStyle w:val="Heading30"/>
      </w:pPr>
    </w:p>
    <w:p w:rsidR="008A185A" w:rsidRPr="00AE259B" w:rsidRDefault="008A185A" w:rsidP="00DB6104">
      <w:pPr>
        <w:pStyle w:val="Heading30"/>
      </w:pPr>
      <w:r w:rsidRPr="00AE259B">
        <w:t>Grants from State Government</w:t>
      </w:r>
    </w:p>
    <w:p w:rsidR="008A185A" w:rsidRPr="00AE259B" w:rsidRDefault="008A185A" w:rsidP="008A185A">
      <w:pPr>
        <w:rPr>
          <w:rFonts w:ascii="Arial" w:hAnsi="Arial" w:cs="Arial"/>
        </w:rPr>
      </w:pPr>
      <w:r w:rsidRPr="00AE259B">
        <w:rPr>
          <w:rFonts w:ascii="Arial" w:hAnsi="Arial" w:cs="Arial"/>
        </w:rPr>
        <w:t>Income from grants from State Government is recognised when PTV obtains control over the contribution.</w:t>
      </w:r>
    </w:p>
    <w:p w:rsidR="00DB6104" w:rsidRDefault="00DB6104" w:rsidP="00DB6104">
      <w:pPr>
        <w:pStyle w:val="Heading30"/>
      </w:pPr>
    </w:p>
    <w:p w:rsidR="008A185A" w:rsidRPr="00AE259B" w:rsidRDefault="008A185A" w:rsidP="00DB6104">
      <w:pPr>
        <w:pStyle w:val="Heading30"/>
      </w:pPr>
      <w:r w:rsidRPr="00AE259B">
        <w:t>Fair value of assets and services received free of charge or for nominal consideration</w:t>
      </w:r>
    </w:p>
    <w:p w:rsidR="008A185A" w:rsidRDefault="008A185A" w:rsidP="008A185A">
      <w:pPr>
        <w:rPr>
          <w:rFonts w:ascii="Arial" w:hAnsi="Arial" w:cs="Arial"/>
        </w:rPr>
      </w:pPr>
      <w:r w:rsidRPr="00AE259B">
        <w:rPr>
          <w:rFonts w:ascii="Arial" w:hAnsi="Arial" w:cs="Arial"/>
        </w:rPr>
        <w:t>Contributions of resources received free of charge or for nominal consideration are recognised at fair value when control is obtained over them, irrespective of whether these contributions are subject to restrictions or conditions over their use.  Contributions in the form of services are only recognised when a fair value can be reliably determined and the services would have been purchased if not received as a donation.</w:t>
      </w:r>
    </w:p>
    <w:p w:rsidR="00DB6104" w:rsidRPr="00AE259B" w:rsidRDefault="00DB6104" w:rsidP="008A185A">
      <w:pPr>
        <w:rPr>
          <w:rFonts w:ascii="Arial" w:hAnsi="Arial" w:cs="Arial"/>
        </w:rPr>
      </w:pPr>
    </w:p>
    <w:p w:rsidR="008A185A" w:rsidRPr="00AE259B" w:rsidRDefault="008A185A" w:rsidP="00DB6104">
      <w:pPr>
        <w:pStyle w:val="Heading30"/>
      </w:pPr>
      <w:r w:rsidRPr="00AE259B">
        <w:t>Operators’ contribution for marketing and communications</w:t>
      </w:r>
    </w:p>
    <w:p w:rsidR="008A185A" w:rsidRDefault="008A185A" w:rsidP="008A185A">
      <w:pPr>
        <w:rPr>
          <w:rFonts w:ascii="Arial" w:hAnsi="Arial" w:cs="Arial"/>
        </w:rPr>
      </w:pPr>
      <w:r w:rsidRPr="00AE259B">
        <w:rPr>
          <w:rFonts w:ascii="Arial" w:hAnsi="Arial" w:cs="Arial"/>
        </w:rPr>
        <w:t>Under the franchise agreements in relation to provision for transport services, transport service operators have to make a contribution towards the costs of marketing and communications.  The contribution is recognised as revenue when deduction for the contribution is made from payments to the transport service operators.</w:t>
      </w:r>
    </w:p>
    <w:p w:rsidR="00DB6104" w:rsidRPr="00AE259B" w:rsidRDefault="00DB6104" w:rsidP="008A185A">
      <w:pPr>
        <w:rPr>
          <w:rFonts w:ascii="Arial" w:hAnsi="Arial" w:cs="Arial"/>
        </w:rPr>
      </w:pPr>
    </w:p>
    <w:p w:rsidR="008A185A" w:rsidRPr="00AE259B" w:rsidRDefault="008A185A" w:rsidP="00DB6104">
      <w:pPr>
        <w:pStyle w:val="Heading30"/>
      </w:pPr>
      <w:r w:rsidRPr="00AE259B">
        <w:t>Issuance fee of myki cards</w:t>
      </w:r>
    </w:p>
    <w:p w:rsidR="008A185A" w:rsidRDefault="008A185A" w:rsidP="008A185A">
      <w:pPr>
        <w:rPr>
          <w:rFonts w:ascii="Arial" w:hAnsi="Arial" w:cs="Arial"/>
        </w:rPr>
      </w:pPr>
      <w:r w:rsidRPr="00AE259B">
        <w:rPr>
          <w:rFonts w:ascii="Arial" w:hAnsi="Arial" w:cs="Arial"/>
        </w:rPr>
        <w:t>Issuance fee of myki cards is recognised at the time of sale of myki cards.</w:t>
      </w:r>
    </w:p>
    <w:p w:rsidR="00DB6104" w:rsidRPr="00AE259B" w:rsidRDefault="00DB6104" w:rsidP="008A185A">
      <w:pPr>
        <w:rPr>
          <w:rFonts w:ascii="Arial" w:hAnsi="Arial" w:cs="Arial"/>
        </w:rPr>
      </w:pPr>
    </w:p>
    <w:p w:rsidR="008A185A" w:rsidRPr="00AE259B" w:rsidRDefault="008A185A" w:rsidP="00DB6104">
      <w:pPr>
        <w:pStyle w:val="Heading30"/>
      </w:pPr>
      <w:r w:rsidRPr="00AE259B">
        <w:t>Other income</w:t>
      </w:r>
    </w:p>
    <w:p w:rsidR="008A185A" w:rsidRDefault="008A185A" w:rsidP="008A185A">
      <w:pPr>
        <w:rPr>
          <w:rFonts w:ascii="Arial" w:hAnsi="Arial" w:cs="Arial"/>
        </w:rPr>
      </w:pPr>
      <w:r w:rsidRPr="00AE259B">
        <w:rPr>
          <w:rFonts w:ascii="Arial" w:hAnsi="Arial" w:cs="Arial"/>
        </w:rPr>
        <w:t>Other income includes rental income and other miscellaneous items which are one-off items.</w:t>
      </w:r>
    </w:p>
    <w:p w:rsidR="00DB6104" w:rsidRPr="00AE259B" w:rsidRDefault="00DB6104" w:rsidP="008A185A">
      <w:pPr>
        <w:rPr>
          <w:rFonts w:ascii="Arial" w:hAnsi="Arial" w:cs="Arial"/>
        </w:rPr>
      </w:pPr>
    </w:p>
    <w:p w:rsidR="008A185A" w:rsidRPr="00AE259B" w:rsidRDefault="008A185A" w:rsidP="00DB6104">
      <w:pPr>
        <w:pStyle w:val="Heading20"/>
      </w:pPr>
      <w:bookmarkStart w:id="115" w:name="_Toc337537699"/>
      <w:r w:rsidRPr="00AE259B">
        <w:t>(g) Expenses from transactions</w:t>
      </w:r>
      <w:bookmarkEnd w:id="115"/>
    </w:p>
    <w:p w:rsidR="008A185A" w:rsidRDefault="008A185A" w:rsidP="008A185A">
      <w:pPr>
        <w:rPr>
          <w:rFonts w:ascii="Arial" w:hAnsi="Arial" w:cs="Arial"/>
        </w:rPr>
      </w:pPr>
      <w:r w:rsidRPr="00AE259B">
        <w:rPr>
          <w:rFonts w:ascii="Arial" w:hAnsi="Arial" w:cs="Arial"/>
        </w:rPr>
        <w:t>Expenses are recognised as they are incurred and reported in the financial year to which they relate.</w:t>
      </w:r>
    </w:p>
    <w:p w:rsidR="00DB6104" w:rsidRPr="00AE259B" w:rsidRDefault="00DB6104" w:rsidP="008A185A">
      <w:pPr>
        <w:rPr>
          <w:rFonts w:ascii="Arial" w:hAnsi="Arial" w:cs="Arial"/>
        </w:rPr>
      </w:pPr>
    </w:p>
    <w:p w:rsidR="008A185A" w:rsidRPr="00AE259B" w:rsidRDefault="008A185A" w:rsidP="00DB6104">
      <w:pPr>
        <w:pStyle w:val="Heading30"/>
      </w:pPr>
      <w:r w:rsidRPr="00AE259B">
        <w:t>Employee expenses</w:t>
      </w:r>
    </w:p>
    <w:p w:rsidR="008A185A" w:rsidRPr="00AE259B" w:rsidRDefault="008A185A" w:rsidP="008A185A">
      <w:pPr>
        <w:rPr>
          <w:rFonts w:ascii="Arial" w:hAnsi="Arial" w:cs="Arial"/>
        </w:rPr>
      </w:pPr>
      <w:r w:rsidRPr="00AE259B">
        <w:rPr>
          <w:rFonts w:ascii="Arial" w:hAnsi="Arial" w:cs="Arial"/>
        </w:rPr>
        <w:t>Refer to the section in Note 1(l) regarding employee benefits.</w:t>
      </w:r>
    </w:p>
    <w:p w:rsidR="008A185A" w:rsidRDefault="008A185A" w:rsidP="008A185A">
      <w:pPr>
        <w:rPr>
          <w:rFonts w:ascii="Arial" w:hAnsi="Arial" w:cs="Arial"/>
        </w:rPr>
      </w:pPr>
      <w:r w:rsidRPr="00AE259B">
        <w:rPr>
          <w:rFonts w:ascii="Arial" w:hAnsi="Arial" w:cs="Arial"/>
        </w:rPr>
        <w:t>These expenses include all costs related to employment (other than superannuation which is accounted for separately) including wages and salaries, payroll tax, fringe benefits tax, leave entitlements, redundancy payments and WorkCover premiums.</w:t>
      </w:r>
    </w:p>
    <w:p w:rsidR="00DB6104" w:rsidRDefault="00DB6104" w:rsidP="008A185A">
      <w:pPr>
        <w:rPr>
          <w:rFonts w:ascii="Arial" w:hAnsi="Arial" w:cs="Arial"/>
        </w:rPr>
      </w:pPr>
    </w:p>
    <w:p w:rsidR="00951FFC" w:rsidRDefault="00951FFC" w:rsidP="008A185A">
      <w:pPr>
        <w:rPr>
          <w:rFonts w:ascii="Arial" w:hAnsi="Arial" w:cs="Arial"/>
        </w:rPr>
      </w:pPr>
    </w:p>
    <w:p w:rsidR="00951FFC" w:rsidRPr="00AE259B" w:rsidRDefault="00951FFC" w:rsidP="008A185A">
      <w:pPr>
        <w:rPr>
          <w:rFonts w:ascii="Arial" w:hAnsi="Arial" w:cs="Arial"/>
        </w:rPr>
      </w:pPr>
    </w:p>
    <w:p w:rsidR="008A185A" w:rsidRPr="00AE259B" w:rsidRDefault="008A185A" w:rsidP="00DB6104">
      <w:pPr>
        <w:pStyle w:val="Heading30"/>
        <w:rPr>
          <w:sz w:val="22"/>
        </w:rPr>
      </w:pPr>
      <w:r w:rsidRPr="00AE259B">
        <w:t>Superannuation</w:t>
      </w:r>
    </w:p>
    <w:p w:rsidR="008A185A" w:rsidRDefault="008A185A" w:rsidP="008A185A">
      <w:pPr>
        <w:rPr>
          <w:rFonts w:ascii="Arial" w:hAnsi="Arial" w:cs="Arial"/>
        </w:rPr>
      </w:pPr>
      <w:r w:rsidRPr="00AE259B">
        <w:rPr>
          <w:rFonts w:ascii="Arial" w:hAnsi="Arial" w:cs="Arial"/>
        </w:rPr>
        <w:t>The amount recognised in the comprehensive operating statement is the employer contributions for members of both defined benefit and defined contribution superannuation plans that are paid or payable during the reporting period.</w:t>
      </w:r>
    </w:p>
    <w:p w:rsidR="00DB6104" w:rsidRPr="00AE259B"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The Department of Treasury and Finance (DTF) in their Annual Financial Statements, disclose on behalf of the State as the sponsoring employer, the net defined benefit cost related to the members of these plans as an administered liability. Refer to DTF’s Annual Financial Statements for more detailed disclosures in relation to these plans.</w:t>
      </w:r>
    </w:p>
    <w:p w:rsidR="00DB6104" w:rsidRDefault="00DB6104" w:rsidP="00DB6104">
      <w:pPr>
        <w:pStyle w:val="Heading30"/>
      </w:pPr>
    </w:p>
    <w:p w:rsidR="008A185A" w:rsidRPr="00AE259B" w:rsidRDefault="008A185A" w:rsidP="00DB6104">
      <w:pPr>
        <w:pStyle w:val="Heading30"/>
      </w:pPr>
      <w:r w:rsidRPr="00AE259B">
        <w:t>Depreciation and amortisation</w:t>
      </w:r>
    </w:p>
    <w:p w:rsidR="008A185A" w:rsidRDefault="008A185A" w:rsidP="008A185A">
      <w:pPr>
        <w:rPr>
          <w:rFonts w:ascii="Arial" w:hAnsi="Arial" w:cs="Arial"/>
        </w:rPr>
      </w:pPr>
      <w:r w:rsidRPr="00AE259B">
        <w:rPr>
          <w:rFonts w:ascii="Arial" w:hAnsi="Arial" w:cs="Arial"/>
        </w:rPr>
        <w:t>All infrastructure assets, buildings, plant and equipment and other non-current physical assets (excluding items under operating leases, land and investment properties) that have a finite useful life are depreciated. Depreciation is generally calculated on a straight-line basis, at rates that allocate the asset’s value, less any estimated residual value, over its estimated useful life.</w:t>
      </w:r>
    </w:p>
    <w:p w:rsidR="00DB6104" w:rsidRPr="00AE259B" w:rsidRDefault="00DB6104" w:rsidP="008A185A">
      <w:pPr>
        <w:rPr>
          <w:rFonts w:ascii="Arial" w:hAnsi="Arial" w:cs="Arial"/>
        </w:rPr>
      </w:pPr>
    </w:p>
    <w:p w:rsidR="008A185A" w:rsidRDefault="008A185A" w:rsidP="008A185A">
      <w:pPr>
        <w:rPr>
          <w:rFonts w:ascii="Arial" w:hAnsi="Arial" w:cs="Arial"/>
        </w:rPr>
      </w:pPr>
      <w:r w:rsidRPr="00AE259B">
        <w:rPr>
          <w:rFonts w:ascii="Arial" w:hAnsi="Arial" w:cs="Arial"/>
        </w:rPr>
        <w:t xml:space="preserve">The estimated useful lives, residual values and depreciation methods are reviewed at the end of each annual reporting period and adjustments made where appropriate. </w:t>
      </w:r>
    </w:p>
    <w:p w:rsidR="00DB6104" w:rsidRPr="00AE259B" w:rsidRDefault="00DB6104" w:rsidP="008A185A">
      <w:pPr>
        <w:rPr>
          <w:rFonts w:ascii="Arial" w:hAnsi="Arial" w:cs="Arial"/>
        </w:rPr>
      </w:pPr>
    </w:p>
    <w:p w:rsidR="008A185A" w:rsidRDefault="008A185A" w:rsidP="008A185A">
      <w:pPr>
        <w:rPr>
          <w:rFonts w:ascii="Arial" w:hAnsi="Arial" w:cs="Arial"/>
        </w:rPr>
      </w:pPr>
      <w:r w:rsidRPr="00AE259B">
        <w:rPr>
          <w:rFonts w:ascii="Arial" w:hAnsi="Arial" w:cs="Arial"/>
        </w:rPr>
        <w:t>The following are typical estimated useful lives for the different asset classes for current year and prior period.</w:t>
      </w:r>
    </w:p>
    <w:p w:rsidR="00DB6104" w:rsidRPr="00AE259B" w:rsidRDefault="00DB6104" w:rsidP="008A185A">
      <w:pPr>
        <w:rPr>
          <w:rFonts w:ascii="Arial" w:hAnsi="Arial" w:cs="Arial"/>
        </w:rPr>
      </w:pPr>
    </w:p>
    <w:tbl>
      <w:tblPr>
        <w:tblW w:w="5043" w:type="dxa"/>
        <w:tblInd w:w="113" w:type="dxa"/>
        <w:tblLayout w:type="fixed"/>
        <w:tblCellMar>
          <w:left w:w="0" w:type="dxa"/>
          <w:right w:w="0" w:type="dxa"/>
        </w:tblCellMar>
        <w:tblLook w:val="0000" w:firstRow="0" w:lastRow="0" w:firstColumn="0" w:lastColumn="0" w:noHBand="0" w:noVBand="0"/>
      </w:tblPr>
      <w:tblGrid>
        <w:gridCol w:w="2751"/>
        <w:gridCol w:w="2292"/>
      </w:tblGrid>
      <w:tr w:rsidR="008A185A" w:rsidRPr="00AE259B" w:rsidTr="008A185A">
        <w:trPr>
          <w:cantSplit/>
          <w:trHeight w:hRule="exact" w:val="564"/>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jc w:val="left"/>
              <w:rPr>
                <w:rFonts w:ascii="Arial" w:hAnsi="Arial" w:cs="Arial"/>
              </w:rPr>
            </w:pPr>
            <w:r w:rsidRPr="00AE259B">
              <w:rPr>
                <w:rFonts w:ascii="Arial" w:hAnsi="Arial" w:cs="Arial"/>
              </w:rPr>
              <w:t>Asset category</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jc w:val="left"/>
              <w:rPr>
                <w:rFonts w:ascii="Arial" w:hAnsi="Arial" w:cs="Arial"/>
              </w:rPr>
            </w:pPr>
            <w:r w:rsidRPr="00AE259B">
              <w:rPr>
                <w:rFonts w:ascii="Arial" w:hAnsi="Arial" w:cs="Arial"/>
              </w:rPr>
              <w:t>Expected useful life (years)</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Buildings</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22–80</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Infrastructure</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20–185</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Plant and equipment</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 xml:space="preserve">- Furniture and fittings </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10</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 Computer equipment</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3–4</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 Field plant and scientific equipment</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10–30</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 Office machines and equipment</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5</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IT infrastructure</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4</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Leasehold improvements</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5–15</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Leased vehicles*</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3</w:t>
            </w:r>
            <w:r w:rsidRPr="00AE259B">
              <w:rPr>
                <w:rFonts w:ascii="Arial" w:hAnsi="Arial" w:cs="Arial"/>
                <w:b/>
                <w:vertAlign w:val="superscript"/>
              </w:rPr>
              <w:t>*</w:t>
            </w:r>
          </w:p>
        </w:tc>
      </w:tr>
      <w:tr w:rsidR="008A185A" w:rsidRPr="00AE259B" w:rsidTr="008A185A">
        <w:trPr>
          <w:cantSplit/>
          <w:trHeight w:hRule="exact" w:val="308"/>
        </w:trPr>
        <w:tc>
          <w:tcPr>
            <w:tcW w:w="2751"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Cultural assets</w:t>
            </w:r>
          </w:p>
        </w:tc>
        <w:tc>
          <w:tcPr>
            <w:tcW w:w="229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20–100</w:t>
            </w:r>
          </w:p>
        </w:tc>
      </w:tr>
      <w:tr w:rsidR="008A185A" w:rsidRPr="00AE259B" w:rsidTr="008A185A">
        <w:trPr>
          <w:cantSplit/>
          <w:trHeight w:hRule="exact" w:val="928"/>
        </w:trPr>
        <w:tc>
          <w:tcPr>
            <w:tcW w:w="5043"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57" w:type="dxa"/>
              <w:right w:w="113" w:type="dxa"/>
            </w:tcMar>
            <w:vAlign w:val="center"/>
          </w:tcPr>
          <w:p w:rsidR="008A185A" w:rsidRPr="00AE259B" w:rsidRDefault="008A185A" w:rsidP="008A185A">
            <w:pPr>
              <w:pStyle w:val="smallbodytext"/>
              <w:rPr>
                <w:rFonts w:ascii="Arial" w:hAnsi="Arial" w:cs="Arial"/>
              </w:rPr>
            </w:pPr>
            <w:r w:rsidRPr="00AE259B">
              <w:rPr>
                <w:rFonts w:ascii="Arial" w:hAnsi="Arial" w:cs="Arial"/>
              </w:rPr>
              <w:t xml:space="preserve">* Leased vehicles are depreciated on a straight-line basis to their residual value (cost less estimated projected market value) over the period of the lease – three years. </w:t>
            </w:r>
          </w:p>
          <w:p w:rsidR="008A185A" w:rsidRPr="00AE259B" w:rsidRDefault="008A185A" w:rsidP="008A185A">
            <w:pPr>
              <w:pStyle w:val="Tablecopy"/>
              <w:rPr>
                <w:rFonts w:ascii="Arial" w:hAnsi="Arial" w:cs="Arial"/>
              </w:rPr>
            </w:pPr>
          </w:p>
        </w:tc>
      </w:tr>
    </w:tbl>
    <w:p w:rsidR="00DB6104" w:rsidRDefault="00DB6104" w:rsidP="008A185A">
      <w:pPr>
        <w:rPr>
          <w:rFonts w:ascii="Arial" w:hAnsi="Arial" w:cs="Arial"/>
        </w:rPr>
      </w:pPr>
    </w:p>
    <w:p w:rsidR="00951FFC" w:rsidRDefault="00951FFC">
      <w:pPr>
        <w:rPr>
          <w:rFonts w:ascii="Arial" w:hAnsi="Arial" w:cs="Arial"/>
        </w:rPr>
      </w:pPr>
      <w:r>
        <w:rPr>
          <w:rFonts w:ascii="Arial" w:hAnsi="Arial" w:cs="Arial"/>
        </w:rPr>
        <w:br w:type="page"/>
      </w:r>
    </w:p>
    <w:p w:rsidR="008A185A" w:rsidRDefault="008A185A" w:rsidP="008A185A">
      <w:pPr>
        <w:rPr>
          <w:rFonts w:ascii="Arial" w:hAnsi="Arial" w:cs="Arial"/>
        </w:rPr>
      </w:pPr>
      <w:r w:rsidRPr="00AE259B">
        <w:rPr>
          <w:rFonts w:ascii="Arial" w:hAnsi="Arial" w:cs="Arial"/>
        </w:rPr>
        <w:t>Land which is considered to have an indefinite life, is not depreciated.  Depreciation is not recognised in respect of this asset because its service potential has not, in any material sense, been consumed during the reporting period.</w:t>
      </w:r>
    </w:p>
    <w:p w:rsidR="00DB6104" w:rsidRPr="00AE259B"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Intangible produced assets with finite useful lives are amortised as an expense from transactions on a systematic (typically straight-line) basis over the asset's useful life.  Amortisation begins when the asset is available for use, that is, when it is in the location and condition necessary for it to be capable of operating in the manner intended by management.</w:t>
      </w:r>
    </w:p>
    <w:p w:rsidR="008A185A" w:rsidRPr="00AE259B" w:rsidRDefault="008A185A" w:rsidP="008A185A">
      <w:pPr>
        <w:rPr>
          <w:rFonts w:ascii="Arial" w:hAnsi="Arial" w:cs="Arial"/>
        </w:rPr>
      </w:pPr>
      <w:r w:rsidRPr="00AE259B">
        <w:rPr>
          <w:rFonts w:ascii="Arial" w:hAnsi="Arial" w:cs="Arial"/>
        </w:rPr>
        <w:t>Intangible assets with indefinite useful lives are not depreciated or amortised but are tested annually for impairment. (Refer Note 1(k)).</w:t>
      </w:r>
    </w:p>
    <w:p w:rsidR="00DB6104" w:rsidRDefault="00DB6104" w:rsidP="00DB6104">
      <w:pPr>
        <w:pStyle w:val="Heading30"/>
      </w:pPr>
    </w:p>
    <w:p w:rsidR="008A185A" w:rsidRPr="00AE259B" w:rsidRDefault="008A185A" w:rsidP="00DB6104">
      <w:pPr>
        <w:pStyle w:val="Heading30"/>
      </w:pPr>
      <w:r w:rsidRPr="00AE259B">
        <w:t>Interest expense</w:t>
      </w:r>
    </w:p>
    <w:p w:rsidR="008A185A" w:rsidRPr="00AE259B" w:rsidRDefault="008A185A" w:rsidP="008A185A">
      <w:pPr>
        <w:rPr>
          <w:rFonts w:ascii="Arial" w:hAnsi="Arial" w:cs="Arial"/>
        </w:rPr>
      </w:pPr>
      <w:r w:rsidRPr="00AE259B">
        <w:rPr>
          <w:rFonts w:ascii="Arial" w:hAnsi="Arial" w:cs="Arial"/>
        </w:rPr>
        <w:t>Interest expense is recognised as expenses in the period in which it is incurred.  Refer to the Glossary of terms and style convention in Note 24 for an explanation of interest expense items.</w:t>
      </w:r>
    </w:p>
    <w:p w:rsidR="00DB6104" w:rsidRDefault="00DB6104" w:rsidP="00DB6104">
      <w:pPr>
        <w:pStyle w:val="Heading30"/>
      </w:pPr>
    </w:p>
    <w:p w:rsidR="008A185A" w:rsidRPr="00AE259B" w:rsidRDefault="008A185A" w:rsidP="00DB6104">
      <w:pPr>
        <w:pStyle w:val="Heading30"/>
      </w:pPr>
      <w:r w:rsidRPr="00AE259B">
        <w:t>Grants and other transfers</w:t>
      </w:r>
    </w:p>
    <w:p w:rsidR="008A185A" w:rsidRPr="00AE259B" w:rsidRDefault="008A185A" w:rsidP="008A185A">
      <w:pPr>
        <w:rPr>
          <w:rFonts w:ascii="Arial" w:hAnsi="Arial" w:cs="Arial"/>
        </w:rPr>
      </w:pPr>
      <w:r w:rsidRPr="00AE259B">
        <w:rPr>
          <w:rFonts w:ascii="Arial" w:hAnsi="Arial" w:cs="Arial"/>
        </w:rPr>
        <w:t>Grants and other transfers to third parties (other than contribution to owners) are recognised as an expense in the reporting period in which they are paid or payable.  They include transactions such as grants and subsidies made to State owned agencies.  Refer to Glossary of terms and style conventions in Note 24 for an explanation of grants and other transfers.</w:t>
      </w:r>
    </w:p>
    <w:p w:rsidR="00DB6104" w:rsidRDefault="00DB6104" w:rsidP="00DB6104">
      <w:pPr>
        <w:pStyle w:val="Heading30"/>
      </w:pPr>
    </w:p>
    <w:p w:rsidR="008A185A" w:rsidRPr="00AE259B" w:rsidRDefault="008A185A" w:rsidP="00DB6104">
      <w:pPr>
        <w:pStyle w:val="Heading30"/>
      </w:pPr>
      <w:r w:rsidRPr="00AE259B">
        <w:t>Capital asset charge</w:t>
      </w:r>
    </w:p>
    <w:p w:rsidR="008A185A" w:rsidRPr="00AE259B" w:rsidRDefault="008A185A" w:rsidP="008A185A">
      <w:pPr>
        <w:rPr>
          <w:rFonts w:ascii="Arial" w:hAnsi="Arial" w:cs="Arial"/>
        </w:rPr>
      </w:pPr>
      <w:r w:rsidRPr="00AE259B">
        <w:rPr>
          <w:rFonts w:ascii="Arial" w:hAnsi="Arial" w:cs="Arial"/>
        </w:rPr>
        <w:t>The capital asset charge is calculated on the budgeted carrying amount of applicable non-financial physical assets.</w:t>
      </w:r>
    </w:p>
    <w:p w:rsidR="00DB6104" w:rsidRDefault="00DB6104" w:rsidP="00DB6104">
      <w:pPr>
        <w:pStyle w:val="Heading30"/>
      </w:pPr>
    </w:p>
    <w:p w:rsidR="008A185A" w:rsidRPr="00AE259B" w:rsidRDefault="008A185A" w:rsidP="00DB6104">
      <w:pPr>
        <w:pStyle w:val="Heading30"/>
      </w:pPr>
      <w:r w:rsidRPr="00AE259B">
        <w:t>Payments to service providers and transport agencies</w:t>
      </w:r>
    </w:p>
    <w:p w:rsidR="008A185A" w:rsidRPr="00AE259B" w:rsidRDefault="008A185A" w:rsidP="008A185A">
      <w:pPr>
        <w:rPr>
          <w:rFonts w:ascii="Arial" w:hAnsi="Arial" w:cs="Arial"/>
        </w:rPr>
      </w:pPr>
      <w:r w:rsidRPr="00AE259B">
        <w:rPr>
          <w:rFonts w:ascii="Arial" w:hAnsi="Arial" w:cs="Arial"/>
        </w:rPr>
        <w:t>Payments to service providers and transport agencies are recognised as an expense in the reporting period in which they are paid or payable.  They include transactions such as grants, subsidies and other transfer payments to other agencies, such as V/Line Pty Ltd (V/Line).</w:t>
      </w:r>
    </w:p>
    <w:p w:rsidR="00DB6104" w:rsidRDefault="00DB6104" w:rsidP="00DB6104">
      <w:pPr>
        <w:pStyle w:val="Heading30"/>
      </w:pPr>
    </w:p>
    <w:p w:rsidR="008A185A" w:rsidRPr="00AE259B" w:rsidRDefault="008A185A" w:rsidP="00DB6104">
      <w:pPr>
        <w:pStyle w:val="Heading30"/>
      </w:pPr>
      <w:r w:rsidRPr="00AE259B">
        <w:t>Supplies and services</w:t>
      </w:r>
    </w:p>
    <w:p w:rsidR="008A185A" w:rsidRPr="00AE259B" w:rsidRDefault="008A185A" w:rsidP="008A185A">
      <w:pPr>
        <w:rPr>
          <w:rFonts w:ascii="Arial" w:hAnsi="Arial" w:cs="Arial"/>
        </w:rPr>
      </w:pPr>
      <w:r w:rsidRPr="00AE259B">
        <w:rPr>
          <w:rFonts w:ascii="Arial" w:hAnsi="Arial" w:cs="Arial"/>
        </w:rPr>
        <w:t>Supplies and services costs are recognised as expenses in the reporting period in which they are incurred.  The carrying amounts of any inventories held for distribution are expensed when distributed.</w:t>
      </w:r>
    </w:p>
    <w:p w:rsidR="00DB6104" w:rsidRDefault="00DB6104" w:rsidP="00DB6104">
      <w:pPr>
        <w:pStyle w:val="Heading30"/>
      </w:pPr>
    </w:p>
    <w:p w:rsidR="008A185A" w:rsidRPr="00AE259B" w:rsidRDefault="008A185A" w:rsidP="00DB6104">
      <w:pPr>
        <w:pStyle w:val="Heading30"/>
      </w:pPr>
      <w:r w:rsidRPr="00AE259B">
        <w:t>Bad and doubtful debts</w:t>
      </w:r>
    </w:p>
    <w:p w:rsidR="008A185A" w:rsidRPr="00AE259B" w:rsidRDefault="008A185A" w:rsidP="008A185A">
      <w:pPr>
        <w:rPr>
          <w:rFonts w:ascii="Arial" w:hAnsi="Arial" w:cs="Arial"/>
        </w:rPr>
      </w:pPr>
      <w:r w:rsidRPr="00AE259B">
        <w:rPr>
          <w:rFonts w:ascii="Arial" w:hAnsi="Arial" w:cs="Arial"/>
        </w:rPr>
        <w:t>Refer to Impairment of financial assets in Note 1(j).</w:t>
      </w:r>
    </w:p>
    <w:p w:rsidR="00DB6104" w:rsidRDefault="00DB6104" w:rsidP="00DB6104">
      <w:pPr>
        <w:pStyle w:val="Heading30"/>
      </w:pPr>
    </w:p>
    <w:p w:rsidR="008A185A" w:rsidRPr="00AE259B" w:rsidRDefault="008A185A" w:rsidP="00DB6104">
      <w:pPr>
        <w:pStyle w:val="Heading30"/>
      </w:pPr>
      <w:r w:rsidRPr="00AE259B">
        <w:t xml:space="preserve">Fair value of assets and services provided free of charge </w:t>
      </w:r>
    </w:p>
    <w:p w:rsidR="008A185A" w:rsidRDefault="008A185A" w:rsidP="008A185A">
      <w:pPr>
        <w:rPr>
          <w:rFonts w:ascii="Arial" w:hAnsi="Arial" w:cs="Arial"/>
        </w:rPr>
      </w:pPr>
      <w:r w:rsidRPr="00AE259B">
        <w:rPr>
          <w:rFonts w:ascii="Arial" w:hAnsi="Arial" w:cs="Arial"/>
        </w:rPr>
        <w:t xml:space="preserve">Contributions of resources provided free of charge or for nominal consideration are recognised at their fair value when the transferee obtains control over them, irrespective of whether restrictions or conditions are imposed over the use of the contributions, unless received from a government department or another agency as a consequence of a restructuring of administrative arrangements. In the latter case, such a transfer will be recognised at its carrying value. </w:t>
      </w:r>
    </w:p>
    <w:p w:rsidR="00DB6104" w:rsidRPr="00AE259B" w:rsidRDefault="00DB6104" w:rsidP="008A185A">
      <w:pPr>
        <w:rPr>
          <w:rFonts w:ascii="Arial" w:hAnsi="Arial" w:cs="Arial"/>
        </w:rPr>
      </w:pPr>
    </w:p>
    <w:p w:rsidR="008A185A" w:rsidRDefault="008A185A" w:rsidP="008A185A">
      <w:pPr>
        <w:rPr>
          <w:rFonts w:ascii="Arial" w:hAnsi="Arial" w:cs="Arial"/>
        </w:rPr>
      </w:pPr>
      <w:r w:rsidRPr="00AE259B">
        <w:rPr>
          <w:rFonts w:ascii="Arial" w:hAnsi="Arial" w:cs="Arial"/>
        </w:rPr>
        <w:t>Contributions in the form of services are only recognised when a fair value can be reliably determined and the services would have been purchased if not donated.</w:t>
      </w:r>
    </w:p>
    <w:p w:rsidR="00DB6104" w:rsidRPr="00AE259B" w:rsidRDefault="00DB6104" w:rsidP="008A185A">
      <w:pPr>
        <w:rPr>
          <w:rFonts w:ascii="Arial" w:hAnsi="Arial" w:cs="Arial"/>
          <w:spacing w:val="-2"/>
        </w:rPr>
      </w:pPr>
    </w:p>
    <w:p w:rsidR="008A185A" w:rsidRPr="00AE259B" w:rsidRDefault="008A185A" w:rsidP="00DB6104">
      <w:pPr>
        <w:pStyle w:val="Heading20"/>
      </w:pPr>
      <w:bookmarkStart w:id="116" w:name="_Toc337537700"/>
      <w:r w:rsidRPr="00AE259B">
        <w:t>(h) Other economic flows included in net result</w:t>
      </w:r>
      <w:bookmarkEnd w:id="116"/>
    </w:p>
    <w:p w:rsidR="008A185A" w:rsidRDefault="008A185A" w:rsidP="008A185A">
      <w:pPr>
        <w:rPr>
          <w:rFonts w:ascii="Arial" w:hAnsi="Arial" w:cs="Arial"/>
        </w:rPr>
      </w:pPr>
      <w:r w:rsidRPr="00AE259B">
        <w:rPr>
          <w:rFonts w:ascii="Arial" w:hAnsi="Arial" w:cs="Arial"/>
        </w:rPr>
        <w:t>Other economic flows measure the change in volume or value of assets or liabilities that do not result from transactions. These include:</w:t>
      </w:r>
    </w:p>
    <w:p w:rsidR="00DB6104" w:rsidRPr="00AE259B" w:rsidRDefault="00DB6104" w:rsidP="008A185A">
      <w:pPr>
        <w:rPr>
          <w:rFonts w:ascii="Arial" w:hAnsi="Arial" w:cs="Arial"/>
        </w:rPr>
      </w:pPr>
    </w:p>
    <w:p w:rsidR="008A185A" w:rsidRPr="00AE259B" w:rsidRDefault="008A185A" w:rsidP="00DB6104">
      <w:pPr>
        <w:pStyle w:val="Heading30"/>
      </w:pPr>
      <w:r w:rsidRPr="00AE259B">
        <w:t>Net gain/(loss) on non-financial assets</w:t>
      </w:r>
    </w:p>
    <w:p w:rsidR="008A185A" w:rsidRPr="00AE259B" w:rsidRDefault="008A185A" w:rsidP="008A185A">
      <w:pPr>
        <w:rPr>
          <w:rFonts w:ascii="Arial" w:hAnsi="Arial" w:cs="Arial"/>
        </w:rPr>
      </w:pPr>
      <w:r w:rsidRPr="00AE259B">
        <w:rPr>
          <w:rFonts w:ascii="Arial" w:hAnsi="Arial" w:cs="Arial"/>
        </w:rPr>
        <w:t>Net gain/(loss) on non-financial assets and liabilities includes realised and unrealised gains and losses as follows:</w:t>
      </w:r>
    </w:p>
    <w:p w:rsidR="00DB6104" w:rsidRDefault="00DB6104" w:rsidP="00DB6104">
      <w:pPr>
        <w:pStyle w:val="Heading40"/>
      </w:pPr>
    </w:p>
    <w:p w:rsidR="008A185A" w:rsidRPr="00AE259B" w:rsidRDefault="008A185A" w:rsidP="00DB6104">
      <w:pPr>
        <w:pStyle w:val="Heading40"/>
      </w:pPr>
      <w:r w:rsidRPr="00AE259B">
        <w:t>Revaluation gains/(losses) of non-financial physical assets</w:t>
      </w:r>
    </w:p>
    <w:p w:rsidR="008A185A" w:rsidRPr="00AE259B" w:rsidRDefault="008A185A" w:rsidP="008A185A">
      <w:pPr>
        <w:rPr>
          <w:rFonts w:ascii="Arial" w:hAnsi="Arial" w:cs="Arial"/>
        </w:rPr>
      </w:pPr>
      <w:r w:rsidRPr="00AE259B">
        <w:rPr>
          <w:rFonts w:ascii="Arial" w:hAnsi="Arial" w:cs="Arial"/>
        </w:rPr>
        <w:t>Refer to accounting policy provided in Note 1(k) – Property, plant and equipment.</w:t>
      </w:r>
    </w:p>
    <w:p w:rsidR="00DB6104" w:rsidRDefault="00DB6104" w:rsidP="00DB6104">
      <w:pPr>
        <w:pStyle w:val="Heading40"/>
      </w:pPr>
    </w:p>
    <w:p w:rsidR="008A185A" w:rsidRPr="00AE259B" w:rsidRDefault="008A185A" w:rsidP="00DB6104">
      <w:pPr>
        <w:pStyle w:val="Heading40"/>
      </w:pPr>
      <w:r w:rsidRPr="00AE259B">
        <w:t>Disposal of non-financial assets</w:t>
      </w:r>
    </w:p>
    <w:p w:rsidR="008A185A" w:rsidRPr="00AE259B" w:rsidRDefault="008A185A" w:rsidP="008A185A">
      <w:pPr>
        <w:rPr>
          <w:rFonts w:ascii="Arial" w:hAnsi="Arial" w:cs="Arial"/>
        </w:rPr>
      </w:pPr>
      <w:r w:rsidRPr="00AE259B">
        <w:rPr>
          <w:rFonts w:ascii="Arial" w:hAnsi="Arial" w:cs="Arial"/>
        </w:rPr>
        <w:t>Any gain or loss on the disposal of non-financial assets is recognised at the date of disposal and is determined after deducting from the proceeds the carrying value of the asset at that time.</w:t>
      </w:r>
    </w:p>
    <w:p w:rsidR="00DB6104" w:rsidRDefault="00DB6104" w:rsidP="00DB6104">
      <w:pPr>
        <w:pStyle w:val="Heading40"/>
      </w:pPr>
    </w:p>
    <w:p w:rsidR="008A185A" w:rsidRPr="00AE259B" w:rsidRDefault="008A185A" w:rsidP="00DB6104">
      <w:pPr>
        <w:pStyle w:val="Heading40"/>
      </w:pPr>
      <w:r w:rsidRPr="00AE259B">
        <w:t>Impairment of non-financial assets</w:t>
      </w:r>
    </w:p>
    <w:p w:rsidR="008A185A" w:rsidRDefault="008A185A" w:rsidP="008A185A">
      <w:pPr>
        <w:rPr>
          <w:rFonts w:ascii="Arial" w:hAnsi="Arial" w:cs="Arial"/>
        </w:rPr>
      </w:pPr>
      <w:r w:rsidRPr="00AE259B">
        <w:rPr>
          <w:rFonts w:ascii="Arial" w:hAnsi="Arial" w:cs="Arial"/>
        </w:rPr>
        <w:t>Intangible assets with indefinite useful lives including those that are not yet available for use, are tested annually for impairment and whenever there is an indication that the asset may be impaired.</w:t>
      </w:r>
    </w:p>
    <w:p w:rsidR="00DB6104" w:rsidRPr="00AE259B"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All other assets are assessed annually for indications of impairment, except for assets arising from construction contracts (refer Note 1(k)).</w:t>
      </w:r>
    </w:p>
    <w:p w:rsidR="008A185A" w:rsidRDefault="008A185A" w:rsidP="008A185A">
      <w:pPr>
        <w:rPr>
          <w:rFonts w:ascii="Arial" w:hAnsi="Arial" w:cs="Arial"/>
        </w:rPr>
      </w:pPr>
      <w:r w:rsidRPr="00AE259B">
        <w:rPr>
          <w:rFonts w:ascii="Arial" w:hAnsi="Arial" w:cs="Arial"/>
        </w:rPr>
        <w:t>If there is an indication of impairment, the assets concerned are tested as to whether their carrying value exceeds their recoverable amount. Where an asset’s carrying value exceeds its recoverable amount, the difference is written off as another economic flow, except to the extent that the write down can be debited to an asset revaluation surplus amount applicable to that class of asset.</w:t>
      </w:r>
    </w:p>
    <w:p w:rsidR="00DB6104" w:rsidRPr="00AE259B" w:rsidRDefault="00DB6104" w:rsidP="008A185A">
      <w:pPr>
        <w:rPr>
          <w:rFonts w:ascii="Arial" w:hAnsi="Arial" w:cs="Arial"/>
        </w:rPr>
      </w:pPr>
    </w:p>
    <w:p w:rsidR="008A185A" w:rsidRDefault="008A185A" w:rsidP="008A185A">
      <w:pPr>
        <w:rPr>
          <w:rFonts w:ascii="Arial" w:hAnsi="Arial" w:cs="Arial"/>
        </w:rPr>
      </w:pPr>
      <w:r w:rsidRPr="00AE259B">
        <w:rPr>
          <w:rFonts w:ascii="Arial" w:hAnsi="Arial" w:cs="Arial"/>
        </w:rPr>
        <w:t xml:space="preserve">If there is indication that there has been a change in the estimate of an asset’s recoverable amount since the last impairment loss was recognised, the carrying amount shall be increased to its recoverable amount. This reversal of the impairment loss occurs only to the extent that the asset’s carrying amount does not exceed the carrying amount that would have been determined, net of depreciation or amortisation, if no impairment loss had been recognised in prior years. </w:t>
      </w:r>
    </w:p>
    <w:p w:rsidR="00DB6104" w:rsidRPr="00AE259B" w:rsidRDefault="00DB6104" w:rsidP="008A185A">
      <w:pPr>
        <w:rPr>
          <w:rFonts w:ascii="Arial" w:hAnsi="Arial" w:cs="Arial"/>
        </w:rPr>
      </w:pPr>
    </w:p>
    <w:p w:rsidR="008A185A" w:rsidRDefault="008A185A" w:rsidP="008A185A">
      <w:pPr>
        <w:rPr>
          <w:rFonts w:ascii="Arial" w:hAnsi="Arial" w:cs="Arial"/>
        </w:rPr>
      </w:pPr>
      <w:r w:rsidRPr="00AE259B">
        <w:rPr>
          <w:rFonts w:ascii="Arial" w:hAnsi="Arial" w:cs="Arial"/>
        </w:rPr>
        <w:t>It is deemed that, in the event of the loss or destruction of an asset, the future economic benefits arising from the use of the asset will be replaced unless a specific decision to the contrary has been made. The recoverable amount for most assets is measured at the higher of depreciated replacement cost and fair value less costs to sell. Recoverable amount for assets held primarily to generate net cash inflows is measured at the higher of the present value of future cash flows expected to be obtained from the asset and fair value less costs to sell.</w:t>
      </w:r>
    </w:p>
    <w:p w:rsidR="00DB6104" w:rsidRPr="00AE259B" w:rsidRDefault="00DB6104" w:rsidP="008A185A">
      <w:pPr>
        <w:rPr>
          <w:rFonts w:ascii="Arial" w:hAnsi="Arial" w:cs="Arial"/>
        </w:rPr>
      </w:pPr>
    </w:p>
    <w:p w:rsidR="008A185A" w:rsidRDefault="008A185A" w:rsidP="008A185A">
      <w:pPr>
        <w:rPr>
          <w:rFonts w:ascii="Arial" w:hAnsi="Arial" w:cs="Arial"/>
        </w:rPr>
      </w:pPr>
      <w:r w:rsidRPr="00AE259B">
        <w:rPr>
          <w:rFonts w:ascii="Arial" w:hAnsi="Arial" w:cs="Arial"/>
        </w:rPr>
        <w:t>Refer to Note 1(k) in relation to the recognition and measurement of non-financial assets.</w:t>
      </w:r>
    </w:p>
    <w:p w:rsidR="00DB6104" w:rsidRPr="00AE259B" w:rsidRDefault="00DB6104" w:rsidP="008A185A">
      <w:pPr>
        <w:rPr>
          <w:rFonts w:ascii="Arial" w:hAnsi="Arial" w:cs="Arial"/>
        </w:rPr>
      </w:pPr>
    </w:p>
    <w:p w:rsidR="008A185A" w:rsidRPr="00AE259B" w:rsidRDefault="008A185A" w:rsidP="00DB6104">
      <w:pPr>
        <w:pStyle w:val="Heading30"/>
      </w:pPr>
      <w:r w:rsidRPr="00AE259B">
        <w:t>Other gains/(losses) from other economic flows</w:t>
      </w:r>
    </w:p>
    <w:p w:rsidR="008A185A" w:rsidRPr="00DB6104" w:rsidRDefault="008A185A" w:rsidP="008A185A">
      <w:pPr>
        <w:rPr>
          <w:rFonts w:ascii="Arial" w:hAnsi="Arial" w:cs="Arial"/>
        </w:rPr>
      </w:pPr>
      <w:r w:rsidRPr="00DB6104">
        <w:rPr>
          <w:rFonts w:ascii="Arial" w:hAnsi="Arial" w:cs="Arial"/>
        </w:rPr>
        <w:t>Other gains/(losses) from other economic flows include the gains or losses from:</w:t>
      </w:r>
    </w:p>
    <w:p w:rsidR="008A185A" w:rsidRPr="00DB6104" w:rsidRDefault="008A185A" w:rsidP="008A185A">
      <w:pPr>
        <w:pStyle w:val="Bullets"/>
        <w:ind w:left="426" w:hanging="426"/>
        <w:rPr>
          <w:rFonts w:ascii="Arial" w:hAnsi="Arial" w:cs="Arial"/>
          <w:sz w:val="24"/>
          <w:szCs w:val="24"/>
        </w:rPr>
      </w:pPr>
      <w:r w:rsidRPr="00DB6104">
        <w:rPr>
          <w:rFonts w:ascii="Arial" w:hAnsi="Arial" w:cs="Arial"/>
          <w:sz w:val="24"/>
          <w:szCs w:val="24"/>
        </w:rPr>
        <w:t xml:space="preserve">the revaluation of the present value of the long service leave liability due to changes in the bond interest rates; and </w:t>
      </w:r>
    </w:p>
    <w:p w:rsidR="008A185A" w:rsidRPr="00DB6104" w:rsidRDefault="008A185A" w:rsidP="008A185A">
      <w:pPr>
        <w:pStyle w:val="Bullets"/>
        <w:ind w:left="426" w:hanging="426"/>
        <w:rPr>
          <w:rFonts w:ascii="Arial" w:hAnsi="Arial" w:cs="Arial"/>
          <w:sz w:val="24"/>
          <w:szCs w:val="24"/>
        </w:rPr>
      </w:pPr>
      <w:r w:rsidRPr="00DB6104">
        <w:rPr>
          <w:rFonts w:ascii="Arial" w:hAnsi="Arial" w:cs="Arial"/>
          <w:sz w:val="24"/>
          <w:szCs w:val="24"/>
        </w:rPr>
        <w:t>transfer of amounts from the reserves to accumulated surplus or net result due to disposal or derecognition or reclassification.</w:t>
      </w:r>
    </w:p>
    <w:p w:rsidR="00DB6104" w:rsidRDefault="00DB6104" w:rsidP="00DB6104">
      <w:pPr>
        <w:pStyle w:val="Heading20"/>
      </w:pPr>
      <w:bookmarkStart w:id="117" w:name="_Toc337537702"/>
    </w:p>
    <w:p w:rsidR="008A185A" w:rsidRPr="00AE259B" w:rsidRDefault="008A185A" w:rsidP="00DB6104">
      <w:pPr>
        <w:pStyle w:val="Heading20"/>
      </w:pPr>
      <w:r w:rsidRPr="00AE259B">
        <w:t>(i) Financial Instruments</w:t>
      </w:r>
      <w:bookmarkEnd w:id="117"/>
    </w:p>
    <w:p w:rsidR="008A185A" w:rsidRDefault="008A185A" w:rsidP="008A185A">
      <w:pPr>
        <w:rPr>
          <w:rFonts w:ascii="Arial" w:hAnsi="Arial" w:cs="Arial"/>
        </w:rPr>
      </w:pPr>
      <w:r w:rsidRPr="00AE259B">
        <w:rPr>
          <w:rFonts w:ascii="Arial" w:hAnsi="Arial" w:cs="Arial"/>
        </w:rPr>
        <w:t xml:space="preserve">Financial instruments arise out of contractual agreements that give rise to a financial asset of one entity and a financial liability or equity instrument of another entity. Due to the nature of the PTV’s activities, certain financial assets and financial liabilities arise under statute rather than a contract. Such financial assets and financial liabilities do not meet the definition of financial instruments in AASB 132 </w:t>
      </w:r>
      <w:r w:rsidRPr="00AE259B">
        <w:rPr>
          <w:rFonts w:ascii="Arial" w:hAnsi="Arial" w:cs="Arial"/>
          <w:i/>
          <w:iCs/>
        </w:rPr>
        <w:t>Financial Instruments: Presentation</w:t>
      </w:r>
      <w:r w:rsidRPr="00AE259B">
        <w:rPr>
          <w:rFonts w:ascii="Arial" w:hAnsi="Arial" w:cs="Arial"/>
        </w:rPr>
        <w:t>. For example, statutory receivable arising from taxes, fines and penalties do not meet the definition of financial instruments as they do not arise under contract.</w:t>
      </w:r>
    </w:p>
    <w:p w:rsidR="00E72670" w:rsidRPr="00AE259B" w:rsidRDefault="00E72670"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Where relevant, for note disclosure purposes, a distinction is made between those financial assets and financial liabilities that meet the definition of financial instruments in accordance with AASB 132 and those that do not.</w:t>
      </w:r>
    </w:p>
    <w:p w:rsidR="008A185A" w:rsidRPr="00AE259B" w:rsidRDefault="008A185A" w:rsidP="008A185A">
      <w:pPr>
        <w:rPr>
          <w:rFonts w:ascii="Arial" w:hAnsi="Arial" w:cs="Arial"/>
        </w:rPr>
      </w:pPr>
      <w:r w:rsidRPr="00AE259B">
        <w:rPr>
          <w:rFonts w:ascii="Arial" w:hAnsi="Arial" w:cs="Arial"/>
        </w:rPr>
        <w:t>The following refers to financial instruments unless otherwise stated.</w:t>
      </w:r>
    </w:p>
    <w:p w:rsidR="00DB6104" w:rsidRDefault="00DB6104" w:rsidP="00DB6104">
      <w:pPr>
        <w:pStyle w:val="Heading30"/>
      </w:pPr>
    </w:p>
    <w:p w:rsidR="008A185A" w:rsidRPr="00AE259B" w:rsidRDefault="008A185A" w:rsidP="00DB6104">
      <w:pPr>
        <w:pStyle w:val="Heading30"/>
      </w:pPr>
      <w:r w:rsidRPr="00AE259B">
        <w:t>Categories of non-derivative financial instruments</w:t>
      </w:r>
    </w:p>
    <w:p w:rsidR="008A185A" w:rsidRPr="00AE259B" w:rsidRDefault="008A185A" w:rsidP="00DB6104">
      <w:pPr>
        <w:pStyle w:val="Heading40"/>
      </w:pPr>
      <w:r w:rsidRPr="00AE259B">
        <w:t>Loans and receivables</w:t>
      </w:r>
    </w:p>
    <w:p w:rsidR="008A185A" w:rsidRPr="00AE259B" w:rsidRDefault="008A185A" w:rsidP="008A185A">
      <w:pPr>
        <w:rPr>
          <w:rFonts w:ascii="Arial" w:hAnsi="Arial" w:cs="Arial"/>
        </w:rPr>
      </w:pPr>
      <w:r w:rsidRPr="00AE259B">
        <w:rPr>
          <w:rFonts w:ascii="Arial" w:hAnsi="Arial" w:cs="Arial"/>
        </w:rPr>
        <w:t>Loans and receivables are financial instrument assets with fixed and determinable payments that are not quoted on an active market. These assets are initially recognised at fair value plus any directly attributable transaction costs. Subsequent to initial measurement, loans and receivables are measured at amortised cost using the effective interest method, less any impairment.</w:t>
      </w:r>
    </w:p>
    <w:p w:rsidR="008A185A" w:rsidRPr="00AE259B" w:rsidRDefault="008A185A" w:rsidP="008A185A">
      <w:pPr>
        <w:rPr>
          <w:rFonts w:ascii="Arial" w:hAnsi="Arial" w:cs="Arial"/>
        </w:rPr>
      </w:pPr>
      <w:r w:rsidRPr="00AE259B">
        <w:rPr>
          <w:rFonts w:ascii="Arial" w:hAnsi="Arial" w:cs="Arial"/>
        </w:rPr>
        <w:t>Loans and receivables category includes cash and deposits (refer to Note 1(j)), trade receivables, other receivables, but not statutory receivables.</w:t>
      </w:r>
    </w:p>
    <w:p w:rsidR="00DB6104" w:rsidRDefault="00DB6104" w:rsidP="00DB6104">
      <w:pPr>
        <w:pStyle w:val="Heading40"/>
      </w:pPr>
    </w:p>
    <w:p w:rsidR="008A185A" w:rsidRPr="00AE259B" w:rsidRDefault="008A185A" w:rsidP="00DB6104">
      <w:pPr>
        <w:pStyle w:val="Heading40"/>
      </w:pPr>
      <w:r w:rsidRPr="00AE259B">
        <w:t>Financial liabilities at amortised cost</w:t>
      </w:r>
    </w:p>
    <w:p w:rsidR="008A185A" w:rsidRPr="00AE259B" w:rsidRDefault="008A185A" w:rsidP="008A185A">
      <w:pPr>
        <w:rPr>
          <w:rFonts w:ascii="Arial" w:hAnsi="Arial" w:cs="Arial"/>
        </w:rPr>
      </w:pPr>
      <w:r w:rsidRPr="00AE259B">
        <w:rPr>
          <w:rFonts w:ascii="Arial" w:hAnsi="Arial" w:cs="Arial"/>
        </w:rPr>
        <w:t>Financial instrument liabilities are initially recognised on the date they are originated. They are initially measured at fair value plus any directly attributable transaction costs. Subsequent to initial recognition, these financial instruments are measured at amortised cost with any difference between the initial recognised amount and the redemption value being recognised in profit and loss over the period of the interest-bearing liability, using the effective interest rate method.</w:t>
      </w:r>
    </w:p>
    <w:p w:rsidR="008A185A" w:rsidRPr="00AE259B" w:rsidRDefault="008A185A" w:rsidP="008A185A">
      <w:pPr>
        <w:rPr>
          <w:rFonts w:ascii="Arial" w:hAnsi="Arial" w:cs="Arial"/>
        </w:rPr>
      </w:pPr>
      <w:r w:rsidRPr="00AE259B">
        <w:rPr>
          <w:rFonts w:ascii="Arial" w:hAnsi="Arial" w:cs="Arial"/>
        </w:rPr>
        <w:t>Financial instrument liabilities measured at amortised cost include all of PTV’s contractual payables, deposits held and advances received, and interest-bearing arrangements.</w:t>
      </w:r>
    </w:p>
    <w:p w:rsidR="00DB6104" w:rsidRDefault="00DB6104" w:rsidP="00DB6104">
      <w:pPr>
        <w:pStyle w:val="Heading20"/>
      </w:pPr>
      <w:bookmarkStart w:id="118" w:name="_Toc337537703"/>
    </w:p>
    <w:p w:rsidR="008A185A" w:rsidRPr="00AE259B" w:rsidRDefault="008A185A" w:rsidP="00DB6104">
      <w:pPr>
        <w:pStyle w:val="Heading20"/>
      </w:pPr>
      <w:r w:rsidRPr="00AE259B">
        <w:t>(j) Financial assets</w:t>
      </w:r>
      <w:bookmarkEnd w:id="118"/>
    </w:p>
    <w:p w:rsidR="008A185A" w:rsidRPr="00AE259B" w:rsidRDefault="008A185A" w:rsidP="00DB6104">
      <w:pPr>
        <w:pStyle w:val="Heading30"/>
      </w:pPr>
      <w:r w:rsidRPr="00AE259B">
        <w:t>Cash and deposits</w:t>
      </w:r>
    </w:p>
    <w:p w:rsidR="008A185A" w:rsidRPr="00AE259B" w:rsidRDefault="008A185A" w:rsidP="008A185A">
      <w:pPr>
        <w:rPr>
          <w:rFonts w:ascii="Arial" w:hAnsi="Arial" w:cs="Arial"/>
        </w:rPr>
      </w:pPr>
      <w:r w:rsidRPr="00AE259B">
        <w:rPr>
          <w:rFonts w:ascii="Arial" w:hAnsi="Arial" w:cs="Arial"/>
        </w:rPr>
        <w:t>Cash and deposits, including cash equivalents, comprise cash on hand and cash at bank, deposits at call and those highly liquid investments with an original maturity of three months or less, which are held for the purpose of meeting short term cash commitments rather than for investment purposes, and which are readily convertible to known amounts of cash and are subject to an insignificant risk of changes in value.</w:t>
      </w:r>
    </w:p>
    <w:p w:rsidR="00DB6104" w:rsidRDefault="00DB6104" w:rsidP="00DB6104">
      <w:pPr>
        <w:pStyle w:val="Heading30"/>
      </w:pPr>
    </w:p>
    <w:p w:rsidR="008A185A" w:rsidRPr="00AE259B" w:rsidRDefault="008A185A" w:rsidP="00DB6104">
      <w:pPr>
        <w:pStyle w:val="Heading30"/>
      </w:pPr>
      <w:r w:rsidRPr="00AE259B">
        <w:t>Receivables</w:t>
      </w:r>
    </w:p>
    <w:p w:rsidR="008A185A" w:rsidRPr="00DB6104" w:rsidRDefault="008A185A" w:rsidP="008A185A">
      <w:pPr>
        <w:rPr>
          <w:rFonts w:ascii="Arial" w:hAnsi="Arial" w:cs="Arial"/>
        </w:rPr>
      </w:pPr>
      <w:r w:rsidRPr="00DB6104">
        <w:rPr>
          <w:rFonts w:ascii="Arial" w:hAnsi="Arial" w:cs="Arial"/>
        </w:rPr>
        <w:t xml:space="preserve">Receivables consist of: </w:t>
      </w:r>
    </w:p>
    <w:p w:rsidR="008A185A" w:rsidRPr="00DB6104" w:rsidRDefault="008A185A" w:rsidP="008A185A">
      <w:pPr>
        <w:pStyle w:val="Bullets"/>
        <w:ind w:left="284" w:hanging="284"/>
        <w:rPr>
          <w:rFonts w:ascii="Arial" w:hAnsi="Arial" w:cs="Arial"/>
          <w:sz w:val="24"/>
          <w:szCs w:val="24"/>
        </w:rPr>
      </w:pPr>
      <w:r w:rsidRPr="00DB6104">
        <w:rPr>
          <w:rFonts w:ascii="Arial" w:hAnsi="Arial" w:cs="Arial"/>
          <w:sz w:val="24"/>
          <w:szCs w:val="24"/>
        </w:rPr>
        <w:t>contractual receivables, such as debtors in relation to goods and services and accrued investment income; and</w:t>
      </w:r>
    </w:p>
    <w:p w:rsidR="008A185A" w:rsidRPr="00DB6104" w:rsidRDefault="008A185A" w:rsidP="008A185A">
      <w:pPr>
        <w:pStyle w:val="Bullets"/>
        <w:ind w:left="284" w:hanging="284"/>
        <w:rPr>
          <w:rFonts w:ascii="Arial" w:hAnsi="Arial" w:cs="Arial"/>
          <w:sz w:val="24"/>
          <w:szCs w:val="24"/>
        </w:rPr>
      </w:pPr>
      <w:r w:rsidRPr="00DB6104">
        <w:rPr>
          <w:rFonts w:ascii="Arial" w:hAnsi="Arial" w:cs="Arial"/>
          <w:sz w:val="24"/>
          <w:szCs w:val="24"/>
        </w:rPr>
        <w:t>statutory receivables, such as amounts owing from the Victorian Government and Goods and Services Tax (“GST”) input tax credits recoverable.</w:t>
      </w:r>
    </w:p>
    <w:p w:rsidR="008A185A" w:rsidRDefault="008A185A" w:rsidP="008A185A">
      <w:pPr>
        <w:rPr>
          <w:rFonts w:ascii="Arial" w:hAnsi="Arial" w:cs="Arial"/>
        </w:rPr>
      </w:pPr>
      <w:r w:rsidRPr="00AE259B">
        <w:rPr>
          <w:rFonts w:ascii="Arial" w:hAnsi="Arial" w:cs="Arial"/>
        </w:rPr>
        <w:t>Contractual receivables are classified as financial instruments and categorised as loans and receivables.  Statutory receivables, are recognised and measured similarly to contractual receivables (except for impairment), but are not classified as financial instruments because they do not arise from a contract.</w:t>
      </w:r>
    </w:p>
    <w:p w:rsidR="00DB6104" w:rsidRPr="00AE259B" w:rsidRDefault="00DB6104" w:rsidP="008A185A">
      <w:pPr>
        <w:rPr>
          <w:rFonts w:ascii="Arial" w:hAnsi="Arial" w:cs="Arial"/>
          <w:spacing w:val="-2"/>
        </w:rPr>
      </w:pPr>
    </w:p>
    <w:p w:rsidR="008A185A" w:rsidRDefault="008A185A" w:rsidP="008A185A">
      <w:pPr>
        <w:rPr>
          <w:rFonts w:ascii="Arial" w:hAnsi="Arial" w:cs="Arial"/>
        </w:rPr>
      </w:pPr>
      <w:r w:rsidRPr="00AE259B">
        <w:rPr>
          <w:rFonts w:ascii="Arial" w:hAnsi="Arial" w:cs="Arial"/>
        </w:rPr>
        <w:t>Receivables are subject to impairment testing as described below.  A provision for doubtful receivables is made when there is objective evidence that the debts may not be collected and bad debts are written off when identified.</w:t>
      </w:r>
    </w:p>
    <w:p w:rsidR="00DB6104" w:rsidRPr="00AE259B"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For the measurement principle of receivables, refer to Note 1(i).</w:t>
      </w:r>
    </w:p>
    <w:p w:rsidR="00DB6104" w:rsidRDefault="00DB6104" w:rsidP="00DB6104">
      <w:pPr>
        <w:pStyle w:val="Heading30"/>
      </w:pPr>
    </w:p>
    <w:p w:rsidR="008A185A" w:rsidRPr="00AE259B" w:rsidRDefault="008A185A" w:rsidP="00DB6104">
      <w:pPr>
        <w:pStyle w:val="Heading30"/>
      </w:pPr>
      <w:r w:rsidRPr="00AE259B">
        <w:t>Impairment of financial assets</w:t>
      </w:r>
    </w:p>
    <w:p w:rsidR="008A185A" w:rsidRDefault="008A185A" w:rsidP="008A185A">
      <w:pPr>
        <w:rPr>
          <w:rFonts w:ascii="Arial" w:hAnsi="Arial" w:cs="Arial"/>
        </w:rPr>
      </w:pPr>
      <w:r w:rsidRPr="00AE259B">
        <w:rPr>
          <w:rFonts w:ascii="Arial" w:hAnsi="Arial" w:cs="Arial"/>
        </w:rPr>
        <w:t>At the end of each reporting period, PTV assesses whether there is objective evidence that a financial asset or group of financial assets is impaired. All financial instrument assets are subject to annual review for impairment.</w:t>
      </w:r>
    </w:p>
    <w:p w:rsidR="00DB6104" w:rsidRPr="00AE259B" w:rsidRDefault="00DB6104" w:rsidP="008A185A">
      <w:pPr>
        <w:rPr>
          <w:rFonts w:ascii="Arial" w:hAnsi="Arial" w:cs="Arial"/>
        </w:rPr>
      </w:pPr>
    </w:p>
    <w:p w:rsidR="008A185A" w:rsidRDefault="008A185A" w:rsidP="008A185A">
      <w:pPr>
        <w:rPr>
          <w:rFonts w:ascii="Arial" w:hAnsi="Arial" w:cs="Arial"/>
        </w:rPr>
      </w:pPr>
      <w:r w:rsidRPr="00AE259B">
        <w:rPr>
          <w:rFonts w:ascii="Arial" w:hAnsi="Arial" w:cs="Arial"/>
        </w:rPr>
        <w:t>Receivables are assessed for bad and doubtful debts on a regular basis.  Those bad debts considered as written off by mutual consent are classified as a transaction expense. Bad debts not written off by mutual consent and the allowance for doubtful receivables are classified as other economic flows in the net result.</w:t>
      </w:r>
    </w:p>
    <w:p w:rsidR="00DB6104" w:rsidRPr="00AE259B"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In assessing impairment of statutory (non-contractual) financial assets which are not financial instruments, PTV applies professional judgement in assessing materiality and using estimates, averages and computational shortcuts in accordance with AASB 136</w:t>
      </w:r>
      <w:r w:rsidRPr="00AE259B">
        <w:rPr>
          <w:rFonts w:ascii="Arial" w:hAnsi="Arial" w:cs="Arial"/>
          <w:i/>
          <w:iCs/>
        </w:rPr>
        <w:t xml:space="preserve"> Impairment of assets</w:t>
      </w:r>
      <w:r w:rsidRPr="00AE259B">
        <w:rPr>
          <w:rFonts w:ascii="Arial" w:hAnsi="Arial" w:cs="Arial"/>
        </w:rPr>
        <w:t>.</w:t>
      </w:r>
    </w:p>
    <w:p w:rsidR="00DB6104" w:rsidRDefault="00DB6104" w:rsidP="00DB6104">
      <w:pPr>
        <w:pStyle w:val="Heading20"/>
      </w:pPr>
      <w:bookmarkStart w:id="119" w:name="_Toc337537704"/>
    </w:p>
    <w:p w:rsidR="008A185A" w:rsidRPr="00AE259B" w:rsidRDefault="008A185A" w:rsidP="00DB6104">
      <w:pPr>
        <w:pStyle w:val="Heading20"/>
      </w:pPr>
      <w:r w:rsidRPr="00AE259B">
        <w:t>(k) Non-financial assets</w:t>
      </w:r>
      <w:bookmarkEnd w:id="119"/>
    </w:p>
    <w:p w:rsidR="008A185A" w:rsidRPr="00AE259B" w:rsidRDefault="008A185A" w:rsidP="00DB6104">
      <w:pPr>
        <w:pStyle w:val="Heading30"/>
      </w:pPr>
      <w:r w:rsidRPr="00AE259B">
        <w:t>Inventories</w:t>
      </w:r>
    </w:p>
    <w:p w:rsidR="008A185A" w:rsidRPr="00AE259B" w:rsidRDefault="008A185A" w:rsidP="008A185A">
      <w:pPr>
        <w:rPr>
          <w:rFonts w:ascii="Arial" w:hAnsi="Arial" w:cs="Arial"/>
        </w:rPr>
      </w:pPr>
      <w:r w:rsidRPr="00AE259B">
        <w:rPr>
          <w:rFonts w:ascii="Arial" w:hAnsi="Arial" w:cs="Arial"/>
        </w:rPr>
        <w:t>Inventories include goods and other property held either for sale or for consumption in the ordinary course of business.  Depreciable assets are excluded.  Inventories are measured at the lower of cost and net realisable value.</w:t>
      </w:r>
    </w:p>
    <w:p w:rsidR="00DB6104" w:rsidRDefault="00DB6104" w:rsidP="00DB6104">
      <w:pPr>
        <w:pStyle w:val="Heading30"/>
      </w:pPr>
    </w:p>
    <w:p w:rsidR="008A185A" w:rsidRPr="00AE259B" w:rsidRDefault="008A185A" w:rsidP="00DB6104">
      <w:pPr>
        <w:pStyle w:val="Heading30"/>
      </w:pPr>
      <w:r w:rsidRPr="00AE259B">
        <w:t>Property, plant and equipment</w:t>
      </w:r>
    </w:p>
    <w:p w:rsidR="008A185A" w:rsidRPr="00AE259B" w:rsidRDefault="008A185A" w:rsidP="008A185A">
      <w:pPr>
        <w:rPr>
          <w:rFonts w:ascii="Arial" w:hAnsi="Arial" w:cs="Arial"/>
        </w:rPr>
      </w:pPr>
      <w:r w:rsidRPr="00AE259B">
        <w:rPr>
          <w:rFonts w:ascii="Arial" w:hAnsi="Arial" w:cs="Arial"/>
        </w:rPr>
        <w:t>All non-financial physical assets are measured initially at cost and subsequently revalued at fair value less accumulated depreciation and impairment.  Where an asset is acquired for no or nominal cost, the cost is its fair value at the date of acquisition.  Assets transferred as part of a machinery of government change are transferred at their carrying value.</w:t>
      </w:r>
    </w:p>
    <w:p w:rsidR="008A185A" w:rsidRPr="00AE259B" w:rsidRDefault="008A185A" w:rsidP="008A185A">
      <w:pPr>
        <w:rPr>
          <w:rFonts w:ascii="Arial" w:hAnsi="Arial" w:cs="Arial"/>
        </w:rPr>
      </w:pPr>
      <w:r w:rsidRPr="00AE259B">
        <w:rPr>
          <w:rFonts w:ascii="Arial" w:hAnsi="Arial" w:cs="Arial"/>
        </w:rPr>
        <w:t>The initial cost for non-financial physical assets under a finance lease (refer to Note 1(m)) is measured at amounts equal to the fair value of the leased asset or, if lower, the present value of the minimum lease payments, each determined at the inception of the lease. Where an asset is received for no or nominal consideration, the cost is the asset’s fair value at the date of acquisition.</w:t>
      </w:r>
    </w:p>
    <w:p w:rsidR="00DB6104"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Non-current physical assets are measured at fair value with regard to the property’s highest and best use after due consideration is made for any legal or constructive restrictions imposed on the asset, public announcements or commitments made in relation to the intended use of the asset. Theoretical opportunities that may be available in relation to the asset are not taken into account until it is virtually certain that the restrictions will no longer apply.</w:t>
      </w:r>
    </w:p>
    <w:p w:rsidR="00DB6104"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The fair value of cultural assets and collections and other non-financial physical assets that the State intends to preserve because of their unique historical, cultural or environmental attributes are measured at the replacement cost of the asset less, where applicable, accumulated depreciation (calculated on the basis of such cost to reflect the already consumed or expired future economic benefits of the asset) and any accumulated impairment. These policies and any legislative limitations and restrictions imposed on their use and/or disposal may impact their fair value.</w:t>
      </w:r>
    </w:p>
    <w:p w:rsidR="00DB6104"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The fair value of infrastructure systems and plant, equipment and vehicles, is normally determined by reference to the asset’s depreciated replacement cost. For plant, equipment and vehicles, existing depreciated historical cost is generally a reasonable proxy for depreciated replacement cost because of the short lives of the assets concerned.</w:t>
      </w:r>
    </w:p>
    <w:p w:rsidR="00DB6104"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The cost of constructed non-financial physical assets includes the cost of all materials used in construction, direct labour on the project, and an appropriate proportion of variable and fixed overheads.</w:t>
      </w:r>
    </w:p>
    <w:p w:rsidR="00DB6104"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For the accounting policy on impairment of non-financial physical assets, refer to impairment of non-financial assets under Note 1(h).</w:t>
      </w:r>
    </w:p>
    <w:p w:rsidR="00DB6104" w:rsidRDefault="00DB6104" w:rsidP="00DB6104">
      <w:pPr>
        <w:pStyle w:val="Heading40"/>
      </w:pPr>
    </w:p>
    <w:p w:rsidR="008A185A" w:rsidRPr="00AE259B" w:rsidRDefault="008A185A" w:rsidP="00DB6104">
      <w:pPr>
        <w:pStyle w:val="Heading40"/>
      </w:pPr>
      <w:r w:rsidRPr="00AE259B">
        <w:t>Leasehold improvements</w:t>
      </w:r>
    </w:p>
    <w:p w:rsidR="008A185A" w:rsidRPr="00AE259B" w:rsidRDefault="008A185A" w:rsidP="008A185A">
      <w:pPr>
        <w:rPr>
          <w:rFonts w:ascii="Arial" w:hAnsi="Arial" w:cs="Arial"/>
          <w:spacing w:val="-2"/>
        </w:rPr>
      </w:pPr>
      <w:r w:rsidRPr="00AE259B">
        <w:rPr>
          <w:rFonts w:ascii="Arial" w:hAnsi="Arial" w:cs="Arial"/>
        </w:rPr>
        <w:t>The cost of leasehold improvements is capitalised as an asset and depreciated over the shorter of remaining term of the lease or the estimated useful life of the improvements.</w:t>
      </w:r>
    </w:p>
    <w:p w:rsidR="00DB6104" w:rsidRDefault="00DB6104" w:rsidP="00DB6104">
      <w:pPr>
        <w:pStyle w:val="Heading40"/>
      </w:pPr>
    </w:p>
    <w:p w:rsidR="008A185A" w:rsidRPr="00AE259B" w:rsidRDefault="008A185A" w:rsidP="00DB6104">
      <w:pPr>
        <w:pStyle w:val="Heading40"/>
      </w:pPr>
      <w:r w:rsidRPr="00AE259B">
        <w:t>Non-financial physical assets constructed</w:t>
      </w:r>
    </w:p>
    <w:p w:rsidR="008A185A" w:rsidRPr="00AE259B" w:rsidRDefault="008A185A" w:rsidP="008A185A">
      <w:pPr>
        <w:rPr>
          <w:rFonts w:ascii="Arial" w:hAnsi="Arial" w:cs="Arial"/>
        </w:rPr>
      </w:pPr>
      <w:r w:rsidRPr="00AE259B">
        <w:rPr>
          <w:rFonts w:ascii="Arial" w:hAnsi="Arial" w:cs="Arial"/>
        </w:rPr>
        <w:t>The cost of non-current physical assets constructed by PTV includes the cost of all materials used in construction, direct labour on the project and an appropriate proportion of variable and fixed overheads.</w:t>
      </w:r>
    </w:p>
    <w:p w:rsidR="00DB6104" w:rsidRDefault="00DB6104" w:rsidP="00DB6104">
      <w:pPr>
        <w:pStyle w:val="Heading40"/>
      </w:pPr>
    </w:p>
    <w:p w:rsidR="008A185A" w:rsidRPr="00AE259B" w:rsidRDefault="008A185A" w:rsidP="00DB6104">
      <w:pPr>
        <w:pStyle w:val="Heading40"/>
      </w:pPr>
      <w:r w:rsidRPr="00AE259B">
        <w:t>Revaluations of non-financial physical assets</w:t>
      </w:r>
    </w:p>
    <w:p w:rsidR="008A185A" w:rsidRPr="00AE259B" w:rsidRDefault="008A185A" w:rsidP="008A185A">
      <w:pPr>
        <w:rPr>
          <w:rFonts w:ascii="Arial" w:hAnsi="Arial" w:cs="Arial"/>
        </w:rPr>
      </w:pPr>
      <w:r w:rsidRPr="00AE259B">
        <w:rPr>
          <w:rFonts w:ascii="Arial" w:hAnsi="Arial" w:cs="Arial"/>
        </w:rPr>
        <w:t>Non-financial physical assets are measured at fair value on a cyclical basis in accordance with Financial Reporting Directions (FRDs) issued by the Minister for Finance. A full revaluation normally occurs every five years, based on the asset’s government purpose classification, but may occur more frequently if fair value assessments indicate material changes in values. Independent valuers are generally used to conduct these scheduled revaluations. Certain infrastructure assets are revalued using specialised advisors. Any interim revaluations are determined in accordance with the requirements of the FRDs.</w:t>
      </w:r>
    </w:p>
    <w:p w:rsidR="00DB6104"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Revaluation increases or decreases arise from differences between an asset’s carrying value and fair value.</w:t>
      </w:r>
    </w:p>
    <w:p w:rsidR="00DB6104"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Net revaluation increases (where the carrying amount of a class of assets is increased as a result of a revaluation) are recognised in ‘Other economic flows – other movements in equity’ and accumulated in equity under the revaluation surplus. However, the net revaluation increase is recognised in the net result to the extent that it reverses a net revaluation decrease in respect of the same class of property, plant and equipment previously recognised as an expense (other economic flows) in the net result.</w:t>
      </w:r>
    </w:p>
    <w:p w:rsidR="008A185A" w:rsidRPr="00AE259B" w:rsidRDefault="008A185A" w:rsidP="008A185A">
      <w:pPr>
        <w:rPr>
          <w:rFonts w:ascii="Arial" w:hAnsi="Arial" w:cs="Arial"/>
        </w:rPr>
      </w:pPr>
      <w:r w:rsidRPr="00AE259B">
        <w:rPr>
          <w:rFonts w:ascii="Arial" w:hAnsi="Arial" w:cs="Arial"/>
        </w:rPr>
        <w:t>Net revaluation decreases are recognised ‘Other economic flows – other movements in equity’ to the extent that a credit balance exists in the asset revaluation surplus in respect of the same class of property, plant and equipment. Otherwise, the net revaluation decreases are recognised immediately as other economic flows in the net result. The net revaluation decrease recognised in ‘Other economic flows – other economic movements in equity’ reduces the amount accumulated in equity under the asset revaluation surplus.</w:t>
      </w:r>
    </w:p>
    <w:p w:rsidR="00DB6104"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Revaluation increases and decreases relating to individual assets within a class of property, plant and equipment, are offset against one another within that class but are not offset in respect of assets in different classes. Any asset revaluation surplus is not normally transferred to accumulated funds on derecognition of the relevant asset.</w:t>
      </w:r>
    </w:p>
    <w:p w:rsidR="00DB6104" w:rsidRDefault="00DB6104" w:rsidP="00DB6104">
      <w:pPr>
        <w:pStyle w:val="Heading30"/>
      </w:pPr>
    </w:p>
    <w:p w:rsidR="00951FFC" w:rsidRDefault="00951FFC" w:rsidP="00DB6104">
      <w:pPr>
        <w:pStyle w:val="Heading30"/>
      </w:pPr>
    </w:p>
    <w:p w:rsidR="008A185A" w:rsidRPr="00AE259B" w:rsidRDefault="008A185A" w:rsidP="00DB6104">
      <w:pPr>
        <w:pStyle w:val="Heading30"/>
      </w:pPr>
      <w:r w:rsidRPr="00AE259B">
        <w:t>Intangible assets</w:t>
      </w:r>
    </w:p>
    <w:p w:rsidR="008A185A" w:rsidRDefault="008A185A" w:rsidP="008A185A">
      <w:pPr>
        <w:rPr>
          <w:rFonts w:ascii="Arial" w:hAnsi="Arial" w:cs="Arial"/>
        </w:rPr>
      </w:pPr>
      <w:r w:rsidRPr="00AE259B">
        <w:rPr>
          <w:rFonts w:ascii="Arial" w:hAnsi="Arial" w:cs="Arial"/>
        </w:rPr>
        <w:t>Intangible assets are initially measured at cost. Subsequently, intangible assets with finite useful lives are carried at cost less accumulated depreciation/amortisation and accumulated impairment losses. Costs incurred subsequent to initial acquisition are capitalised when it is expected that additional future economic benefits will flow to PTV.</w:t>
      </w:r>
    </w:p>
    <w:p w:rsidR="00DB6104" w:rsidRPr="00AE259B" w:rsidRDefault="00DB6104" w:rsidP="008A185A">
      <w:pPr>
        <w:rPr>
          <w:rFonts w:ascii="Arial" w:hAnsi="Arial" w:cs="Arial"/>
        </w:rPr>
      </w:pPr>
    </w:p>
    <w:p w:rsidR="008A185A" w:rsidRDefault="008A185A" w:rsidP="008A185A">
      <w:pPr>
        <w:rPr>
          <w:rFonts w:ascii="Arial" w:hAnsi="Arial" w:cs="Arial"/>
        </w:rPr>
      </w:pPr>
      <w:r w:rsidRPr="00AE259B">
        <w:rPr>
          <w:rFonts w:ascii="Arial" w:hAnsi="Arial" w:cs="Arial"/>
        </w:rPr>
        <w:t xml:space="preserve">When the recognition criteria in AASB 138 </w:t>
      </w:r>
      <w:r w:rsidRPr="00AE259B">
        <w:rPr>
          <w:rFonts w:ascii="Arial" w:hAnsi="Arial" w:cs="Arial"/>
          <w:i/>
        </w:rPr>
        <w:t>Intangible Assets</w:t>
      </w:r>
      <w:r w:rsidRPr="00AE259B">
        <w:rPr>
          <w:rFonts w:ascii="Arial" w:hAnsi="Arial" w:cs="Arial"/>
        </w:rPr>
        <w:t xml:space="preserve"> are met, internally generated intangible assets are recognised and measured at cost less accumulated depreciation/amortisation and impairment.</w:t>
      </w:r>
    </w:p>
    <w:p w:rsidR="00DB6104" w:rsidRPr="00AE259B"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Refer to Depreciation in Note 1(g), Amortisation of non-produced intangible assets in Note 1(h) and Impairment for non-financial assets in Note 1(h).</w:t>
      </w:r>
    </w:p>
    <w:p w:rsidR="008A185A" w:rsidRDefault="008A185A" w:rsidP="008A185A">
      <w:pPr>
        <w:rPr>
          <w:rFonts w:ascii="Arial" w:hAnsi="Arial" w:cs="Arial"/>
        </w:rPr>
      </w:pPr>
      <w:r w:rsidRPr="00AE259B">
        <w:rPr>
          <w:rFonts w:ascii="Arial" w:hAnsi="Arial" w:cs="Arial"/>
        </w:rPr>
        <w:t>Expenditure on research activities is recognised as an expense in the period in which it is incurred.</w:t>
      </w:r>
    </w:p>
    <w:p w:rsidR="00DB6104" w:rsidRPr="00AE259B" w:rsidRDefault="00DB6104"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An internally generated intangible asset arising from development (or from the development phase of an internal project) is recognised if, and only if, all of the following are demonstrated:</w:t>
      </w:r>
    </w:p>
    <w:p w:rsidR="008A185A" w:rsidRPr="00AE259B" w:rsidRDefault="008A185A" w:rsidP="00A17713">
      <w:pPr>
        <w:widowControl w:val="0"/>
        <w:numPr>
          <w:ilvl w:val="0"/>
          <w:numId w:val="10"/>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w w:val="99"/>
        </w:rPr>
        <w:t xml:space="preserve">the technical feasibility of completing the intangible asset so that it will be </w:t>
      </w:r>
      <w:r w:rsidRPr="00AE259B">
        <w:rPr>
          <w:rFonts w:ascii="Arial" w:hAnsi="Arial" w:cs="Arial"/>
        </w:rPr>
        <w:t>available for use or sale</w:t>
      </w:r>
    </w:p>
    <w:p w:rsidR="008A185A" w:rsidRPr="00AE259B" w:rsidRDefault="008A185A" w:rsidP="00A17713">
      <w:pPr>
        <w:widowControl w:val="0"/>
        <w:numPr>
          <w:ilvl w:val="0"/>
          <w:numId w:val="10"/>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an intention to complete the intangible asset and use or sell it</w:t>
      </w:r>
    </w:p>
    <w:p w:rsidR="008A185A" w:rsidRPr="00AE259B" w:rsidRDefault="008A185A" w:rsidP="00A17713">
      <w:pPr>
        <w:widowControl w:val="0"/>
        <w:numPr>
          <w:ilvl w:val="0"/>
          <w:numId w:val="10"/>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the ability to use or sell the intangible asset</w:t>
      </w:r>
    </w:p>
    <w:p w:rsidR="008A185A" w:rsidRPr="00AE259B" w:rsidRDefault="008A185A" w:rsidP="00A17713">
      <w:pPr>
        <w:widowControl w:val="0"/>
        <w:numPr>
          <w:ilvl w:val="0"/>
          <w:numId w:val="10"/>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the intangible asset will generate probable future economic benefits</w:t>
      </w:r>
    </w:p>
    <w:p w:rsidR="008A185A" w:rsidRPr="00AE259B" w:rsidRDefault="008A185A" w:rsidP="00A17713">
      <w:pPr>
        <w:widowControl w:val="0"/>
        <w:numPr>
          <w:ilvl w:val="0"/>
          <w:numId w:val="10"/>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the availability of adequate technical, financial and other resources to complete the development and to use or sell the intangible asset</w:t>
      </w:r>
    </w:p>
    <w:p w:rsidR="008A185A" w:rsidRPr="00AE259B" w:rsidRDefault="008A185A" w:rsidP="00A17713">
      <w:pPr>
        <w:widowControl w:val="0"/>
        <w:numPr>
          <w:ilvl w:val="0"/>
          <w:numId w:val="10"/>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the ability to measure reliably the expenditure attributable to the intangible asset during its development.</w:t>
      </w:r>
    </w:p>
    <w:p w:rsidR="008A185A" w:rsidRPr="00AE259B" w:rsidRDefault="008A185A" w:rsidP="008A185A">
      <w:pPr>
        <w:rPr>
          <w:rFonts w:ascii="Arial" w:hAnsi="Arial" w:cs="Arial"/>
          <w:spacing w:val="-2"/>
        </w:rPr>
      </w:pPr>
      <w:r w:rsidRPr="00AE259B">
        <w:rPr>
          <w:rFonts w:ascii="Arial" w:hAnsi="Arial" w:cs="Arial"/>
        </w:rPr>
        <w:t>Intangible assets are measured at cost less accumulated amortisation and impairment, and are amortised on a straight line basis over their useful lives as follows: Capitalised software development costs three to five years.</w:t>
      </w:r>
    </w:p>
    <w:p w:rsidR="00DB6104" w:rsidRDefault="00DB6104" w:rsidP="00DB6104">
      <w:pPr>
        <w:pStyle w:val="Heading30"/>
      </w:pPr>
    </w:p>
    <w:p w:rsidR="008A185A" w:rsidRPr="00AE259B" w:rsidRDefault="008A185A" w:rsidP="00DB6104">
      <w:pPr>
        <w:pStyle w:val="Heading30"/>
      </w:pPr>
      <w:r w:rsidRPr="00AE259B">
        <w:t xml:space="preserve">Other non-financial assets </w:t>
      </w:r>
    </w:p>
    <w:p w:rsidR="008A185A" w:rsidRPr="00AE259B" w:rsidRDefault="008A185A" w:rsidP="00DB6104">
      <w:pPr>
        <w:pStyle w:val="Heading40"/>
      </w:pPr>
      <w:r w:rsidRPr="00AE259B">
        <w:t>Prepayments</w:t>
      </w:r>
    </w:p>
    <w:p w:rsidR="008A185A" w:rsidRPr="00AE259B" w:rsidRDefault="008A185A" w:rsidP="008A185A">
      <w:pPr>
        <w:rPr>
          <w:rFonts w:ascii="Arial" w:hAnsi="Arial" w:cs="Arial"/>
        </w:rPr>
      </w:pPr>
      <w:r w:rsidRPr="00AE259B">
        <w:rPr>
          <w:rFonts w:ascii="Arial" w:hAnsi="Arial" w:cs="Arial"/>
        </w:rPr>
        <w:t>Other non-financial assets include prepayments which represent payments in advance of receipt of goods or services or that part of expenditure made in one accounting period covering a term extending beyond that period.</w:t>
      </w:r>
    </w:p>
    <w:p w:rsidR="00DB6104" w:rsidRDefault="00DB6104" w:rsidP="00DB6104">
      <w:pPr>
        <w:pStyle w:val="Heading20"/>
      </w:pPr>
      <w:bookmarkStart w:id="120" w:name="_Toc337537705"/>
    </w:p>
    <w:p w:rsidR="008A185A" w:rsidRPr="00AE259B" w:rsidRDefault="008A185A" w:rsidP="00DB6104">
      <w:pPr>
        <w:pStyle w:val="Heading20"/>
      </w:pPr>
      <w:r w:rsidRPr="00AE259B">
        <w:t>(l) Liabilities</w:t>
      </w:r>
      <w:bookmarkEnd w:id="120"/>
    </w:p>
    <w:p w:rsidR="008A185A" w:rsidRPr="00AE259B" w:rsidRDefault="008A185A" w:rsidP="00DB6104">
      <w:pPr>
        <w:pStyle w:val="Heading30"/>
      </w:pPr>
      <w:r w:rsidRPr="00AE259B">
        <w:t>Payables</w:t>
      </w:r>
    </w:p>
    <w:p w:rsidR="008A185A" w:rsidRPr="00DB6104" w:rsidRDefault="008A185A" w:rsidP="008A185A">
      <w:pPr>
        <w:rPr>
          <w:rFonts w:ascii="Arial" w:hAnsi="Arial" w:cs="Arial"/>
        </w:rPr>
      </w:pPr>
      <w:r w:rsidRPr="00DB6104">
        <w:rPr>
          <w:rFonts w:ascii="Arial" w:hAnsi="Arial" w:cs="Arial"/>
        </w:rPr>
        <w:t>Payables consist of:</w:t>
      </w:r>
    </w:p>
    <w:p w:rsidR="008A185A" w:rsidRPr="00DB6104" w:rsidRDefault="008A185A" w:rsidP="008A185A">
      <w:pPr>
        <w:pStyle w:val="Bullets"/>
        <w:ind w:left="426" w:hanging="426"/>
        <w:rPr>
          <w:rFonts w:ascii="Arial" w:hAnsi="Arial" w:cs="Arial"/>
          <w:sz w:val="24"/>
          <w:szCs w:val="24"/>
        </w:rPr>
      </w:pPr>
      <w:r w:rsidRPr="00DB6104">
        <w:rPr>
          <w:rFonts w:ascii="Arial" w:hAnsi="Arial" w:cs="Arial"/>
          <w:sz w:val="24"/>
          <w:szCs w:val="24"/>
        </w:rPr>
        <w:t>contractual payables such as accounts payable and unearned income.  Accounts payable represent liabilities for goods and services provided to PTV prior to the end of the financial year that are unpaid and arise when PTV becomes obliged to make future payments in respect of the purchase of those goods and services; and</w:t>
      </w:r>
    </w:p>
    <w:p w:rsidR="008A185A" w:rsidRPr="00DB6104" w:rsidRDefault="008A185A" w:rsidP="008A185A">
      <w:pPr>
        <w:pStyle w:val="Bullets"/>
        <w:ind w:left="426" w:hanging="426"/>
        <w:rPr>
          <w:rFonts w:ascii="Arial" w:hAnsi="Arial" w:cs="Arial"/>
          <w:sz w:val="24"/>
          <w:szCs w:val="24"/>
        </w:rPr>
      </w:pPr>
      <w:r w:rsidRPr="00DB6104">
        <w:rPr>
          <w:rFonts w:ascii="Arial" w:hAnsi="Arial" w:cs="Arial"/>
          <w:sz w:val="24"/>
          <w:szCs w:val="24"/>
        </w:rPr>
        <w:t>statutory payables, such as goods and services tax and fringe benefits tax payables.</w:t>
      </w:r>
    </w:p>
    <w:p w:rsidR="008A185A" w:rsidRPr="00AE259B" w:rsidRDefault="008A185A" w:rsidP="008A185A">
      <w:pPr>
        <w:rPr>
          <w:rFonts w:ascii="Arial" w:hAnsi="Arial" w:cs="Arial"/>
        </w:rPr>
      </w:pPr>
      <w:r w:rsidRPr="00AE259B">
        <w:rPr>
          <w:rFonts w:ascii="Arial" w:hAnsi="Arial" w:cs="Arial"/>
        </w:rPr>
        <w:t>Contractual payables are classified as financial instruments and categorised as financial liabilities at amortised cost (refer to Note 1(i)). Statutory payables are recognised and measured similarly to contractual payables, but are not classified as financial instruments and not included in the category of financial liability at amortised cost, because they do not arise from a contract.</w:t>
      </w:r>
    </w:p>
    <w:p w:rsidR="00B556F5" w:rsidRDefault="00B556F5" w:rsidP="00DB6104">
      <w:pPr>
        <w:pStyle w:val="Heading30"/>
      </w:pPr>
    </w:p>
    <w:p w:rsidR="008A185A" w:rsidRPr="00AE259B" w:rsidRDefault="008A185A" w:rsidP="00DB6104">
      <w:pPr>
        <w:pStyle w:val="Heading30"/>
      </w:pPr>
      <w:r w:rsidRPr="00AE259B">
        <w:t>Borrowings</w:t>
      </w:r>
    </w:p>
    <w:p w:rsidR="008A185A" w:rsidRPr="00AE259B" w:rsidRDefault="008A185A" w:rsidP="008A185A">
      <w:pPr>
        <w:rPr>
          <w:rFonts w:ascii="Arial" w:hAnsi="Arial" w:cs="Arial"/>
        </w:rPr>
      </w:pPr>
      <w:r w:rsidRPr="00AE259B">
        <w:rPr>
          <w:rFonts w:ascii="Arial" w:hAnsi="Arial" w:cs="Arial"/>
        </w:rPr>
        <w:t>Borrowings are initially measured at fair value, being the cost of the interest bearing liabilities, net of transaction costs. (Refer to Note 1(m) Leases).</w:t>
      </w:r>
    </w:p>
    <w:p w:rsidR="008A185A" w:rsidRPr="00AE259B" w:rsidRDefault="008A185A" w:rsidP="008A185A">
      <w:pPr>
        <w:rPr>
          <w:rFonts w:ascii="Arial" w:hAnsi="Arial" w:cs="Arial"/>
        </w:rPr>
      </w:pPr>
      <w:r w:rsidRPr="00AE259B">
        <w:rPr>
          <w:rFonts w:ascii="Arial" w:hAnsi="Arial" w:cs="Arial"/>
        </w:rPr>
        <w:t xml:space="preserve">Subsequent to initial recognition, borrowings are measured at amortised cost with any difference between the initial recognised amount and the redemption borrowing being recognised in the net result over the period of the borrowing using the effective interest method. </w:t>
      </w:r>
    </w:p>
    <w:p w:rsidR="00B556F5" w:rsidRDefault="00B556F5" w:rsidP="00DB6104">
      <w:pPr>
        <w:pStyle w:val="Heading30"/>
      </w:pPr>
    </w:p>
    <w:p w:rsidR="008A185A" w:rsidRPr="00AE259B" w:rsidRDefault="008A185A" w:rsidP="00DB6104">
      <w:pPr>
        <w:pStyle w:val="Heading30"/>
      </w:pPr>
      <w:r w:rsidRPr="00AE259B">
        <w:t>Provisions</w:t>
      </w:r>
    </w:p>
    <w:p w:rsidR="008A185A" w:rsidRPr="00AE259B" w:rsidRDefault="008A185A" w:rsidP="008A185A">
      <w:pPr>
        <w:rPr>
          <w:rFonts w:ascii="Arial" w:hAnsi="Arial" w:cs="Arial"/>
        </w:rPr>
      </w:pPr>
      <w:r w:rsidRPr="00AE259B">
        <w:rPr>
          <w:rFonts w:ascii="Arial" w:hAnsi="Arial" w:cs="Arial"/>
        </w:rPr>
        <w:t>Provisions are recognised when PTV has a present obligation, the future sacrifice of economic benefits is probable, and the amount of the provision can be measured reliably.</w:t>
      </w:r>
    </w:p>
    <w:p w:rsidR="008A185A" w:rsidRPr="00AE259B" w:rsidRDefault="008A185A" w:rsidP="008A185A">
      <w:pPr>
        <w:rPr>
          <w:rFonts w:ascii="Arial" w:hAnsi="Arial" w:cs="Arial"/>
        </w:rPr>
      </w:pPr>
      <w:r w:rsidRPr="00AE259B">
        <w:rPr>
          <w:rFonts w:ascii="Arial" w:hAnsi="Arial" w:cs="Arial"/>
        </w:rPr>
        <w:t>The amount recognised as a liability is the best estimate of the consideration required to settle the present obligation at the end of the reporting period, taking into account the risks and uncertainties surrounding the obligation. Where a provision is measured using the cashflows estimated to settle the present obligation, its carrying amount is the present value of those cashflows, using a discount rate that reflects the time value of money and risks specific to the provision.</w:t>
      </w:r>
    </w:p>
    <w:p w:rsidR="008A185A" w:rsidRPr="00AE259B" w:rsidRDefault="008A185A" w:rsidP="008A185A">
      <w:pPr>
        <w:rPr>
          <w:rFonts w:ascii="Arial" w:hAnsi="Arial" w:cs="Arial"/>
        </w:rPr>
      </w:pPr>
      <w:r w:rsidRPr="00AE259B">
        <w:rPr>
          <w:rFonts w:ascii="Arial" w:hAnsi="Arial" w:cs="Arial"/>
        </w:rPr>
        <w:t>When some or all economic benefits required to settle a provision are expected to be received from a third party, the receivable is recognised as an asset if it is virtually certain that recovery will be received and the amount of receivable can be measured reliably.</w:t>
      </w:r>
    </w:p>
    <w:p w:rsidR="00B556F5" w:rsidRDefault="00B556F5" w:rsidP="00B556F5">
      <w:pPr>
        <w:pStyle w:val="Heading30"/>
      </w:pPr>
    </w:p>
    <w:p w:rsidR="008A185A" w:rsidRPr="00AE259B" w:rsidRDefault="008A185A" w:rsidP="00B556F5">
      <w:pPr>
        <w:pStyle w:val="Heading30"/>
      </w:pPr>
      <w:r w:rsidRPr="00AE259B">
        <w:t>Employee benefits</w:t>
      </w:r>
    </w:p>
    <w:p w:rsidR="008A185A" w:rsidRPr="00AE259B" w:rsidRDefault="008A185A" w:rsidP="008A185A">
      <w:pPr>
        <w:rPr>
          <w:rFonts w:ascii="Arial" w:hAnsi="Arial" w:cs="Arial"/>
        </w:rPr>
      </w:pPr>
      <w:r w:rsidRPr="00AE259B">
        <w:rPr>
          <w:rFonts w:ascii="Arial" w:hAnsi="Arial" w:cs="Arial"/>
        </w:rPr>
        <w:t>Provision is made for benefits accruing to employees in respect of wages and salaries, annual leave and long service leave for services rendered to the reporting date.</w:t>
      </w:r>
    </w:p>
    <w:p w:rsidR="00B556F5" w:rsidRDefault="00B556F5" w:rsidP="00B556F5">
      <w:pPr>
        <w:pStyle w:val="Heading40"/>
      </w:pPr>
    </w:p>
    <w:p w:rsidR="008A185A" w:rsidRPr="00AE259B" w:rsidRDefault="008A185A" w:rsidP="00B556F5">
      <w:pPr>
        <w:pStyle w:val="Heading40"/>
      </w:pPr>
      <w:r w:rsidRPr="00AE259B">
        <w:t xml:space="preserve">Wages and salaries and annual leave </w:t>
      </w:r>
    </w:p>
    <w:p w:rsidR="008A185A" w:rsidRDefault="008A185A" w:rsidP="008A185A">
      <w:pPr>
        <w:rPr>
          <w:rFonts w:ascii="Arial" w:hAnsi="Arial" w:cs="Arial"/>
        </w:rPr>
      </w:pPr>
      <w:r w:rsidRPr="00AE259B">
        <w:rPr>
          <w:rFonts w:ascii="Arial" w:hAnsi="Arial" w:cs="Arial"/>
        </w:rPr>
        <w:t>Liabilities for wages and salaries and annual leave are recognised in the provision for employee benefits, classified as current liabilities. Those liabilities which are expected to be settled within 12 months of the reporting period, are measured at their nominal values.</w:t>
      </w:r>
    </w:p>
    <w:p w:rsidR="00B556F5" w:rsidRPr="00AE259B" w:rsidRDefault="00B556F5"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Those liabilities that are not expected to be settled within 12 months are recognised in the provision for employee benefits as current liabilities, measured at present value of the amounts expected to be paid when the liabilities are settled using the remuneration rate expected to apply at the time of settlement.</w:t>
      </w:r>
    </w:p>
    <w:p w:rsidR="00B556F5" w:rsidRDefault="00B556F5" w:rsidP="00B556F5">
      <w:pPr>
        <w:pStyle w:val="Heading40"/>
      </w:pPr>
    </w:p>
    <w:p w:rsidR="008A185A" w:rsidRPr="00AE259B" w:rsidRDefault="008A185A" w:rsidP="00B556F5">
      <w:pPr>
        <w:pStyle w:val="Heading40"/>
      </w:pPr>
      <w:r w:rsidRPr="00AE259B">
        <w:t>Long service leave</w:t>
      </w:r>
    </w:p>
    <w:p w:rsidR="008A185A" w:rsidRDefault="008A185A" w:rsidP="008A185A">
      <w:pPr>
        <w:rPr>
          <w:rFonts w:ascii="Arial" w:hAnsi="Arial" w:cs="Arial"/>
        </w:rPr>
      </w:pPr>
      <w:r w:rsidRPr="00AE259B">
        <w:rPr>
          <w:rFonts w:ascii="Arial" w:hAnsi="Arial" w:cs="Arial"/>
        </w:rPr>
        <w:t>Liability for long service leave (LSL) is recognised in the provision for employee benefits.</w:t>
      </w:r>
    </w:p>
    <w:p w:rsidR="00B556F5" w:rsidRPr="00AE259B" w:rsidRDefault="00B556F5" w:rsidP="008A185A">
      <w:pPr>
        <w:rPr>
          <w:rFonts w:ascii="Arial" w:hAnsi="Arial" w:cs="Arial"/>
        </w:rPr>
      </w:pPr>
    </w:p>
    <w:p w:rsidR="008A185A" w:rsidRDefault="008A185A" w:rsidP="008A185A">
      <w:pPr>
        <w:rPr>
          <w:rFonts w:ascii="Arial" w:hAnsi="Arial" w:cs="Arial"/>
        </w:rPr>
      </w:pPr>
      <w:r w:rsidRPr="00AE259B">
        <w:rPr>
          <w:rFonts w:ascii="Arial" w:hAnsi="Arial" w:cs="Arial"/>
        </w:rPr>
        <w:t xml:space="preserve">Unconditional LSL is disclosed in the financial statements as a current liability even where the PTV does not expect to settle the liability within 12 months because it does not have an unconditional right to defer the settlement of the entitlement should an employee take leave within 12 months. </w:t>
      </w:r>
    </w:p>
    <w:p w:rsidR="00B556F5" w:rsidRPr="00AE259B" w:rsidRDefault="00B556F5" w:rsidP="008A185A">
      <w:pPr>
        <w:rPr>
          <w:rFonts w:ascii="Arial" w:hAnsi="Arial" w:cs="Arial"/>
        </w:rPr>
      </w:pPr>
    </w:p>
    <w:p w:rsidR="008A185A" w:rsidRPr="00B556F5" w:rsidRDefault="008A185A" w:rsidP="008A185A">
      <w:pPr>
        <w:rPr>
          <w:rFonts w:ascii="Arial" w:hAnsi="Arial" w:cs="Arial"/>
        </w:rPr>
      </w:pPr>
      <w:r w:rsidRPr="00B556F5">
        <w:rPr>
          <w:rFonts w:ascii="Arial" w:hAnsi="Arial" w:cs="Arial"/>
        </w:rPr>
        <w:t>The components of this current LSL liability are measured at:</w:t>
      </w:r>
    </w:p>
    <w:p w:rsidR="008A185A" w:rsidRPr="00B556F5" w:rsidRDefault="008A185A" w:rsidP="008A185A">
      <w:pPr>
        <w:pStyle w:val="Bullets"/>
        <w:ind w:left="426"/>
        <w:rPr>
          <w:rFonts w:ascii="Arial" w:hAnsi="Arial" w:cs="Arial"/>
          <w:sz w:val="24"/>
          <w:szCs w:val="24"/>
        </w:rPr>
      </w:pPr>
      <w:r w:rsidRPr="00B556F5">
        <w:rPr>
          <w:rFonts w:ascii="Arial" w:hAnsi="Arial" w:cs="Arial"/>
          <w:sz w:val="24"/>
          <w:szCs w:val="24"/>
        </w:rPr>
        <w:t>nominal value – component that PTV expects to settle within 12 months; and</w:t>
      </w:r>
    </w:p>
    <w:p w:rsidR="008A185A" w:rsidRPr="00B556F5" w:rsidRDefault="008A185A" w:rsidP="008A185A">
      <w:pPr>
        <w:pStyle w:val="Bullets"/>
        <w:ind w:left="426"/>
        <w:rPr>
          <w:rFonts w:ascii="Arial" w:hAnsi="Arial" w:cs="Arial"/>
          <w:sz w:val="24"/>
          <w:szCs w:val="24"/>
        </w:rPr>
      </w:pPr>
      <w:r w:rsidRPr="00B556F5">
        <w:rPr>
          <w:rFonts w:ascii="Arial" w:hAnsi="Arial" w:cs="Arial"/>
          <w:sz w:val="24"/>
          <w:szCs w:val="24"/>
        </w:rPr>
        <w:t>present value – component that PTV does not expect to settle within 12 months.</w:t>
      </w:r>
    </w:p>
    <w:p w:rsidR="008A185A" w:rsidRDefault="008A185A" w:rsidP="008A185A">
      <w:pPr>
        <w:rPr>
          <w:rFonts w:ascii="Arial" w:hAnsi="Arial" w:cs="Arial"/>
        </w:rPr>
      </w:pPr>
      <w:r w:rsidRPr="00AE259B">
        <w:rPr>
          <w:rFonts w:ascii="Arial" w:hAnsi="Arial" w:cs="Arial"/>
        </w:rPr>
        <w:t>Conditional LSL is disclosed in the financial statements as a non-current liability. There is an unconditional right to defer the settlement of the entitlement until the employee has completed the requisite years of service.  This non-current LSL liability is measured at present value using the official published discount rate by DTF.</w:t>
      </w:r>
    </w:p>
    <w:p w:rsidR="00B556F5" w:rsidRPr="00AE259B" w:rsidRDefault="00B556F5"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 xml:space="preserve">Any gain or loss following revaluation of the present value of non-current LSL liability is recognised as a transaction, except to the extent that a gain or loss arises due to changes in bond interest rates for which it is then recognised as an other economic flow (refer to Note 1(h). </w:t>
      </w:r>
      <w:r w:rsidRPr="00AE259B">
        <w:rPr>
          <w:rFonts w:ascii="Arial" w:hAnsi="Arial" w:cs="Arial"/>
          <w:iCs/>
        </w:rPr>
        <w:t>Other economic flows include in net result</w:t>
      </w:r>
      <w:r w:rsidRPr="00AE259B">
        <w:rPr>
          <w:rFonts w:ascii="Arial" w:hAnsi="Arial" w:cs="Arial"/>
        </w:rPr>
        <w:t>).</w:t>
      </w:r>
    </w:p>
    <w:p w:rsidR="00B556F5" w:rsidRDefault="00B556F5" w:rsidP="00B556F5">
      <w:pPr>
        <w:pStyle w:val="Heading40"/>
      </w:pPr>
    </w:p>
    <w:p w:rsidR="008A185A" w:rsidRPr="00AE259B" w:rsidRDefault="008A185A" w:rsidP="00B556F5">
      <w:pPr>
        <w:pStyle w:val="Heading40"/>
      </w:pPr>
      <w:r w:rsidRPr="00AE259B">
        <w:t>Termination benefits</w:t>
      </w:r>
    </w:p>
    <w:p w:rsidR="008A185A" w:rsidRPr="00AE259B" w:rsidRDefault="008A185A" w:rsidP="008A185A">
      <w:pPr>
        <w:rPr>
          <w:rFonts w:ascii="Arial" w:hAnsi="Arial" w:cs="Arial"/>
        </w:rPr>
      </w:pPr>
      <w:r w:rsidRPr="00AE259B">
        <w:rPr>
          <w:rFonts w:ascii="Arial" w:hAnsi="Arial" w:cs="Arial"/>
        </w:rPr>
        <w:t>Termination benefits are payable when employment is terminated before the normal retirement date, or when an employee accepts voluntary redundancy in exchange for these benefits.  PTV recognises termination benefits when it is demonstrably committed to either terminating the employment of current employees according to a detailed formal plan without possibility of withdrawal or providing termination benefits as a result of an offer made to encourage voluntary redundancy.  Benefits falling due more than 12 months after the end of the reporting period are discounted to present value.</w:t>
      </w:r>
    </w:p>
    <w:p w:rsidR="00B556F5" w:rsidRDefault="00B556F5" w:rsidP="00B556F5">
      <w:pPr>
        <w:pStyle w:val="Heading40"/>
      </w:pPr>
    </w:p>
    <w:p w:rsidR="008A185A" w:rsidRPr="00AE259B" w:rsidRDefault="008A185A" w:rsidP="00B556F5">
      <w:pPr>
        <w:pStyle w:val="Heading40"/>
      </w:pPr>
      <w:r w:rsidRPr="00AE259B">
        <w:t>Employee benefits on-costs</w:t>
      </w:r>
    </w:p>
    <w:p w:rsidR="008A185A" w:rsidRDefault="008A185A" w:rsidP="008A185A">
      <w:pPr>
        <w:rPr>
          <w:rFonts w:ascii="Arial" w:hAnsi="Arial" w:cs="Arial"/>
        </w:rPr>
      </w:pPr>
      <w:r w:rsidRPr="00AE259B">
        <w:rPr>
          <w:rFonts w:ascii="Arial" w:hAnsi="Arial" w:cs="Arial"/>
        </w:rPr>
        <w:t>Employee benefits on-costs such as payroll tax, workers compensation and superannuation are recognised separately from the provision for employee benefits.</w:t>
      </w:r>
    </w:p>
    <w:p w:rsidR="00B556F5" w:rsidRPr="00AE259B" w:rsidRDefault="00B556F5" w:rsidP="008A185A">
      <w:pPr>
        <w:rPr>
          <w:rFonts w:ascii="Arial" w:hAnsi="Arial" w:cs="Arial"/>
        </w:rPr>
      </w:pPr>
    </w:p>
    <w:p w:rsidR="008A185A" w:rsidRPr="00AE259B" w:rsidRDefault="008A185A" w:rsidP="00B556F5">
      <w:pPr>
        <w:pStyle w:val="Heading20"/>
      </w:pPr>
      <w:bookmarkStart w:id="121" w:name="_Toc337537706"/>
      <w:r w:rsidRPr="00AE259B">
        <w:t>(m) Leases</w:t>
      </w:r>
      <w:bookmarkEnd w:id="121"/>
    </w:p>
    <w:p w:rsidR="008A185A" w:rsidRDefault="008A185A" w:rsidP="008A185A">
      <w:pPr>
        <w:rPr>
          <w:rFonts w:ascii="Arial" w:hAnsi="Arial" w:cs="Arial"/>
        </w:rPr>
      </w:pPr>
      <w:r w:rsidRPr="00AE259B">
        <w:rPr>
          <w:rFonts w:ascii="Arial" w:hAnsi="Arial" w:cs="Arial"/>
        </w:rPr>
        <w:t>A lease is a right to use an asset for an agreed period of time in exchange for payment.</w:t>
      </w:r>
    </w:p>
    <w:p w:rsidR="00B556F5" w:rsidRPr="00AE259B" w:rsidRDefault="00B556F5"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Leases are classified at their inception as either operating or finance leases based on the economic substance of the agreement so as to reflect the risks and rewards incidental to ownership. Leases of property, plant and equipment are classified as finance infrastructure leases whenever the terms of the lease transfer substantially all the risks and rewards of ownership from the lessor to the lessee. All other leases are classified as operating leases.</w:t>
      </w:r>
    </w:p>
    <w:p w:rsidR="00B556F5" w:rsidRDefault="00B556F5" w:rsidP="00B556F5">
      <w:pPr>
        <w:pStyle w:val="Heading30"/>
      </w:pPr>
    </w:p>
    <w:p w:rsidR="008A185A" w:rsidRPr="00AE259B" w:rsidRDefault="008A185A" w:rsidP="00B556F5">
      <w:pPr>
        <w:pStyle w:val="Heading30"/>
      </w:pPr>
      <w:r w:rsidRPr="00AE259B">
        <w:t>Finance leases</w:t>
      </w:r>
    </w:p>
    <w:p w:rsidR="008A185A" w:rsidRPr="00AE259B" w:rsidRDefault="008A185A" w:rsidP="00B556F5">
      <w:pPr>
        <w:pStyle w:val="Heading40"/>
      </w:pPr>
      <w:r w:rsidRPr="00AE259B">
        <w:t>PTV as lessee</w:t>
      </w:r>
    </w:p>
    <w:p w:rsidR="008A185A" w:rsidRDefault="008A185A" w:rsidP="008A185A">
      <w:pPr>
        <w:rPr>
          <w:rFonts w:ascii="Arial" w:hAnsi="Arial" w:cs="Arial"/>
        </w:rPr>
      </w:pPr>
      <w:r w:rsidRPr="00AE259B">
        <w:rPr>
          <w:rFonts w:ascii="Arial" w:hAnsi="Arial" w:cs="Arial"/>
        </w:rPr>
        <w:t>At the commencement of the lease term, finance leases are initially recognised as assets and liabilities at amounts equal to the fair value of the lease property or, if lower, the present value of the minimum lease payment, each determined at the inception of the lease. The lease asset is depreciated over the shorter of the estimated useful life of the asset or the term of the lease.</w:t>
      </w:r>
    </w:p>
    <w:p w:rsidR="00B556F5" w:rsidRPr="00AE259B" w:rsidRDefault="00B556F5" w:rsidP="008A185A">
      <w:pPr>
        <w:rPr>
          <w:rFonts w:ascii="Arial" w:hAnsi="Arial" w:cs="Arial"/>
        </w:rPr>
      </w:pPr>
    </w:p>
    <w:p w:rsidR="008A185A" w:rsidRDefault="008A185A" w:rsidP="008A185A">
      <w:pPr>
        <w:rPr>
          <w:rFonts w:ascii="Arial" w:hAnsi="Arial" w:cs="Arial"/>
        </w:rPr>
      </w:pPr>
      <w:r w:rsidRPr="00AE259B">
        <w:rPr>
          <w:rFonts w:ascii="Arial" w:hAnsi="Arial" w:cs="Arial"/>
        </w:rPr>
        <w:t>Minimum finance lease payments are apportioned between reduction of the outstanding lease liability and periodic finance expense which is calculated using the interest rate implicit in the lease and charged directly to the comprehensive operating statement. Contingent rentals associated with finance leases are recognised as an expense in the period in which they are incurred.</w:t>
      </w:r>
    </w:p>
    <w:p w:rsidR="00B556F5" w:rsidRPr="00AE259B" w:rsidRDefault="00B556F5" w:rsidP="008A185A">
      <w:pPr>
        <w:rPr>
          <w:rFonts w:ascii="Arial" w:hAnsi="Arial" w:cs="Arial"/>
          <w:spacing w:val="-2"/>
        </w:rPr>
      </w:pPr>
    </w:p>
    <w:p w:rsidR="008A185A" w:rsidRPr="00AE259B" w:rsidRDefault="008A185A" w:rsidP="00B556F5">
      <w:pPr>
        <w:pStyle w:val="Heading30"/>
      </w:pPr>
      <w:r w:rsidRPr="00AE259B">
        <w:t>Operating leases</w:t>
      </w:r>
    </w:p>
    <w:p w:rsidR="008A185A" w:rsidRPr="00AE259B" w:rsidRDefault="008A185A" w:rsidP="00B556F5">
      <w:pPr>
        <w:pStyle w:val="Heading40"/>
      </w:pPr>
      <w:r w:rsidRPr="00AE259B">
        <w:t>PTV as lessee</w:t>
      </w:r>
    </w:p>
    <w:p w:rsidR="008A185A" w:rsidRPr="00AE259B" w:rsidRDefault="008A185A" w:rsidP="008A185A">
      <w:pPr>
        <w:rPr>
          <w:rFonts w:ascii="Arial" w:hAnsi="Arial" w:cs="Arial"/>
        </w:rPr>
      </w:pPr>
      <w:r w:rsidRPr="00AE259B">
        <w:rPr>
          <w:rFonts w:ascii="Arial" w:hAnsi="Arial" w:cs="Arial"/>
        </w:rPr>
        <w:t>Operating lease payments, including any contingent rentals, are recognised as an expense in the comprehensive operating statement on a straight line basis over the lease term, except where another systematic basis is more representative of the time pattern of the benefits derived from the use of the leased asset. The leased asset is not recognised in the balance sheet.</w:t>
      </w:r>
    </w:p>
    <w:p w:rsidR="00B556F5" w:rsidRDefault="00B556F5" w:rsidP="00B556F5">
      <w:pPr>
        <w:pStyle w:val="Heading20"/>
      </w:pPr>
      <w:bookmarkStart w:id="122" w:name="_Toc337537707"/>
    </w:p>
    <w:p w:rsidR="008A185A" w:rsidRPr="00AE259B" w:rsidRDefault="008A185A" w:rsidP="00B556F5">
      <w:pPr>
        <w:pStyle w:val="Heading20"/>
      </w:pPr>
      <w:r w:rsidRPr="00AE259B">
        <w:t>(n) Equity</w:t>
      </w:r>
      <w:bookmarkEnd w:id="122"/>
    </w:p>
    <w:p w:rsidR="008A185A" w:rsidRPr="00AE259B" w:rsidRDefault="008A185A" w:rsidP="00B556F5">
      <w:pPr>
        <w:pStyle w:val="Heading30"/>
      </w:pPr>
      <w:r w:rsidRPr="00AE259B">
        <w:t>Contributions by owners</w:t>
      </w:r>
    </w:p>
    <w:p w:rsidR="008A185A" w:rsidRDefault="008A185A" w:rsidP="008A185A">
      <w:pPr>
        <w:rPr>
          <w:rFonts w:ascii="Arial" w:hAnsi="Arial" w:cs="Arial"/>
        </w:rPr>
      </w:pPr>
      <w:r w:rsidRPr="00AE259B">
        <w:rPr>
          <w:rFonts w:ascii="Arial" w:hAnsi="Arial" w:cs="Arial"/>
        </w:rPr>
        <w:t>Additions to net assets which have been designated as contributions by owners are recognised as contributed capital. Other transfers that are in the nature of contributions or distributions have also been designated as contributions by owners.</w:t>
      </w:r>
    </w:p>
    <w:p w:rsidR="00B556F5" w:rsidRPr="00AE259B" w:rsidRDefault="00B556F5"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Transfers of net assets arising from administrative restructurings are treated as distributions to or contributions by owners.</w:t>
      </w:r>
    </w:p>
    <w:p w:rsidR="00B556F5" w:rsidRDefault="00B556F5" w:rsidP="00B556F5">
      <w:pPr>
        <w:pStyle w:val="Heading20"/>
      </w:pPr>
      <w:bookmarkStart w:id="123" w:name="_Toc337537708"/>
    </w:p>
    <w:p w:rsidR="008A185A" w:rsidRPr="00AE259B" w:rsidRDefault="008A185A" w:rsidP="00B556F5">
      <w:pPr>
        <w:pStyle w:val="Heading20"/>
      </w:pPr>
      <w:r w:rsidRPr="00AE259B">
        <w:t>(o) Commitments</w:t>
      </w:r>
      <w:bookmarkEnd w:id="123"/>
    </w:p>
    <w:p w:rsidR="008A185A" w:rsidRDefault="008A185A" w:rsidP="008A185A">
      <w:pPr>
        <w:rPr>
          <w:rFonts w:ascii="Arial" w:hAnsi="Arial" w:cs="Arial"/>
        </w:rPr>
      </w:pPr>
      <w:r w:rsidRPr="00AE259B">
        <w:rPr>
          <w:rFonts w:ascii="Arial" w:hAnsi="Arial" w:cs="Arial"/>
        </w:rPr>
        <w:t>Commitments for future expenditure include operating and capital commitments arising from contracts.  These commitments are disclosed by way of a note (refer to Note 14 Commitments for expenditure) at their nominal value and inclusive of the goods and services tax (GST) payable. In addition, where it is considered appropriate and provides additional relevant information to users, the net present values of significant individual projects are stated.  These future expenditure ceases to be disclosed as commitments once the related liabilities are recognised in the balance sheet.</w:t>
      </w:r>
    </w:p>
    <w:p w:rsidR="00B556F5" w:rsidRPr="00AE259B" w:rsidRDefault="00B556F5" w:rsidP="008A185A">
      <w:pPr>
        <w:rPr>
          <w:rFonts w:ascii="Arial" w:hAnsi="Arial" w:cs="Arial"/>
        </w:rPr>
      </w:pPr>
    </w:p>
    <w:p w:rsidR="008A185A" w:rsidRPr="00AE259B" w:rsidRDefault="008A185A" w:rsidP="00B556F5">
      <w:pPr>
        <w:pStyle w:val="Heading20"/>
      </w:pPr>
      <w:bookmarkStart w:id="124" w:name="_Toc337537709"/>
      <w:r w:rsidRPr="00AE259B">
        <w:t>(p) Contingent assets and contingent liabilities</w:t>
      </w:r>
      <w:bookmarkEnd w:id="124"/>
    </w:p>
    <w:p w:rsidR="008A185A" w:rsidRDefault="008A185A" w:rsidP="008A185A">
      <w:pPr>
        <w:rPr>
          <w:rFonts w:ascii="Arial" w:hAnsi="Arial" w:cs="Arial"/>
        </w:rPr>
      </w:pPr>
      <w:r w:rsidRPr="00AE259B">
        <w:rPr>
          <w:rFonts w:ascii="Arial" w:hAnsi="Arial" w:cs="Arial"/>
        </w:rPr>
        <w:t>Contingent assets and contingent liabilities are not recognised in the balance sheet, but are disclosed by way of a note (refer to Note 15 Contingent assets and liabilities) and, if quantifiable, are measured at nominal value. Contingent assets and liabilities are presented inclusive of GST receivable or payable respectively.</w:t>
      </w:r>
    </w:p>
    <w:p w:rsidR="00B556F5" w:rsidRPr="00AE259B" w:rsidRDefault="00B556F5" w:rsidP="008A185A">
      <w:pPr>
        <w:rPr>
          <w:rFonts w:ascii="Arial" w:hAnsi="Arial" w:cs="Arial"/>
        </w:rPr>
      </w:pPr>
    </w:p>
    <w:p w:rsidR="008A185A" w:rsidRPr="00AE259B" w:rsidRDefault="008A185A" w:rsidP="00B556F5">
      <w:pPr>
        <w:pStyle w:val="Heading20"/>
      </w:pPr>
      <w:bookmarkStart w:id="125" w:name="_Toc337537710"/>
      <w:r w:rsidRPr="00AE259B">
        <w:t>(q) Accounting for the Goods and Services Tax (GST</w:t>
      </w:r>
      <w:bookmarkEnd w:id="125"/>
      <w:r w:rsidRPr="00AE259B">
        <w:t>)</w:t>
      </w:r>
    </w:p>
    <w:p w:rsidR="008A185A" w:rsidRDefault="008A185A" w:rsidP="008A185A">
      <w:pPr>
        <w:rPr>
          <w:rFonts w:ascii="Arial" w:hAnsi="Arial" w:cs="Arial"/>
        </w:rPr>
      </w:pPr>
      <w:r w:rsidRPr="00AE259B">
        <w:rPr>
          <w:rFonts w:ascii="Arial" w:hAnsi="Arial" w:cs="Arial"/>
        </w:rPr>
        <w:t>Income, expenses and assets are recognised net of the amount of associated GST, unless the GST incurred is not recoverable from the taxation authority. In this case it is recognised as part of the cost of acquisition of the asset or as part of the expense.</w:t>
      </w:r>
    </w:p>
    <w:p w:rsidR="00B556F5" w:rsidRPr="00AE259B" w:rsidRDefault="00B556F5" w:rsidP="008A185A">
      <w:pPr>
        <w:rPr>
          <w:rFonts w:ascii="Arial" w:hAnsi="Arial" w:cs="Arial"/>
        </w:rPr>
      </w:pPr>
    </w:p>
    <w:p w:rsidR="008A185A" w:rsidRDefault="008A185A" w:rsidP="008A185A">
      <w:pPr>
        <w:rPr>
          <w:rFonts w:ascii="Arial" w:hAnsi="Arial" w:cs="Arial"/>
        </w:rPr>
      </w:pPr>
      <w:r w:rsidRPr="00AE259B">
        <w:rPr>
          <w:rFonts w:ascii="Arial" w:hAnsi="Arial" w:cs="Arial"/>
        </w:rPr>
        <w:t>Receivables and payables are stated inclusive of the amount of GST receivable or payable. The net amount of GST recoverable from or payable to the taxation authority is included with other receivables or payables in the balance sheet.</w:t>
      </w:r>
    </w:p>
    <w:p w:rsidR="00B556F5" w:rsidRPr="00AE259B" w:rsidRDefault="00B556F5" w:rsidP="008A185A">
      <w:pPr>
        <w:rPr>
          <w:rFonts w:ascii="Arial" w:hAnsi="Arial" w:cs="Arial"/>
        </w:rPr>
      </w:pPr>
    </w:p>
    <w:p w:rsidR="008A185A" w:rsidRDefault="008A185A" w:rsidP="008A185A">
      <w:pPr>
        <w:rPr>
          <w:rFonts w:ascii="Arial" w:hAnsi="Arial" w:cs="Arial"/>
        </w:rPr>
      </w:pPr>
      <w:r w:rsidRPr="00AE259B">
        <w:rPr>
          <w:rFonts w:ascii="Arial" w:hAnsi="Arial" w:cs="Arial"/>
        </w:rPr>
        <w:t>Cash flows are presented on a gross basis. The GST components of cash flows arising from investing or financing activities which are recoverable from or payable to the taxation authority are presented as operating cash flow.</w:t>
      </w:r>
    </w:p>
    <w:p w:rsidR="00B556F5" w:rsidRPr="00AE259B" w:rsidRDefault="00B556F5" w:rsidP="008A185A">
      <w:pPr>
        <w:rPr>
          <w:rFonts w:ascii="Arial" w:hAnsi="Arial" w:cs="Arial"/>
        </w:rPr>
      </w:pPr>
    </w:p>
    <w:p w:rsidR="008A185A" w:rsidRDefault="008A185A" w:rsidP="008A185A">
      <w:pPr>
        <w:rPr>
          <w:rFonts w:ascii="Arial" w:hAnsi="Arial" w:cs="Arial"/>
        </w:rPr>
      </w:pPr>
      <w:r w:rsidRPr="00AE259B">
        <w:rPr>
          <w:rFonts w:ascii="Arial" w:hAnsi="Arial" w:cs="Arial"/>
        </w:rPr>
        <w:t>Commitments, contingent assets and liabilities are also stated inclusive of GST (refer to Note 1(o) and Note 1(p)).</w:t>
      </w:r>
    </w:p>
    <w:p w:rsidR="008B4655" w:rsidRPr="00AE259B" w:rsidRDefault="008B4655" w:rsidP="008A185A">
      <w:pPr>
        <w:rPr>
          <w:rFonts w:ascii="Arial" w:hAnsi="Arial" w:cs="Arial"/>
        </w:rPr>
      </w:pPr>
    </w:p>
    <w:p w:rsidR="008A185A" w:rsidRPr="00AE259B" w:rsidRDefault="008A185A" w:rsidP="008B4655">
      <w:pPr>
        <w:pStyle w:val="Heading20"/>
      </w:pPr>
      <w:bookmarkStart w:id="126" w:name="_Toc337537711"/>
      <w:r w:rsidRPr="00AE259B">
        <w:t>(r) Foreign currency transactions</w:t>
      </w:r>
    </w:p>
    <w:p w:rsidR="008A185A" w:rsidRPr="00AE259B" w:rsidRDefault="008A185A" w:rsidP="008B4655">
      <w:pPr>
        <w:pStyle w:val="Normal1"/>
        <w:rPr>
          <w:b/>
        </w:rPr>
      </w:pPr>
      <w:r w:rsidRPr="00AE259B">
        <w:t>All foreign currency transactions during the financial year are brought to account using the exchange rate in effect at the date of the transaction.</w:t>
      </w:r>
    </w:p>
    <w:p w:rsidR="008A185A" w:rsidRPr="00AE259B" w:rsidRDefault="008A185A" w:rsidP="008B4655">
      <w:pPr>
        <w:pStyle w:val="Normal1"/>
      </w:pPr>
    </w:p>
    <w:p w:rsidR="008A185A" w:rsidRPr="00AE259B" w:rsidRDefault="008A185A" w:rsidP="008B4655">
      <w:pPr>
        <w:pStyle w:val="Heading20"/>
      </w:pPr>
      <w:r w:rsidRPr="00AE259B">
        <w:t>(s) Events after the reporting period</w:t>
      </w:r>
      <w:bookmarkEnd w:id="126"/>
    </w:p>
    <w:p w:rsidR="008B4655" w:rsidRDefault="008A185A" w:rsidP="008A185A">
      <w:pPr>
        <w:rPr>
          <w:rFonts w:ascii="Arial" w:hAnsi="Arial" w:cs="Arial"/>
        </w:rPr>
      </w:pPr>
      <w:r w:rsidRPr="00AE259B">
        <w:rPr>
          <w:rFonts w:ascii="Arial" w:hAnsi="Arial" w:cs="Arial"/>
        </w:rPr>
        <w:t xml:space="preserve">Assets, liabilities, income or expenses arise from past transactions or other past events. Where the transactions result from an agreement between PTV and other parties, the transactions are only recognised when the agreement is irrevocable at or before the end of the reporting period. </w:t>
      </w:r>
    </w:p>
    <w:p w:rsidR="008B4655" w:rsidRDefault="008B4655"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Adjustments are made to amounts recognised in the financial statements for events which occur after the reporting period and before the date the financial statements are authorised for issue, where those events provide information about conditions which existed in the reporting period. Note disclosure is made about events between the end of the reporting period and the date the financial statements are authorised for issue where the events relate to conditions which arose after the end of the reporting period and which may have a material impact on the results of subsequent years.</w:t>
      </w:r>
    </w:p>
    <w:p w:rsidR="008B4655" w:rsidRDefault="008B4655" w:rsidP="008B4655">
      <w:pPr>
        <w:pStyle w:val="Heading20"/>
      </w:pPr>
      <w:bookmarkStart w:id="127" w:name="_Toc337537712"/>
    </w:p>
    <w:p w:rsidR="008A185A" w:rsidRPr="00AE259B" w:rsidRDefault="008A185A" w:rsidP="008B4655">
      <w:pPr>
        <w:pStyle w:val="Heading20"/>
      </w:pPr>
      <w:r w:rsidRPr="00AE259B">
        <w:t>(t) New accounting standards and interpretations</w:t>
      </w:r>
      <w:bookmarkEnd w:id="127"/>
    </w:p>
    <w:p w:rsidR="008A185A" w:rsidRDefault="008A185A" w:rsidP="008A185A">
      <w:pPr>
        <w:rPr>
          <w:rFonts w:ascii="Arial" w:hAnsi="Arial" w:cs="Arial"/>
        </w:rPr>
      </w:pPr>
      <w:r w:rsidRPr="00AE259B">
        <w:rPr>
          <w:rFonts w:ascii="Arial" w:hAnsi="Arial" w:cs="Arial"/>
        </w:rPr>
        <w:t>Certain new AASs have been published that are not mandatory for the 30 June 2013 reporting period. DTF assesses the impact of these new standards and advises PTV of their applicability and early adoption where applicable.</w:t>
      </w:r>
    </w:p>
    <w:p w:rsidR="008B4655" w:rsidRPr="00AE259B" w:rsidRDefault="008B4655"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As at 30 June 2013, the following standards and interpretations (applicable to PTV) had been issued but were not mandatory for the financial year ending 30 June 2013.  PTV has not early adopted these standards.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05"/>
        <w:gridCol w:w="2680"/>
        <w:gridCol w:w="1277"/>
        <w:gridCol w:w="2244"/>
      </w:tblGrid>
      <w:tr w:rsidR="008A185A" w:rsidRPr="00AE259B" w:rsidTr="008A185A">
        <w:trPr>
          <w:trHeight w:val="58"/>
          <w:tblHeader/>
        </w:trPr>
        <w:tc>
          <w:tcPr>
            <w:tcW w:w="1267" w:type="pct"/>
            <w:tcMar>
              <w:top w:w="57" w:type="dxa"/>
              <w:left w:w="113" w:type="dxa"/>
              <w:bottom w:w="85" w:type="dxa"/>
              <w:right w:w="113" w:type="dxa"/>
            </w:tcMar>
          </w:tcPr>
          <w:p w:rsidR="008A185A" w:rsidRPr="00AE259B" w:rsidRDefault="008A185A" w:rsidP="008A185A">
            <w:pPr>
              <w:pStyle w:val="TableHeading"/>
              <w:jc w:val="left"/>
              <w:rPr>
                <w:rFonts w:ascii="Arial" w:hAnsi="Arial" w:cs="Arial"/>
              </w:rPr>
            </w:pPr>
            <w:r w:rsidRPr="00AE259B">
              <w:rPr>
                <w:rFonts w:ascii="Arial" w:hAnsi="Arial" w:cs="Arial"/>
              </w:rPr>
              <w:t>Standard/Interpretation</w:t>
            </w:r>
          </w:p>
        </w:tc>
        <w:tc>
          <w:tcPr>
            <w:tcW w:w="1613" w:type="pct"/>
            <w:tcMar>
              <w:top w:w="57" w:type="dxa"/>
              <w:left w:w="113" w:type="dxa"/>
              <w:bottom w:w="85" w:type="dxa"/>
              <w:right w:w="113" w:type="dxa"/>
            </w:tcMar>
          </w:tcPr>
          <w:p w:rsidR="008A185A" w:rsidRPr="00AE259B" w:rsidRDefault="008A185A" w:rsidP="008A185A">
            <w:pPr>
              <w:pStyle w:val="TableHeading"/>
              <w:jc w:val="left"/>
              <w:rPr>
                <w:rFonts w:ascii="Arial" w:hAnsi="Arial" w:cs="Arial"/>
              </w:rPr>
            </w:pPr>
            <w:r w:rsidRPr="00AE259B">
              <w:rPr>
                <w:rFonts w:ascii="Arial" w:hAnsi="Arial" w:cs="Arial"/>
              </w:rPr>
              <w:t>Summary</w:t>
            </w:r>
          </w:p>
        </w:tc>
        <w:tc>
          <w:tcPr>
            <w:tcW w:w="769" w:type="pct"/>
            <w:tcMar>
              <w:top w:w="57" w:type="dxa"/>
              <w:left w:w="113" w:type="dxa"/>
              <w:bottom w:w="85" w:type="dxa"/>
              <w:right w:w="113" w:type="dxa"/>
            </w:tcMar>
          </w:tcPr>
          <w:p w:rsidR="008A185A" w:rsidRPr="00AE259B" w:rsidRDefault="008A185A" w:rsidP="008A185A">
            <w:pPr>
              <w:pStyle w:val="TableHeading"/>
              <w:jc w:val="left"/>
              <w:rPr>
                <w:rFonts w:ascii="Arial" w:hAnsi="Arial" w:cs="Arial"/>
              </w:rPr>
            </w:pPr>
            <w:r w:rsidRPr="00AE259B">
              <w:rPr>
                <w:rFonts w:ascii="Arial" w:hAnsi="Arial" w:cs="Arial"/>
              </w:rPr>
              <w:t>Applicable for annual reporting periods beginning on</w:t>
            </w:r>
          </w:p>
        </w:tc>
        <w:tc>
          <w:tcPr>
            <w:tcW w:w="1351" w:type="pct"/>
            <w:tcMar>
              <w:top w:w="57" w:type="dxa"/>
              <w:left w:w="113" w:type="dxa"/>
              <w:bottom w:w="85" w:type="dxa"/>
              <w:right w:w="113" w:type="dxa"/>
            </w:tcMar>
          </w:tcPr>
          <w:p w:rsidR="008A185A" w:rsidRPr="00AE259B" w:rsidRDefault="008A185A" w:rsidP="008A185A">
            <w:pPr>
              <w:pStyle w:val="TableHeading"/>
              <w:jc w:val="left"/>
              <w:rPr>
                <w:rFonts w:ascii="Arial" w:hAnsi="Arial" w:cs="Arial"/>
              </w:rPr>
            </w:pPr>
            <w:r w:rsidRPr="00AE259B">
              <w:rPr>
                <w:rFonts w:ascii="Arial" w:hAnsi="Arial" w:cs="Arial"/>
              </w:rPr>
              <w:t>Impact on public sector entity financial statements</w:t>
            </w:r>
          </w:p>
        </w:tc>
      </w:tr>
      <w:tr w:rsidR="008A185A" w:rsidRPr="00AE259B" w:rsidTr="008A185A">
        <w:trPr>
          <w:trHeight w:val="58"/>
        </w:trPr>
        <w:tc>
          <w:tcPr>
            <w:tcW w:w="1267"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 xml:space="preserve">AASB 9 </w:t>
            </w:r>
            <w:r w:rsidRPr="00AE259B">
              <w:rPr>
                <w:rFonts w:ascii="Arial" w:hAnsi="Arial" w:cs="Arial"/>
                <w:i/>
              </w:rPr>
              <w:t>Financial instruments</w:t>
            </w:r>
          </w:p>
        </w:tc>
        <w:tc>
          <w:tcPr>
            <w:tcW w:w="1613"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 xml:space="preserve">This standard simplifies requirements for the classification and measurement of financial assets resulting from Phase 1 of the IASB’s project to replace IAS 39 </w:t>
            </w:r>
            <w:r w:rsidRPr="00AE259B">
              <w:rPr>
                <w:rFonts w:ascii="Arial" w:hAnsi="Arial" w:cs="Arial"/>
                <w:i/>
              </w:rPr>
              <w:t>Financial Instruments: Recognition and Measurement</w:t>
            </w:r>
            <w:r w:rsidRPr="00AE259B">
              <w:rPr>
                <w:rFonts w:ascii="Arial" w:hAnsi="Arial" w:cs="Arial"/>
              </w:rPr>
              <w:t xml:space="preserve"> (AASB 139 </w:t>
            </w:r>
            <w:r w:rsidRPr="00AE259B">
              <w:rPr>
                <w:rFonts w:ascii="Arial" w:hAnsi="Arial" w:cs="Arial"/>
                <w:i/>
              </w:rPr>
              <w:t>Financial Instruments: Recognition and Measurement</w:t>
            </w:r>
            <w:r w:rsidRPr="00AE259B">
              <w:rPr>
                <w:rFonts w:ascii="Arial" w:hAnsi="Arial" w:cs="Arial"/>
              </w:rPr>
              <w:t>).</w:t>
            </w:r>
          </w:p>
        </w:tc>
        <w:tc>
          <w:tcPr>
            <w:tcW w:w="769"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1 January 2015</w:t>
            </w:r>
          </w:p>
        </w:tc>
        <w:tc>
          <w:tcPr>
            <w:tcW w:w="1351" w:type="pct"/>
            <w:tcMar>
              <w:top w:w="113" w:type="dxa"/>
              <w:left w:w="113" w:type="dxa"/>
              <w:bottom w:w="113" w:type="dxa"/>
              <w:right w:w="113" w:type="dxa"/>
            </w:tcMar>
          </w:tcPr>
          <w:tbl>
            <w:tblPr>
              <w:tblW w:w="0" w:type="auto"/>
              <w:tblBorders>
                <w:top w:val="nil"/>
                <w:left w:val="nil"/>
                <w:bottom w:val="nil"/>
                <w:right w:val="nil"/>
              </w:tblBorders>
              <w:tblLook w:val="0000" w:firstRow="0" w:lastRow="0" w:firstColumn="0" w:lastColumn="0" w:noHBand="0" w:noVBand="0"/>
            </w:tblPr>
            <w:tblGrid>
              <w:gridCol w:w="2018"/>
            </w:tblGrid>
            <w:tr w:rsidR="008A185A" w:rsidRPr="00AE259B" w:rsidTr="008A185A">
              <w:trPr>
                <w:trHeight w:val="845"/>
              </w:trPr>
              <w:tc>
                <w:tcPr>
                  <w:tcW w:w="0" w:type="auto"/>
                </w:tcPr>
                <w:p w:rsidR="008A185A" w:rsidRPr="00AE259B" w:rsidRDefault="008A185A" w:rsidP="008A185A">
                  <w:pPr>
                    <w:pStyle w:val="Tablecopy"/>
                    <w:ind w:left="-36"/>
                    <w:rPr>
                      <w:rFonts w:ascii="Arial" w:hAnsi="Arial" w:cs="Arial"/>
                    </w:rPr>
                  </w:pPr>
                  <w:r w:rsidRPr="00AE259B">
                    <w:rPr>
                      <w:rFonts w:ascii="Arial" w:hAnsi="Arial" w:cs="Arial"/>
                    </w:rPr>
                    <w:t xml:space="preserve"> Subject to AASB’s further modifications to AASB 9, together with the anticipated changes resulting from the staged projects on impairments and hedge accounting, details of impacts will be assessed. </w:t>
                  </w:r>
                </w:p>
              </w:tc>
            </w:tr>
          </w:tbl>
          <w:p w:rsidR="008A185A" w:rsidRPr="00AE259B" w:rsidRDefault="008A185A" w:rsidP="008A185A">
            <w:pPr>
              <w:pStyle w:val="Tablecopy"/>
              <w:rPr>
                <w:rFonts w:ascii="Arial" w:hAnsi="Arial" w:cs="Arial"/>
              </w:rPr>
            </w:pPr>
          </w:p>
        </w:tc>
      </w:tr>
      <w:tr w:rsidR="008A185A" w:rsidRPr="00AE259B" w:rsidTr="008A185A">
        <w:trPr>
          <w:trHeight w:val="58"/>
        </w:trPr>
        <w:tc>
          <w:tcPr>
            <w:tcW w:w="1267"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 xml:space="preserve">AASB 13 </w:t>
            </w:r>
            <w:r w:rsidRPr="00AE259B">
              <w:rPr>
                <w:rFonts w:ascii="Arial" w:hAnsi="Arial" w:cs="Arial"/>
                <w:i/>
              </w:rPr>
              <w:t>Fair Value Measurement</w:t>
            </w:r>
          </w:p>
        </w:tc>
        <w:tc>
          <w:tcPr>
            <w:tcW w:w="1613" w:type="pct"/>
            <w:tcMar>
              <w:top w:w="113" w:type="dxa"/>
              <w:left w:w="113" w:type="dxa"/>
              <w:bottom w:w="113" w:type="dxa"/>
              <w:right w:w="113" w:type="dxa"/>
            </w:tcMar>
          </w:tcPr>
          <w:p w:rsidR="008A185A" w:rsidRPr="00AE259B" w:rsidRDefault="008A185A" w:rsidP="008A185A">
            <w:pPr>
              <w:pStyle w:val="Default"/>
              <w:rPr>
                <w:rFonts w:ascii="Arial" w:hAnsi="Arial" w:cs="Arial"/>
              </w:rPr>
            </w:pPr>
            <w:r w:rsidRPr="00AE259B">
              <w:rPr>
                <w:rFonts w:ascii="Arial" w:hAnsi="Arial" w:cs="Arial"/>
                <w:sz w:val="16"/>
                <w:szCs w:val="16"/>
              </w:rPr>
              <w:t xml:space="preserve">This Standard outlines the requirements for measuring the fair value of assets and liabilities and replaces the existing fair value definition and guidance in other Australian accounting standards. AASB 13 includes a ‘fair value hierarchy’ which ranks the valuation technique inputs into three levels using unadjusted quoted prices in active markets for identical assets or liabilities; other observable inputs; and unobservable inputs. </w:t>
            </w:r>
          </w:p>
        </w:tc>
        <w:tc>
          <w:tcPr>
            <w:tcW w:w="769"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1 January 2013</w:t>
            </w:r>
          </w:p>
        </w:tc>
        <w:tc>
          <w:tcPr>
            <w:tcW w:w="1351"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Disclosure for fair value measurements using unobservable inputs are relatively detailed compared to disclosure for fair value measurements using observable inputs. Consequently, the standard may increase the disclosures for public sector entities that have assets measured using depreciated replacement cost.</w:t>
            </w:r>
          </w:p>
        </w:tc>
      </w:tr>
      <w:tr w:rsidR="008A185A" w:rsidRPr="00AE259B" w:rsidTr="008A185A">
        <w:trPr>
          <w:trHeight w:val="58"/>
        </w:trPr>
        <w:tc>
          <w:tcPr>
            <w:tcW w:w="1267"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 xml:space="preserve">AASB 119 </w:t>
            </w:r>
            <w:r w:rsidRPr="00AE259B">
              <w:rPr>
                <w:rFonts w:ascii="Arial" w:hAnsi="Arial" w:cs="Arial"/>
                <w:i/>
              </w:rPr>
              <w:t>Employee Benefits</w:t>
            </w:r>
          </w:p>
        </w:tc>
        <w:tc>
          <w:tcPr>
            <w:tcW w:w="1613" w:type="pct"/>
            <w:tcMar>
              <w:top w:w="113" w:type="dxa"/>
              <w:left w:w="113" w:type="dxa"/>
              <w:bottom w:w="113" w:type="dxa"/>
              <w:right w:w="113" w:type="dxa"/>
            </w:tcMar>
          </w:tcPr>
          <w:p w:rsidR="008A185A" w:rsidRPr="00AE259B" w:rsidRDefault="008A185A" w:rsidP="008A185A">
            <w:pPr>
              <w:pStyle w:val="Default"/>
              <w:rPr>
                <w:rFonts w:ascii="Arial" w:hAnsi="Arial" w:cs="Arial"/>
                <w:sz w:val="16"/>
                <w:szCs w:val="16"/>
              </w:rPr>
            </w:pPr>
            <w:r w:rsidRPr="00AE259B">
              <w:rPr>
                <w:rFonts w:ascii="Arial" w:hAnsi="Arial" w:cs="Arial"/>
                <w:sz w:val="16"/>
                <w:szCs w:val="16"/>
              </w:rPr>
              <w:t xml:space="preserve">In this revised Standard for defined benefit superannuation plans, there is a change to the methodology in the calculation of superannuation expenses, in particular there is now a change in the split between superannuation interest expense (classified as transactions) and actuarial gains and losses (classified as ‘Other economic flows – other movements in equity’) reported on the comprehensive operating statement. </w:t>
            </w:r>
          </w:p>
          <w:p w:rsidR="008A185A" w:rsidRPr="00AE259B" w:rsidRDefault="008A185A" w:rsidP="008A185A">
            <w:pPr>
              <w:pStyle w:val="Tablecopy"/>
              <w:rPr>
                <w:rFonts w:ascii="Arial" w:hAnsi="Arial" w:cs="Arial"/>
              </w:rPr>
            </w:pPr>
          </w:p>
        </w:tc>
        <w:tc>
          <w:tcPr>
            <w:tcW w:w="769"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1 January 2013</w:t>
            </w:r>
          </w:p>
        </w:tc>
        <w:tc>
          <w:tcPr>
            <w:tcW w:w="1351" w:type="pct"/>
            <w:tcMar>
              <w:top w:w="113" w:type="dxa"/>
              <w:left w:w="113" w:type="dxa"/>
              <w:bottom w:w="113" w:type="dxa"/>
              <w:right w:w="113" w:type="dxa"/>
            </w:tcMar>
          </w:tcPr>
          <w:p w:rsidR="008A185A" w:rsidRPr="00AE259B" w:rsidRDefault="008A185A" w:rsidP="008A185A">
            <w:pPr>
              <w:pStyle w:val="Default"/>
              <w:rPr>
                <w:rFonts w:ascii="Arial" w:hAnsi="Arial" w:cs="Arial"/>
                <w:sz w:val="16"/>
                <w:szCs w:val="16"/>
              </w:rPr>
            </w:pPr>
            <w:r w:rsidRPr="00AE259B">
              <w:rPr>
                <w:rFonts w:ascii="Arial" w:hAnsi="Arial" w:cs="Arial"/>
                <w:sz w:val="16"/>
                <w:szCs w:val="16"/>
              </w:rPr>
              <w:t xml:space="preserve">Not-for-profit entities are not permitted to apply this Standard prior to the mandatory application date. </w:t>
            </w:r>
          </w:p>
          <w:p w:rsidR="008A185A" w:rsidRPr="00AE259B" w:rsidRDefault="008A185A" w:rsidP="008A185A">
            <w:pPr>
              <w:pStyle w:val="Tablecopy"/>
              <w:rPr>
                <w:rFonts w:ascii="Arial" w:hAnsi="Arial" w:cs="Arial"/>
              </w:rPr>
            </w:pPr>
            <w:r w:rsidRPr="00AE259B">
              <w:rPr>
                <w:rFonts w:ascii="Arial" w:hAnsi="Arial" w:cs="Arial"/>
                <w:szCs w:val="16"/>
              </w:rPr>
              <w:t xml:space="preserve">While the total superannuation expense is unchanged, the revised methodology is expected to have a negative impact on the net result from transactions of a few Victorian public sector entities that report superannuation defined benefit plans. </w:t>
            </w:r>
          </w:p>
        </w:tc>
      </w:tr>
      <w:tr w:rsidR="008A185A" w:rsidRPr="00AE259B" w:rsidTr="008A185A">
        <w:trPr>
          <w:trHeight w:val="58"/>
        </w:trPr>
        <w:tc>
          <w:tcPr>
            <w:tcW w:w="1267"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 xml:space="preserve">AASB 1053 </w:t>
            </w:r>
            <w:r w:rsidRPr="00AE259B">
              <w:rPr>
                <w:rFonts w:ascii="Arial" w:hAnsi="Arial" w:cs="Arial"/>
                <w:i/>
              </w:rPr>
              <w:t>Application of Tiers of Australian Accounting standards</w:t>
            </w:r>
          </w:p>
        </w:tc>
        <w:tc>
          <w:tcPr>
            <w:tcW w:w="1613"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This Standard establishes a differential financial reporting framework consisting of two tiers of reporting requirements for preparing general purpose financial statements.</w:t>
            </w:r>
          </w:p>
        </w:tc>
        <w:tc>
          <w:tcPr>
            <w:tcW w:w="769"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1 July 2013</w:t>
            </w:r>
          </w:p>
        </w:tc>
        <w:tc>
          <w:tcPr>
            <w:tcW w:w="1351"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The Victorian Government is currently considering the impacts of Reduced Disclosure Requirements (RDRs) for certain public sector entities, and has not decided if RDRs will be implemented in the Victorian public sector.</w:t>
            </w:r>
          </w:p>
        </w:tc>
      </w:tr>
      <w:tr w:rsidR="008A185A" w:rsidRPr="00AE259B" w:rsidTr="008A185A">
        <w:trPr>
          <w:trHeight w:val="58"/>
        </w:trPr>
        <w:tc>
          <w:tcPr>
            <w:tcW w:w="1267" w:type="pct"/>
            <w:tcMar>
              <w:top w:w="113" w:type="dxa"/>
              <w:left w:w="113" w:type="dxa"/>
              <w:bottom w:w="113" w:type="dxa"/>
              <w:right w:w="113" w:type="dxa"/>
            </w:tcMar>
          </w:tcPr>
          <w:p w:rsidR="008A185A" w:rsidRPr="00AE259B" w:rsidRDefault="008A185A" w:rsidP="008A185A">
            <w:pPr>
              <w:pStyle w:val="Default"/>
              <w:rPr>
                <w:rFonts w:ascii="Arial" w:hAnsi="Arial" w:cs="Arial"/>
                <w:sz w:val="16"/>
                <w:szCs w:val="16"/>
              </w:rPr>
            </w:pPr>
            <w:r w:rsidRPr="00AE259B">
              <w:rPr>
                <w:rFonts w:ascii="Arial" w:hAnsi="Arial" w:cs="Arial"/>
                <w:sz w:val="16"/>
                <w:szCs w:val="16"/>
              </w:rPr>
              <w:t xml:space="preserve">AASB 1055 </w:t>
            </w:r>
            <w:r w:rsidRPr="00AE259B">
              <w:rPr>
                <w:rFonts w:ascii="Arial" w:hAnsi="Arial" w:cs="Arial"/>
                <w:i/>
                <w:iCs/>
                <w:sz w:val="16"/>
                <w:szCs w:val="16"/>
              </w:rPr>
              <w:t xml:space="preserve">Budgetary Reporting </w:t>
            </w:r>
          </w:p>
          <w:p w:rsidR="008A185A" w:rsidRPr="00AE259B" w:rsidRDefault="008A185A" w:rsidP="008A185A">
            <w:pPr>
              <w:pStyle w:val="Tablecopy"/>
              <w:rPr>
                <w:rFonts w:ascii="Arial" w:hAnsi="Arial" w:cs="Arial"/>
              </w:rPr>
            </w:pPr>
          </w:p>
        </w:tc>
        <w:tc>
          <w:tcPr>
            <w:tcW w:w="1613" w:type="pct"/>
            <w:tcMar>
              <w:top w:w="113" w:type="dxa"/>
              <w:left w:w="113" w:type="dxa"/>
              <w:bottom w:w="113" w:type="dxa"/>
              <w:right w:w="113" w:type="dxa"/>
            </w:tcMar>
          </w:tcPr>
          <w:p w:rsidR="008A185A" w:rsidRPr="00AE259B" w:rsidRDefault="008A185A" w:rsidP="008A185A">
            <w:pPr>
              <w:pStyle w:val="Default"/>
              <w:rPr>
                <w:rFonts w:ascii="Arial" w:hAnsi="Arial" w:cs="Arial"/>
                <w:sz w:val="16"/>
                <w:szCs w:val="16"/>
              </w:rPr>
            </w:pPr>
            <w:r w:rsidRPr="00AE259B">
              <w:rPr>
                <w:rFonts w:ascii="Arial" w:hAnsi="Arial" w:cs="Arial"/>
                <w:sz w:val="16"/>
                <w:szCs w:val="16"/>
              </w:rPr>
              <w:t xml:space="preserve">AASB 1055 extends the scope of budgetary reporting that is currently applicable for the whole of government and general government sector (GGS) to NFP entities within the GGS, provided that these entities present separate budget to the parliament. </w:t>
            </w:r>
          </w:p>
          <w:p w:rsidR="008A185A" w:rsidRPr="00AE259B" w:rsidRDefault="008A185A" w:rsidP="008A185A">
            <w:pPr>
              <w:pStyle w:val="Tablecopy"/>
              <w:rPr>
                <w:rFonts w:ascii="Arial" w:hAnsi="Arial" w:cs="Arial"/>
              </w:rPr>
            </w:pPr>
          </w:p>
        </w:tc>
        <w:tc>
          <w:tcPr>
            <w:tcW w:w="769" w:type="pct"/>
            <w:tcMar>
              <w:top w:w="113" w:type="dxa"/>
              <w:left w:w="113" w:type="dxa"/>
              <w:bottom w:w="113" w:type="dxa"/>
              <w:right w:w="113" w:type="dxa"/>
            </w:tcMar>
          </w:tcPr>
          <w:p w:rsidR="008A185A" w:rsidRPr="00AE259B" w:rsidRDefault="008A185A" w:rsidP="008A185A">
            <w:pPr>
              <w:pStyle w:val="Tablecopy"/>
              <w:rPr>
                <w:rFonts w:ascii="Arial" w:hAnsi="Arial" w:cs="Arial"/>
              </w:rPr>
            </w:pPr>
            <w:r w:rsidRPr="00AE259B">
              <w:rPr>
                <w:rFonts w:ascii="Arial" w:hAnsi="Arial" w:cs="Arial"/>
              </w:rPr>
              <w:t>1 January 2014</w:t>
            </w:r>
          </w:p>
        </w:tc>
        <w:tc>
          <w:tcPr>
            <w:tcW w:w="1351" w:type="pct"/>
            <w:tcMar>
              <w:top w:w="113" w:type="dxa"/>
              <w:left w:w="113" w:type="dxa"/>
              <w:bottom w:w="113" w:type="dxa"/>
              <w:right w:w="113" w:type="dxa"/>
            </w:tcMar>
          </w:tcPr>
          <w:p w:rsidR="008A185A" w:rsidRPr="00AE259B" w:rsidRDefault="008A185A" w:rsidP="008A185A">
            <w:pPr>
              <w:pStyle w:val="Default"/>
              <w:rPr>
                <w:rFonts w:ascii="Arial" w:hAnsi="Arial" w:cs="Arial"/>
                <w:sz w:val="16"/>
                <w:szCs w:val="16"/>
              </w:rPr>
            </w:pPr>
            <w:r w:rsidRPr="00AE259B">
              <w:rPr>
                <w:rFonts w:ascii="Arial" w:hAnsi="Arial" w:cs="Arial"/>
                <w:sz w:val="16"/>
                <w:szCs w:val="16"/>
              </w:rPr>
              <w:t xml:space="preserve">This Standard is not applicable as no budget disclosure is required. </w:t>
            </w:r>
          </w:p>
          <w:p w:rsidR="008A185A" w:rsidRPr="00AE259B" w:rsidRDefault="008A185A" w:rsidP="008A185A">
            <w:pPr>
              <w:pStyle w:val="Tablecopy"/>
              <w:rPr>
                <w:rFonts w:ascii="Arial" w:hAnsi="Arial" w:cs="Arial"/>
              </w:rPr>
            </w:pPr>
          </w:p>
        </w:tc>
      </w:tr>
    </w:tbl>
    <w:p w:rsidR="008A185A" w:rsidRPr="00AE259B" w:rsidRDefault="008A185A" w:rsidP="008A185A">
      <w:pPr>
        <w:rPr>
          <w:rFonts w:ascii="Arial" w:hAnsi="Arial" w:cs="Arial"/>
        </w:rPr>
      </w:pPr>
    </w:p>
    <w:p w:rsidR="008A185A" w:rsidRPr="00AE259B" w:rsidRDefault="008A185A" w:rsidP="008A185A">
      <w:pPr>
        <w:rPr>
          <w:rFonts w:ascii="Arial" w:hAnsi="Arial" w:cs="Arial"/>
          <w:szCs w:val="20"/>
        </w:rPr>
      </w:pPr>
      <w:r w:rsidRPr="00AE259B">
        <w:rPr>
          <w:rFonts w:ascii="Arial" w:hAnsi="Arial" w:cs="Arial"/>
          <w:szCs w:val="20"/>
        </w:rPr>
        <w:t>In addition to the new standards above, the AASB has issued a list of amending standards that are not effective for the 2012-13 reporting period (as listed below). In general, these amending standards include editorial and references changes that are expected to have insignificant impacts on public sector reporting. The one AASB Interpretation in the list below is also not effective for the 2012-13 reporting period and considered to have insignificant impacts on public sector reporting.</w:t>
      </w:r>
    </w:p>
    <w:p w:rsidR="008A185A" w:rsidRPr="008B4655" w:rsidRDefault="008A185A" w:rsidP="008A185A">
      <w:pPr>
        <w:pStyle w:val="Default"/>
        <w:rPr>
          <w:rFonts w:ascii="Arial" w:hAnsi="Arial" w:cs="Arial"/>
        </w:rPr>
      </w:pP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AASB 2009-11 </w:t>
      </w:r>
      <w:r w:rsidRPr="008B4655">
        <w:rPr>
          <w:rFonts w:ascii="Arial" w:hAnsi="Arial" w:cs="Arial"/>
          <w:i/>
          <w:iCs/>
        </w:rPr>
        <w:t xml:space="preserve">Amendments to Australian Accounting Standards arising from AASB 9.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AASB 2010-2 </w:t>
      </w:r>
      <w:r w:rsidRPr="008B4655">
        <w:rPr>
          <w:rFonts w:ascii="Arial" w:hAnsi="Arial" w:cs="Arial"/>
          <w:i/>
          <w:iCs/>
        </w:rPr>
        <w:t xml:space="preserve">Amendments to Australian Accounting Standards arising from Reduced Disclosure Requirements.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AASB 2010-7 </w:t>
      </w:r>
      <w:r w:rsidRPr="008B4655">
        <w:rPr>
          <w:rFonts w:ascii="Arial" w:hAnsi="Arial" w:cs="Arial"/>
          <w:i/>
          <w:iCs/>
        </w:rPr>
        <w:t xml:space="preserve">Amendments to Australian Accounting Standards arising from AASB 9 </w:t>
      </w:r>
      <w:r w:rsidRPr="008B4655">
        <w:rPr>
          <w:rFonts w:ascii="Arial" w:hAnsi="Arial" w:cs="Arial"/>
        </w:rPr>
        <w:t xml:space="preserve">(December 2010).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AASB 2010-10 </w:t>
      </w:r>
      <w:r w:rsidRPr="008B4655">
        <w:rPr>
          <w:rFonts w:ascii="Arial" w:hAnsi="Arial" w:cs="Arial"/>
          <w:i/>
          <w:iCs/>
        </w:rPr>
        <w:t xml:space="preserve">Further Amendments to Australian Accounting Standards – Removal of Fixed Dates for First-time Adopters.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AASB 2011-2 </w:t>
      </w:r>
      <w:r w:rsidRPr="008B4655">
        <w:rPr>
          <w:rFonts w:ascii="Arial" w:hAnsi="Arial" w:cs="Arial"/>
          <w:i/>
          <w:iCs/>
        </w:rPr>
        <w:t xml:space="preserve">Amendments to Australian Accounting Standards arising from the Trans-Tasman Convergence Project – Reduced Disclosure Requirements.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AASB 2011-4 </w:t>
      </w:r>
      <w:r w:rsidRPr="008B4655">
        <w:rPr>
          <w:rFonts w:ascii="Arial" w:hAnsi="Arial" w:cs="Arial"/>
          <w:i/>
          <w:iCs/>
        </w:rPr>
        <w:t xml:space="preserve">Amendments to Australian Accounting Standards to Remove Individual Key Management Personnel Disclosure Requirements.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AASB 2011-8 </w:t>
      </w:r>
      <w:r w:rsidRPr="008B4655">
        <w:rPr>
          <w:rFonts w:ascii="Arial" w:hAnsi="Arial" w:cs="Arial"/>
          <w:i/>
          <w:iCs/>
        </w:rPr>
        <w:t xml:space="preserve">Amendments to Australian Accounting Standards arising from AASB 13.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AASB 2011-10 </w:t>
      </w:r>
      <w:r w:rsidRPr="008B4655">
        <w:rPr>
          <w:rFonts w:ascii="Arial" w:hAnsi="Arial" w:cs="Arial"/>
          <w:i/>
          <w:iCs/>
        </w:rPr>
        <w:t xml:space="preserve">Amendments to Australian Accounting Standards arising from AASB 119 </w:t>
      </w:r>
      <w:r w:rsidRPr="008B4655">
        <w:rPr>
          <w:rFonts w:ascii="Arial" w:hAnsi="Arial" w:cs="Arial"/>
        </w:rPr>
        <w:t xml:space="preserve">(September 2011).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AASB 2011-11 </w:t>
      </w:r>
      <w:r w:rsidRPr="008B4655">
        <w:rPr>
          <w:rFonts w:ascii="Arial" w:hAnsi="Arial" w:cs="Arial"/>
          <w:i/>
          <w:iCs/>
        </w:rPr>
        <w:t xml:space="preserve">Amendments to AASB 119 (September 2011) arising from Reduced Disclosure Requirements.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2012-1 </w:t>
      </w:r>
      <w:r w:rsidRPr="008B4655">
        <w:rPr>
          <w:rFonts w:ascii="Arial" w:hAnsi="Arial" w:cs="Arial"/>
          <w:i/>
          <w:iCs/>
        </w:rPr>
        <w:t xml:space="preserve">Amendments to Australian Accounting Standards - Fair Value Measurement - Reduced Disclosure Requirements.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2012-2 </w:t>
      </w:r>
      <w:r w:rsidRPr="008B4655">
        <w:rPr>
          <w:rFonts w:ascii="Arial" w:hAnsi="Arial" w:cs="Arial"/>
          <w:i/>
          <w:iCs/>
        </w:rPr>
        <w:t xml:space="preserve">Amendments to Australian Accounting Standards – Disclosures – Offsetting Financial Assets and Financial Liabilities.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2012-3 </w:t>
      </w:r>
      <w:r w:rsidRPr="008B4655">
        <w:rPr>
          <w:rFonts w:ascii="Arial" w:hAnsi="Arial" w:cs="Arial"/>
          <w:i/>
          <w:iCs/>
        </w:rPr>
        <w:t xml:space="preserve">Amendments to Australian Accounting Standards – Offsetting Financial Assets and Financial Liabilities.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2012-5 </w:t>
      </w:r>
      <w:r w:rsidRPr="008B4655">
        <w:rPr>
          <w:rFonts w:ascii="Arial" w:hAnsi="Arial" w:cs="Arial"/>
          <w:i/>
          <w:iCs/>
        </w:rPr>
        <w:t xml:space="preserve">Amendments to Australian Accounting Standards arising from Annual Improvements 2009–2011 Cycle.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2012-7 </w:t>
      </w:r>
      <w:r w:rsidRPr="008B4655">
        <w:rPr>
          <w:rFonts w:ascii="Arial" w:hAnsi="Arial" w:cs="Arial"/>
          <w:i/>
          <w:iCs/>
        </w:rPr>
        <w:t xml:space="preserve">Amendments to Australian Accounting Standards arising from Reduced Disclosure Requirements.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2012-9 </w:t>
      </w:r>
      <w:r w:rsidRPr="008B4655">
        <w:rPr>
          <w:rFonts w:ascii="Arial" w:hAnsi="Arial" w:cs="Arial"/>
          <w:i/>
          <w:iCs/>
        </w:rPr>
        <w:t xml:space="preserve">Amendment to AASB 1048 arising from the Withdrawal of Australian Interpretation 1039.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2012-10 </w:t>
      </w:r>
      <w:r w:rsidRPr="008B4655">
        <w:rPr>
          <w:rFonts w:ascii="Arial" w:hAnsi="Arial" w:cs="Arial"/>
          <w:i/>
          <w:iCs/>
        </w:rPr>
        <w:t xml:space="preserve">Amendments to Australian Accounting Standards – Transition Guidance and Other Amendments.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2012-11 </w:t>
      </w:r>
      <w:r w:rsidRPr="008B4655">
        <w:rPr>
          <w:rFonts w:ascii="Arial" w:hAnsi="Arial" w:cs="Arial"/>
          <w:i/>
          <w:iCs/>
        </w:rPr>
        <w:t xml:space="preserve">Amendments to Australian Accounting Standards – Reduced Disclosure Requirements and Other Amendments.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2013-1 </w:t>
      </w:r>
      <w:r w:rsidRPr="008B4655">
        <w:rPr>
          <w:rFonts w:ascii="Arial" w:hAnsi="Arial" w:cs="Arial"/>
          <w:i/>
          <w:iCs/>
        </w:rPr>
        <w:t xml:space="preserve">Amendments to AASB 1049 – Relocation of Budgetary Reporting Requirements. </w:t>
      </w:r>
    </w:p>
    <w:p w:rsidR="008A185A" w:rsidRPr="008B4655" w:rsidRDefault="008A185A" w:rsidP="00A17713">
      <w:pPr>
        <w:pStyle w:val="Default"/>
        <w:numPr>
          <w:ilvl w:val="0"/>
          <w:numId w:val="12"/>
        </w:numPr>
        <w:spacing w:after="30"/>
        <w:ind w:left="426" w:hanging="426"/>
        <w:rPr>
          <w:rFonts w:ascii="Arial" w:hAnsi="Arial" w:cs="Arial"/>
        </w:rPr>
      </w:pPr>
      <w:r w:rsidRPr="008B4655">
        <w:rPr>
          <w:rFonts w:ascii="Arial" w:hAnsi="Arial" w:cs="Arial"/>
        </w:rPr>
        <w:t xml:space="preserve">2013-3 </w:t>
      </w:r>
      <w:r w:rsidRPr="008B4655">
        <w:rPr>
          <w:rFonts w:ascii="Arial" w:hAnsi="Arial" w:cs="Arial"/>
          <w:i/>
          <w:iCs/>
        </w:rPr>
        <w:t xml:space="preserve">Amendments to AASB 136 </w:t>
      </w:r>
      <w:r w:rsidRPr="008B4655">
        <w:rPr>
          <w:rFonts w:ascii="Arial" w:hAnsi="Arial" w:cs="Arial"/>
        </w:rPr>
        <w:t xml:space="preserve">– </w:t>
      </w:r>
      <w:r w:rsidRPr="008B4655">
        <w:rPr>
          <w:rFonts w:ascii="Arial" w:hAnsi="Arial" w:cs="Arial"/>
          <w:i/>
          <w:iCs/>
        </w:rPr>
        <w:t xml:space="preserve">Recoverable Amount Disclosures for Non-Financial Assets. </w:t>
      </w:r>
    </w:p>
    <w:p w:rsidR="008A185A" w:rsidRPr="008B4655" w:rsidRDefault="008A185A" w:rsidP="00A17713">
      <w:pPr>
        <w:pStyle w:val="Default"/>
        <w:numPr>
          <w:ilvl w:val="0"/>
          <w:numId w:val="12"/>
        </w:numPr>
        <w:ind w:left="426" w:hanging="426"/>
        <w:rPr>
          <w:rFonts w:ascii="Arial" w:hAnsi="Arial" w:cs="Arial"/>
        </w:rPr>
      </w:pPr>
      <w:r w:rsidRPr="008B4655">
        <w:rPr>
          <w:rFonts w:ascii="Arial" w:hAnsi="Arial" w:cs="Arial"/>
        </w:rPr>
        <w:t xml:space="preserve">AASB Interpretation 21 </w:t>
      </w:r>
      <w:r w:rsidRPr="008B4655">
        <w:rPr>
          <w:rFonts w:ascii="Arial" w:hAnsi="Arial" w:cs="Arial"/>
          <w:i/>
          <w:iCs/>
        </w:rPr>
        <w:t>Levies</w:t>
      </w:r>
      <w:r w:rsidRPr="008B4655">
        <w:rPr>
          <w:rFonts w:ascii="Arial" w:hAnsi="Arial" w:cs="Arial"/>
        </w:rPr>
        <w:t xml:space="preserve">. </w:t>
      </w:r>
    </w:p>
    <w:p w:rsidR="008A185A" w:rsidRPr="00AE259B" w:rsidRDefault="008A185A" w:rsidP="008A185A">
      <w:pPr>
        <w:rPr>
          <w:rFonts w:ascii="Arial" w:hAnsi="Arial" w:cs="Arial"/>
        </w:rPr>
      </w:pPr>
    </w:p>
    <w:p w:rsidR="008A185A" w:rsidRPr="00AE259B" w:rsidRDefault="008A185A" w:rsidP="008A185A">
      <w:pPr>
        <w:rPr>
          <w:rFonts w:ascii="Arial" w:hAnsi="Arial" w:cs="Arial"/>
        </w:rPr>
        <w:sectPr w:rsidR="008A185A" w:rsidRPr="00AE259B" w:rsidSect="008A185A">
          <w:footerReference w:type="default" r:id="rId12"/>
          <w:pgSz w:w="11906" w:h="16838"/>
          <w:pgMar w:top="1418" w:right="1983" w:bottom="720" w:left="1843" w:header="720" w:footer="720" w:gutter="0"/>
          <w:cols w:space="720"/>
          <w:noEndnote/>
        </w:sectPr>
      </w:pPr>
    </w:p>
    <w:p w:rsidR="008A185A" w:rsidRPr="00AE259B" w:rsidRDefault="008A185A" w:rsidP="008B4655">
      <w:pPr>
        <w:pStyle w:val="Heading10"/>
        <w:outlineLvl w:val="0"/>
      </w:pPr>
      <w:bookmarkStart w:id="128" w:name="_Note_2._Departmental"/>
      <w:bookmarkStart w:id="129" w:name="_Note_3._Restructuring"/>
      <w:bookmarkStart w:id="130" w:name="_Toc337471035"/>
      <w:bookmarkStart w:id="131" w:name="_Toc337537801"/>
      <w:bookmarkStart w:id="132" w:name="_Toc337539727"/>
      <w:bookmarkStart w:id="133" w:name="_Toc337707144"/>
      <w:bookmarkStart w:id="134" w:name="_Toc337711252"/>
      <w:bookmarkStart w:id="135" w:name="_Toc366672093"/>
      <w:bookmarkEnd w:id="128"/>
      <w:bookmarkEnd w:id="129"/>
      <w:r w:rsidRPr="00AE259B">
        <w:t>Note 2. Restructuring of administrative arrangements and other asset transfers</w:t>
      </w:r>
      <w:bookmarkEnd w:id="130"/>
      <w:bookmarkEnd w:id="131"/>
      <w:bookmarkEnd w:id="132"/>
      <w:bookmarkEnd w:id="133"/>
      <w:bookmarkEnd w:id="134"/>
      <w:bookmarkEnd w:id="135"/>
    </w:p>
    <w:p w:rsidR="008A185A" w:rsidRPr="00AE259B" w:rsidRDefault="008A185A" w:rsidP="008A185A">
      <w:pPr>
        <w:rPr>
          <w:rFonts w:ascii="Arial" w:hAnsi="Arial" w:cs="Arial"/>
        </w:rPr>
      </w:pPr>
      <w:r w:rsidRPr="00AE259B">
        <w:rPr>
          <w:rFonts w:ascii="Arial" w:hAnsi="Arial" w:cs="Arial"/>
        </w:rPr>
        <w:t>PTV had the following restructuring of administrative arrangements and other asset transfers:</w:t>
      </w:r>
    </w:p>
    <w:p w:rsidR="008B4655" w:rsidRDefault="008B4655" w:rsidP="008B4655">
      <w:pPr>
        <w:pStyle w:val="Heading30"/>
      </w:pPr>
    </w:p>
    <w:p w:rsidR="008A185A" w:rsidRPr="00AE259B" w:rsidRDefault="008A185A" w:rsidP="008B4655">
      <w:pPr>
        <w:pStyle w:val="Heading20"/>
        <w:rPr>
          <w:i/>
        </w:rPr>
      </w:pPr>
      <w:r w:rsidRPr="00AE259B">
        <w:t>(a) Transfer from Transport Ticketing Authority (TTA) to PTV</w:t>
      </w:r>
    </w:p>
    <w:p w:rsidR="008A185A" w:rsidRDefault="008A185A" w:rsidP="008A185A">
      <w:pPr>
        <w:rPr>
          <w:rFonts w:ascii="Arial" w:hAnsi="Arial" w:cs="Arial"/>
        </w:rPr>
      </w:pPr>
      <w:r w:rsidRPr="00AE259B">
        <w:rPr>
          <w:rFonts w:ascii="Arial" w:hAnsi="Arial" w:cs="Arial"/>
        </w:rPr>
        <w:t>(i) On 1 January 2013 as part of the machinery of government changes, the following net assets were transferred from TTA to PTV at carrying amount which approximates fair value.</w:t>
      </w:r>
    </w:p>
    <w:p w:rsidR="008B4655" w:rsidRPr="00AE259B" w:rsidRDefault="008B4655" w:rsidP="008A185A">
      <w:pPr>
        <w:rPr>
          <w:rFonts w:ascii="Arial" w:hAnsi="Arial" w:cs="Arial"/>
        </w:rPr>
      </w:pPr>
    </w:p>
    <w:tbl>
      <w:tblPr>
        <w:tblW w:w="0" w:type="auto"/>
        <w:tblInd w:w="113" w:type="dxa"/>
        <w:tblLayout w:type="fixed"/>
        <w:tblCellMar>
          <w:left w:w="0" w:type="dxa"/>
          <w:right w:w="0" w:type="dxa"/>
        </w:tblCellMar>
        <w:tblLook w:val="0000" w:firstRow="0" w:lastRow="0" w:firstColumn="0" w:lastColumn="0" w:noHBand="0" w:noVBand="0"/>
      </w:tblPr>
      <w:tblGrid>
        <w:gridCol w:w="4536"/>
        <w:gridCol w:w="1039"/>
      </w:tblGrid>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p>
        </w:tc>
        <w:tc>
          <w:tcPr>
            <w:tcW w:w="1039" w:type="dxa"/>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2013</w:t>
            </w:r>
            <w:r w:rsidRPr="00AE259B">
              <w:rPr>
                <w:rFonts w:ascii="Arial" w:hAnsi="Arial" w:cs="Arial"/>
              </w:rPr>
              <w:br/>
              <w:t>$’000</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ASSETS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57" w:type="dxa"/>
              <w:right w:w="113" w:type="dxa"/>
            </w:tcMar>
            <w:vAlign w:val="bottom"/>
          </w:tcPr>
          <w:p w:rsidR="008A185A" w:rsidRPr="00AE259B" w:rsidRDefault="008A185A" w:rsidP="008A185A">
            <w:pPr>
              <w:pStyle w:val="Tablecopy"/>
              <w:jc w:val="right"/>
              <w:rPr>
                <w:rFonts w:ascii="Arial" w:hAnsi="Arial" w:cs="Arial"/>
                <w:color w:val="auto"/>
              </w:rPr>
            </w:pP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GST recoverable from Australian Tax Office</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1,864</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Grant receivable</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30,462</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Receivables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7,570</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Card inventory</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4,174</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Plant and equipment</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46</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Leasehold improvements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292</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Work in progress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111,175 </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Liabilities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color w:val="auto"/>
              </w:rPr>
            </w:pP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Payables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(45,695)</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Receipt in advance</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(1,049)</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Provision for decommissioning of Metcard ticketing equipment</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(21,507)</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Provision for employee benefits (current)</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(667)</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Provision for employee benefits (non-current)</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(123)</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Net assets transferred from TTA to PTV</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86,542 </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 transferred using contributed capital (equity transfer)</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86,542</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Net assets transferred from TTA to PTV</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86,542 </w:t>
            </w:r>
          </w:p>
        </w:tc>
      </w:tr>
    </w:tbl>
    <w:p w:rsidR="008A185A" w:rsidRPr="00AE259B" w:rsidRDefault="008A185A"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(ii) On 30 June 2013 as part of the machinery of government changes, the following residual net assets in existence prior to dissolution of TTA were transferred to PTV at carrying amount which approximates fair value.</w:t>
      </w:r>
    </w:p>
    <w:p w:rsidR="008A185A" w:rsidRDefault="008A185A" w:rsidP="008A185A">
      <w:pPr>
        <w:rPr>
          <w:rFonts w:ascii="Arial" w:hAnsi="Arial" w:cs="Arial"/>
        </w:rPr>
      </w:pPr>
      <w:r w:rsidRPr="00AE259B">
        <w:rPr>
          <w:rFonts w:ascii="Arial" w:hAnsi="Arial" w:cs="Arial"/>
        </w:rPr>
        <w:t>The transfer was designated as a capital contribution and included the following net assets.</w:t>
      </w:r>
    </w:p>
    <w:p w:rsidR="008B4655" w:rsidRPr="00AE259B" w:rsidRDefault="008B4655" w:rsidP="008A185A">
      <w:pPr>
        <w:rPr>
          <w:rFonts w:ascii="Arial" w:hAnsi="Arial" w:cs="Arial"/>
        </w:rPr>
      </w:pPr>
    </w:p>
    <w:tbl>
      <w:tblPr>
        <w:tblW w:w="0" w:type="auto"/>
        <w:tblInd w:w="113" w:type="dxa"/>
        <w:tblLayout w:type="fixed"/>
        <w:tblCellMar>
          <w:left w:w="0" w:type="dxa"/>
          <w:right w:w="0" w:type="dxa"/>
        </w:tblCellMar>
        <w:tblLook w:val="0000" w:firstRow="0" w:lastRow="0" w:firstColumn="0" w:lastColumn="0" w:noHBand="0" w:noVBand="0"/>
      </w:tblPr>
      <w:tblGrid>
        <w:gridCol w:w="4536"/>
        <w:gridCol w:w="1039"/>
      </w:tblGrid>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p>
        </w:tc>
        <w:tc>
          <w:tcPr>
            <w:tcW w:w="1039" w:type="dxa"/>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2013</w:t>
            </w:r>
            <w:r w:rsidRPr="00AE259B">
              <w:rPr>
                <w:rFonts w:ascii="Arial" w:hAnsi="Arial" w:cs="Arial"/>
              </w:rPr>
              <w:br/>
              <w:t>$’000</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ASSETS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57" w:type="dxa"/>
              <w:right w:w="113" w:type="dxa"/>
            </w:tcMar>
            <w:vAlign w:val="bottom"/>
          </w:tcPr>
          <w:p w:rsidR="008A185A" w:rsidRPr="00AE259B" w:rsidRDefault="008A185A" w:rsidP="008A185A">
            <w:pPr>
              <w:pStyle w:val="Tablecopy"/>
              <w:jc w:val="right"/>
              <w:rPr>
                <w:rFonts w:ascii="Arial" w:hAnsi="Arial" w:cs="Arial"/>
                <w:color w:val="auto"/>
              </w:rPr>
            </w:pP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Bank</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405</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GST recoverable from Australian Tax Office</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45</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Account with PTV</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304</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Liabilities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color w:val="auto"/>
              </w:rPr>
            </w:pP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Payables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(298)</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Provision for annual leave</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(16)</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Provision for retention incentive payments</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Provision for long service leave</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(8)</w:t>
            </w:r>
          </w:p>
        </w:tc>
      </w:tr>
      <w:tr w:rsidR="008A185A" w:rsidRPr="00AE259B" w:rsidTr="008A185A">
        <w:tc>
          <w:tcPr>
            <w:tcW w:w="4536"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Net assets transferred from TTA to PTV</w:t>
            </w:r>
          </w:p>
        </w:tc>
        <w:tc>
          <w:tcPr>
            <w:tcW w:w="103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422</w:t>
            </w:r>
          </w:p>
        </w:tc>
      </w:tr>
    </w:tbl>
    <w:p w:rsidR="008A185A" w:rsidRPr="00AE259B" w:rsidRDefault="008A185A" w:rsidP="008A185A">
      <w:pPr>
        <w:pStyle w:val="Heading4"/>
        <w:rPr>
          <w:rFonts w:ascii="Arial" w:hAnsi="Arial" w:cs="Arial"/>
          <w:i w:val="0"/>
        </w:rPr>
      </w:pPr>
    </w:p>
    <w:p w:rsidR="008A185A" w:rsidRPr="00AE259B" w:rsidRDefault="008A185A" w:rsidP="008A185A">
      <w:pPr>
        <w:rPr>
          <w:rFonts w:ascii="Arial" w:hAnsi="Arial" w:cs="Arial"/>
        </w:rPr>
      </w:pPr>
      <w:r w:rsidRPr="00AE259B">
        <w:rPr>
          <w:rFonts w:ascii="Arial" w:hAnsi="Arial" w:cs="Arial"/>
        </w:rPr>
        <w:br w:type="page"/>
      </w:r>
    </w:p>
    <w:p w:rsidR="008A185A" w:rsidRPr="00AE259B" w:rsidRDefault="008A185A" w:rsidP="008B4655">
      <w:pPr>
        <w:pStyle w:val="Heading20"/>
        <w:rPr>
          <w:i/>
        </w:rPr>
      </w:pPr>
      <w:r w:rsidRPr="00AE259B">
        <w:t>(b) Transfer of rail infrastructure assets from PTV to VicTrack</w:t>
      </w:r>
    </w:p>
    <w:p w:rsidR="008A185A" w:rsidRPr="00AE259B" w:rsidRDefault="008A185A" w:rsidP="008A185A">
      <w:pPr>
        <w:rPr>
          <w:rFonts w:ascii="Arial" w:hAnsi="Arial" w:cs="Arial"/>
        </w:rPr>
      </w:pPr>
      <w:r w:rsidRPr="00AE259B">
        <w:rPr>
          <w:rFonts w:ascii="Arial" w:hAnsi="Arial" w:cs="Arial"/>
        </w:rPr>
        <w:t>On 30 June 2013 and 30 June 2012 rail infrastructure assets under construction were transferred from PTV to VicTrack as a capital contribution.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76"/>
        <w:gridCol w:w="907"/>
        <w:gridCol w:w="1077"/>
      </w:tblGrid>
      <w:tr w:rsidR="008A185A" w:rsidRPr="00AE259B" w:rsidTr="008A185A">
        <w:tc>
          <w:tcPr>
            <w:tcW w:w="4876"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907"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$’000</w:t>
            </w:r>
          </w:p>
        </w:tc>
        <w:tc>
          <w:tcPr>
            <w:tcW w:w="1077"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2012</w:t>
            </w:r>
            <w:r w:rsidRPr="00AE259B">
              <w:rPr>
                <w:rFonts w:ascii="Arial" w:hAnsi="Arial" w:cs="Arial"/>
              </w:rPr>
              <w:br/>
              <w:t>Group</w:t>
            </w:r>
            <w:r w:rsidRPr="00AE259B">
              <w:rPr>
                <w:rFonts w:ascii="Arial" w:hAnsi="Arial" w:cs="Arial"/>
              </w:rPr>
              <w:br/>
              <w:t>$’000</w:t>
            </w:r>
          </w:p>
        </w:tc>
      </w:tr>
      <w:tr w:rsidR="008A185A" w:rsidRPr="00AE259B" w:rsidTr="008A185A">
        <w:tc>
          <w:tcPr>
            <w:tcW w:w="4876"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Assets</w:t>
            </w:r>
          </w:p>
        </w:tc>
        <w:tc>
          <w:tcPr>
            <w:tcW w:w="907" w:type="dxa"/>
            <w:shd w:val="pct10" w:color="auto" w:fill="auto"/>
            <w:tcMar>
              <w:top w:w="0" w:type="dxa"/>
              <w:left w:w="113" w:type="dxa"/>
              <w:bottom w:w="85" w:type="dxa"/>
              <w:right w:w="113" w:type="dxa"/>
            </w:tcMar>
            <w:vAlign w:val="center"/>
          </w:tcPr>
          <w:p w:rsidR="008A185A" w:rsidRPr="00AE259B" w:rsidRDefault="008A185A" w:rsidP="008A185A">
            <w:pPr>
              <w:pStyle w:val="Tablecopy"/>
              <w:spacing w:line="240" w:lineRule="auto"/>
              <w:jc w:val="right"/>
              <w:rPr>
                <w:rFonts w:ascii="Arial" w:hAnsi="Arial" w:cs="Arial"/>
                <w:color w:val="auto"/>
              </w:rPr>
            </w:pPr>
          </w:p>
        </w:tc>
        <w:tc>
          <w:tcPr>
            <w:tcW w:w="1077"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color w:val="auto"/>
              </w:rPr>
            </w:pPr>
          </w:p>
        </w:tc>
      </w:tr>
      <w:tr w:rsidR="008A185A" w:rsidRPr="00AE259B" w:rsidTr="008A185A">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Infrastructure assets under construction</w:t>
            </w:r>
          </w:p>
        </w:tc>
        <w:tc>
          <w:tcPr>
            <w:tcW w:w="907"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523,195</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241,193 </w:t>
            </w:r>
          </w:p>
        </w:tc>
      </w:tr>
      <w:tr w:rsidR="008A185A" w:rsidRPr="00AE259B" w:rsidTr="008A185A">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Net assets transferred to VicTrack </w:t>
            </w:r>
          </w:p>
        </w:tc>
        <w:tc>
          <w:tcPr>
            <w:tcW w:w="907"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color w:val="auto"/>
              </w:rPr>
            </w:pPr>
            <w:r w:rsidRPr="00AE259B">
              <w:rPr>
                <w:rFonts w:ascii="Arial" w:hAnsi="Arial" w:cs="Arial"/>
                <w:b/>
                <w:color w:val="auto"/>
              </w:rPr>
              <w:t>523,195</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241,193 </w:t>
            </w:r>
          </w:p>
        </w:tc>
      </w:tr>
    </w:tbl>
    <w:p w:rsidR="00951FFC" w:rsidRDefault="00951FFC" w:rsidP="008B4655">
      <w:pPr>
        <w:pStyle w:val="Heading20"/>
      </w:pPr>
    </w:p>
    <w:p w:rsidR="00951FFC" w:rsidRDefault="00951FFC">
      <w:pPr>
        <w:rPr>
          <w:rFonts w:ascii="Arial" w:hAnsi="Arial" w:cs="Arial"/>
          <w:b/>
          <w:sz w:val="32"/>
          <w:szCs w:val="28"/>
        </w:rPr>
      </w:pPr>
      <w:r>
        <w:br w:type="page"/>
      </w:r>
    </w:p>
    <w:p w:rsidR="008A185A" w:rsidRPr="00AE259B" w:rsidRDefault="008A185A" w:rsidP="008B4655">
      <w:pPr>
        <w:pStyle w:val="Heading20"/>
        <w:rPr>
          <w:i/>
        </w:rPr>
      </w:pPr>
      <w:r w:rsidRPr="00AE259B">
        <w:t>(c) Transfer from DTPLI to PTV</w:t>
      </w:r>
    </w:p>
    <w:p w:rsidR="008A185A" w:rsidRPr="00AE259B" w:rsidRDefault="008A185A" w:rsidP="008A185A">
      <w:pPr>
        <w:rPr>
          <w:rFonts w:ascii="Arial" w:hAnsi="Arial" w:cs="Arial"/>
          <w:lang w:val="en-US"/>
        </w:rPr>
      </w:pPr>
      <w:r w:rsidRPr="00AE259B">
        <w:rPr>
          <w:rFonts w:ascii="Arial" w:hAnsi="Arial" w:cs="Arial"/>
          <w:lang w:val="en-US"/>
        </w:rPr>
        <w:t>On 2 April 2012 as part of the machinery of government changes, PTV commenced full operations with the following net assets being transferred from DTPLI to PTV at carrying amount which approximates fair value.</w:t>
      </w:r>
    </w:p>
    <w:p w:rsidR="008A185A" w:rsidRPr="00AE259B" w:rsidRDefault="008A185A" w:rsidP="008A185A">
      <w:pPr>
        <w:rPr>
          <w:rFonts w:ascii="Arial" w:hAnsi="Arial" w:cs="Arial"/>
          <w:lang w:val="en-US"/>
        </w:rPr>
      </w:pPr>
    </w:p>
    <w:tbl>
      <w:tblPr>
        <w:tblW w:w="0" w:type="auto"/>
        <w:tblInd w:w="113" w:type="dxa"/>
        <w:tblLayout w:type="fixed"/>
        <w:tblCellMar>
          <w:left w:w="0" w:type="dxa"/>
          <w:right w:w="0" w:type="dxa"/>
        </w:tblCellMar>
        <w:tblLook w:val="0000" w:firstRow="0" w:lastRow="0" w:firstColumn="0" w:lastColumn="0" w:noHBand="0" w:noVBand="0"/>
      </w:tblPr>
      <w:tblGrid>
        <w:gridCol w:w="4962"/>
        <w:gridCol w:w="1077"/>
      </w:tblGrid>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1077" w:type="dxa"/>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2012</w:t>
            </w:r>
            <w:r w:rsidRPr="00AE259B">
              <w:rPr>
                <w:rFonts w:ascii="Arial" w:hAnsi="Arial" w:cs="Arial"/>
              </w:rPr>
              <w:br/>
              <w:t>Group</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86" w:type="dxa"/>
              <w:right w:w="115" w:type="dxa"/>
            </w:tcMar>
            <w:vAlign w:val="bottom"/>
          </w:tcPr>
          <w:p w:rsidR="008A185A" w:rsidRPr="00AE259B" w:rsidRDefault="008A185A" w:rsidP="008A185A">
            <w:pPr>
              <w:pStyle w:val="TableHeading"/>
              <w:spacing w:before="0" w:after="0" w:line="240" w:lineRule="auto"/>
              <w:jc w:val="left"/>
              <w:rPr>
                <w:rFonts w:ascii="Arial" w:hAnsi="Arial" w:cs="Arial"/>
              </w:rPr>
            </w:pPr>
            <w:r w:rsidRPr="00AE259B">
              <w:rPr>
                <w:rFonts w:ascii="Arial" w:hAnsi="Arial" w:cs="Arial"/>
              </w:rPr>
              <w:t>ASSETS</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86" w:type="dxa"/>
              <w:right w:w="113" w:type="dxa"/>
            </w:tcMar>
            <w:vAlign w:val="bottom"/>
          </w:tcPr>
          <w:p w:rsidR="008A185A" w:rsidRPr="00AE259B" w:rsidRDefault="008A185A" w:rsidP="008A185A">
            <w:pPr>
              <w:pStyle w:val="TableHeading"/>
              <w:spacing w:before="0" w:after="0" w:line="240" w:lineRule="auto"/>
              <w:rPr>
                <w:rFonts w:ascii="Arial" w:hAnsi="Arial" w:cs="Arial"/>
                <w:color w:val="auto"/>
              </w:rPr>
            </w:pP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Cash</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2,163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Grant receivable from DPTLI*</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231,301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Receivables</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1,495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Prepayments</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36,068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Land</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333,771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Buildings</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500,941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Infrastructure</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140,528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Plant and equipment</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498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Leasehold improvements</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6,003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Leased vehicles</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782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Assets under construction</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154,110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Cultural assets</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1,287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Capitalised software development</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4,147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Work in progress – software</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8,344 </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86" w:type="dxa"/>
              <w:right w:w="115" w:type="dxa"/>
            </w:tcMar>
            <w:vAlign w:val="bottom"/>
          </w:tcPr>
          <w:p w:rsidR="008A185A" w:rsidRPr="00AE259B" w:rsidRDefault="008A185A" w:rsidP="008A185A">
            <w:pPr>
              <w:pStyle w:val="TableHeading"/>
              <w:spacing w:before="0" w:after="0" w:line="240" w:lineRule="auto"/>
              <w:jc w:val="left"/>
              <w:rPr>
                <w:rFonts w:ascii="Arial" w:hAnsi="Arial" w:cs="Arial"/>
              </w:rPr>
            </w:pPr>
            <w:r w:rsidRPr="00AE259B">
              <w:rPr>
                <w:rFonts w:ascii="Arial" w:hAnsi="Arial" w:cs="Arial"/>
              </w:rPr>
              <w:t>LIABILITIES</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86" w:type="dxa"/>
              <w:right w:w="113" w:type="dxa"/>
            </w:tcMar>
            <w:vAlign w:val="bottom"/>
          </w:tcPr>
          <w:p w:rsidR="008A185A" w:rsidRPr="00AE259B" w:rsidRDefault="008A185A" w:rsidP="008A185A">
            <w:pPr>
              <w:pStyle w:val="TableHeading"/>
              <w:spacing w:before="0" w:after="0" w:line="240" w:lineRule="auto"/>
              <w:rPr>
                <w:rFonts w:ascii="Arial" w:hAnsi="Arial" w:cs="Arial"/>
                <w:color w:val="auto"/>
              </w:rPr>
            </w:pP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Payables</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5"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(260,711)</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Motor vehicle lease liability (current)</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(430)</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Provision for employee benefits (current)</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(9,255)</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Provision for employee benefits of rail operators (current)</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(15,796)</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Motor vehicle lease liability (non-current)</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(362)</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Provision for employee benefits (non-current)</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(1,549)</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Provision for employee benefits of rail operators (non-current)</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(252,455)</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Southern Cross Station transport interchange facility lease</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(374,873)</w:t>
            </w:r>
          </w:p>
        </w:tc>
      </w:tr>
      <w:tr w:rsidR="008A185A" w:rsidRPr="00AE259B" w:rsidTr="008A185A">
        <w:trPr>
          <w:cantSplit/>
        </w:trPr>
        <w:tc>
          <w:tcPr>
            <w:tcW w:w="496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Net assets transferred from DTPLI to PTV </w:t>
            </w:r>
          </w:p>
        </w:tc>
        <w:tc>
          <w:tcPr>
            <w:tcW w:w="1077" w:type="dxa"/>
            <w:tcBorders>
              <w:top w:val="single" w:sz="2" w:space="0" w:color="auto"/>
              <w:left w:val="single" w:sz="2" w:space="0" w:color="auto"/>
              <w:bottom w:val="single" w:sz="2" w:space="0" w:color="auto"/>
              <w:right w:val="single" w:sz="2" w:space="0" w:color="auto"/>
            </w:tcBorders>
            <w:shd w:val="clear" w:color="auto" w:fill="auto"/>
            <w:tcMar>
              <w:top w:w="0" w:type="dxa"/>
              <w:left w:w="115"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506,007</w:t>
            </w:r>
          </w:p>
        </w:tc>
      </w:tr>
    </w:tbl>
    <w:p w:rsidR="008B4655" w:rsidRDefault="008B4655" w:rsidP="008A185A">
      <w:pPr>
        <w:rPr>
          <w:rFonts w:ascii="Arial" w:hAnsi="Arial" w:cs="Arial"/>
          <w:lang w:val="en-US"/>
        </w:rPr>
      </w:pPr>
    </w:p>
    <w:p w:rsidR="008A185A" w:rsidRPr="00AE259B" w:rsidRDefault="008A185A" w:rsidP="008A185A">
      <w:pPr>
        <w:rPr>
          <w:rFonts w:ascii="Arial" w:hAnsi="Arial" w:cs="Arial"/>
          <w:lang w:val="en-US"/>
        </w:rPr>
      </w:pPr>
      <w:r w:rsidRPr="00AE259B">
        <w:rPr>
          <w:rFonts w:ascii="Arial" w:hAnsi="Arial" w:cs="Arial"/>
          <w:lang w:val="en-US"/>
        </w:rPr>
        <w:t>In relation to the above transfer, due to insufficient contributed capital of DTPLI, the transaction has taken place as follows:</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962"/>
        <w:gridCol w:w="1077"/>
      </w:tblGrid>
      <w:tr w:rsidR="008A185A" w:rsidRPr="00AE259B" w:rsidTr="008A185A">
        <w:trPr>
          <w:trHeight w:hRule="exact" w:val="314"/>
        </w:trPr>
        <w:tc>
          <w:tcPr>
            <w:tcW w:w="4962" w:type="dxa"/>
            <w:shd w:val="clear" w:color="auto" w:fill="auto"/>
            <w:tcMar>
              <w:top w:w="0" w:type="dxa"/>
              <w:left w:w="115" w:type="dxa"/>
              <w:bottom w:w="0" w:type="dxa"/>
              <w:right w:w="115" w:type="dxa"/>
            </w:tcMar>
            <w:vAlign w:val="center"/>
          </w:tcPr>
          <w:p w:rsidR="008A185A" w:rsidRPr="00AE259B" w:rsidRDefault="008A185A" w:rsidP="008A185A">
            <w:pPr>
              <w:pStyle w:val="Tablecopy"/>
              <w:rPr>
                <w:rFonts w:ascii="Arial" w:hAnsi="Arial" w:cs="Arial"/>
              </w:rPr>
            </w:pPr>
            <w:r w:rsidRPr="00AE259B">
              <w:rPr>
                <w:rFonts w:ascii="Arial" w:hAnsi="Arial" w:cs="Arial"/>
              </w:rPr>
              <w:t>Amount transferred using contributed capital (equity transfer)</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398,888 </w:t>
            </w:r>
          </w:p>
        </w:tc>
      </w:tr>
      <w:tr w:rsidR="008A185A" w:rsidRPr="00AE259B" w:rsidTr="008A185A">
        <w:trPr>
          <w:trHeight w:hRule="exact" w:val="314"/>
        </w:trPr>
        <w:tc>
          <w:tcPr>
            <w:tcW w:w="4962" w:type="dxa"/>
            <w:shd w:val="clear" w:color="auto" w:fill="auto"/>
            <w:tcMar>
              <w:top w:w="0" w:type="dxa"/>
              <w:left w:w="115" w:type="dxa"/>
              <w:bottom w:w="0" w:type="dxa"/>
              <w:right w:w="115" w:type="dxa"/>
            </w:tcMar>
            <w:vAlign w:val="center"/>
          </w:tcPr>
          <w:p w:rsidR="008A185A" w:rsidRPr="00AE259B" w:rsidRDefault="008A185A" w:rsidP="008A185A">
            <w:pPr>
              <w:pStyle w:val="Tablecopy"/>
              <w:rPr>
                <w:rFonts w:ascii="Arial" w:hAnsi="Arial" w:cs="Arial"/>
              </w:rPr>
            </w:pPr>
            <w:r w:rsidRPr="00AE259B">
              <w:rPr>
                <w:rFonts w:ascii="Arial" w:hAnsi="Arial" w:cs="Arial"/>
              </w:rPr>
              <w:t>Amount transferred ‘free of charge’ (operating statement)</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107,119 </w:t>
            </w:r>
          </w:p>
        </w:tc>
      </w:tr>
      <w:tr w:rsidR="008A185A" w:rsidRPr="00AE259B" w:rsidTr="008A185A">
        <w:trPr>
          <w:trHeight w:hRule="exact" w:val="314"/>
        </w:trPr>
        <w:tc>
          <w:tcPr>
            <w:tcW w:w="4962"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Net assets transferred from DTPLI to PTV**</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506,007 </w:t>
            </w:r>
          </w:p>
        </w:tc>
      </w:tr>
    </w:tbl>
    <w:p w:rsidR="008A185A" w:rsidRPr="00AE259B" w:rsidRDefault="008A185A" w:rsidP="008A185A">
      <w:pPr>
        <w:rPr>
          <w:rFonts w:ascii="Arial" w:hAnsi="Arial" w:cs="Arial"/>
        </w:rPr>
      </w:pPr>
      <w:r w:rsidRPr="00AE259B">
        <w:rPr>
          <w:rFonts w:ascii="Arial" w:hAnsi="Arial" w:cs="Arial"/>
        </w:rPr>
        <w:t>* This receivable is in lieu of cash to pay accruals – the cash will be paid on an as required basis.</w:t>
      </w:r>
    </w:p>
    <w:p w:rsidR="008A185A" w:rsidRPr="00AE259B" w:rsidRDefault="008A185A" w:rsidP="008A185A">
      <w:pPr>
        <w:rPr>
          <w:rFonts w:ascii="Arial" w:hAnsi="Arial" w:cs="Arial"/>
        </w:rPr>
      </w:pPr>
      <w:r w:rsidRPr="00AE259B">
        <w:rPr>
          <w:rFonts w:ascii="Arial" w:hAnsi="Arial" w:cs="Arial"/>
        </w:rPr>
        <w:t>** For the 2011-12 reporting period, DTPLI had insufficient contributed capital to meet all the asset transfers that would have otherwise qualified for recognition as a contributed capital transaction. FRD 119 ‘Contributions by Owners’ permits the reclassification of accumulated funds to contributed capital where there is insufficient contributed capital for the asset transfers. The reclassification needs to be approved prior to or at the time of the asset transfers; this reclassification did not occur. Consequently, the asset transfers where there was insufficient contributed capital for distribution were recognised as an expense by DTPLI and income by the transferee entities (Refer Note 3(a)).</w:t>
      </w:r>
    </w:p>
    <w:p w:rsidR="008B4655" w:rsidRPr="00AD22A8" w:rsidRDefault="008B4655" w:rsidP="008B4655">
      <w:pPr>
        <w:rPr>
          <w:rFonts w:ascii="Arial" w:hAnsi="Arial" w:cs="Arial"/>
          <w:color w:val="595959"/>
        </w:rPr>
      </w:pPr>
    </w:p>
    <w:p w:rsidR="008A185A" w:rsidRPr="00AE259B" w:rsidRDefault="008A185A" w:rsidP="008B4655">
      <w:pPr>
        <w:pStyle w:val="Heading30"/>
      </w:pPr>
      <w:r w:rsidRPr="00AE259B">
        <w:t>Commitments</w:t>
      </w:r>
    </w:p>
    <w:p w:rsidR="008A185A" w:rsidRPr="00AE259B" w:rsidRDefault="008A185A" w:rsidP="008A185A">
      <w:pPr>
        <w:rPr>
          <w:rFonts w:ascii="Arial" w:hAnsi="Arial" w:cs="Arial"/>
        </w:rPr>
      </w:pPr>
      <w:r w:rsidRPr="00AE259B">
        <w:rPr>
          <w:rFonts w:ascii="Arial" w:hAnsi="Arial" w:cs="Arial"/>
        </w:rPr>
        <w:t>PTV commitments as at 2 April 2012 for rail, bus and capital are estimated at $11.5 billion (excluding GST).</w:t>
      </w:r>
    </w:p>
    <w:p w:rsidR="00951FFC" w:rsidRDefault="00951FFC">
      <w:pPr>
        <w:rPr>
          <w:rFonts w:ascii="Arial" w:hAnsi="Arial" w:cs="Arial"/>
          <w:b/>
          <w:sz w:val="32"/>
          <w:szCs w:val="28"/>
        </w:rPr>
      </w:pPr>
      <w:r>
        <w:br w:type="page"/>
      </w:r>
    </w:p>
    <w:p w:rsidR="008A185A" w:rsidRPr="00AE259B" w:rsidRDefault="008A185A" w:rsidP="008B4655">
      <w:pPr>
        <w:pStyle w:val="Heading20"/>
        <w:rPr>
          <w:i/>
        </w:rPr>
      </w:pPr>
      <w:r w:rsidRPr="00AE259B">
        <w:t>(d) Transfer of TTA staff to PTV</w:t>
      </w:r>
    </w:p>
    <w:p w:rsidR="008A185A" w:rsidRPr="00AE259B" w:rsidRDefault="008A185A" w:rsidP="008A185A">
      <w:pPr>
        <w:rPr>
          <w:rFonts w:ascii="Arial" w:hAnsi="Arial" w:cs="Arial"/>
          <w:lang w:val="en-US"/>
        </w:rPr>
      </w:pPr>
      <w:r w:rsidRPr="00AE259B">
        <w:rPr>
          <w:rFonts w:ascii="Arial" w:hAnsi="Arial" w:cs="Arial"/>
          <w:lang w:val="en-US"/>
        </w:rPr>
        <w:t>On 27 March 2012 a determination made under section 243 of the Transport Integration Act transferred nominated employees from the Transport Ticketing Authority (TTA) to PTV. The transfer of TTA employees to PTV was accompanied by the transfer of the current and non-current provisions for employee benefits and was transacted as resources provided free of charge.</w:t>
      </w:r>
    </w:p>
    <w:p w:rsidR="008A185A" w:rsidRPr="00AE259B" w:rsidRDefault="008A185A" w:rsidP="008A185A">
      <w:pPr>
        <w:rPr>
          <w:rFonts w:ascii="Arial" w:hAnsi="Arial" w:cs="Arial"/>
          <w:lang w:val="en-US"/>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76"/>
        <w:gridCol w:w="1077"/>
      </w:tblGrid>
      <w:tr w:rsidR="008A185A" w:rsidRPr="00AE259B" w:rsidTr="008A185A">
        <w:tc>
          <w:tcPr>
            <w:tcW w:w="4876" w:type="dxa"/>
            <w:shd w:val="clear" w:color="auto" w:fill="auto"/>
            <w:tcMar>
              <w:top w:w="57" w:type="dxa"/>
              <w:left w:w="113" w:type="dxa"/>
              <w:bottom w:w="85" w:type="dxa"/>
              <w:right w:w="113" w:type="dxa"/>
            </w:tcMar>
            <w:vAlign w:val="bottom"/>
          </w:tcPr>
          <w:p w:rsidR="008A185A" w:rsidRPr="00AE259B" w:rsidRDefault="008A185A" w:rsidP="008A185A">
            <w:pPr>
              <w:pStyle w:val="NoParagraphStyle"/>
              <w:spacing w:line="240" w:lineRule="auto"/>
              <w:textAlignment w:val="auto"/>
              <w:rPr>
                <w:rFonts w:ascii="Arial" w:hAnsi="Arial" w:cs="Arial"/>
                <w:color w:val="auto"/>
              </w:rPr>
            </w:pPr>
          </w:p>
        </w:tc>
        <w:tc>
          <w:tcPr>
            <w:tcW w:w="1077"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2012</w:t>
            </w:r>
            <w:r w:rsidRPr="00AE259B">
              <w:rPr>
                <w:rFonts w:ascii="Arial" w:hAnsi="Arial" w:cs="Arial"/>
              </w:rPr>
              <w:br/>
              <w:t>Group</w:t>
            </w:r>
            <w:r w:rsidRPr="00AE259B">
              <w:rPr>
                <w:rFonts w:ascii="Arial" w:hAnsi="Arial" w:cs="Arial"/>
              </w:rPr>
              <w:br/>
              <w:t>$’000</w:t>
            </w:r>
          </w:p>
        </w:tc>
      </w:tr>
      <w:tr w:rsidR="008A185A" w:rsidRPr="00AE259B" w:rsidTr="008A185A">
        <w:tc>
          <w:tcPr>
            <w:tcW w:w="4876" w:type="dxa"/>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Liabilities</w:t>
            </w:r>
          </w:p>
        </w:tc>
        <w:tc>
          <w:tcPr>
            <w:tcW w:w="1077" w:type="dxa"/>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color w:val="auto"/>
              </w:rPr>
            </w:pPr>
          </w:p>
        </w:tc>
      </w:tr>
      <w:tr w:rsidR="008A185A" w:rsidRPr="00AE259B" w:rsidTr="008A185A">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Annual leave</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(522)</w:t>
            </w:r>
          </w:p>
        </w:tc>
      </w:tr>
      <w:tr w:rsidR="008A185A" w:rsidRPr="00AE259B" w:rsidTr="008A185A">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Long service leave payable within 12 months</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(214)</w:t>
            </w:r>
          </w:p>
        </w:tc>
      </w:tr>
      <w:tr w:rsidR="008A185A" w:rsidRPr="00AE259B" w:rsidTr="008A185A">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Long service leave payable after 12 months</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(232)</w:t>
            </w:r>
          </w:p>
        </w:tc>
      </w:tr>
      <w:tr w:rsidR="008A185A" w:rsidRPr="00AE259B" w:rsidTr="008A185A">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Net liabilities transferred to PTV</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(968)</w:t>
            </w:r>
          </w:p>
        </w:tc>
      </w:tr>
    </w:tbl>
    <w:p w:rsidR="008B4655" w:rsidRDefault="008B4655" w:rsidP="008B4655">
      <w:pPr>
        <w:pStyle w:val="Heading20"/>
      </w:pPr>
    </w:p>
    <w:p w:rsidR="008A185A" w:rsidRPr="00AE259B" w:rsidRDefault="008A185A" w:rsidP="008B4655">
      <w:pPr>
        <w:pStyle w:val="Heading20"/>
        <w:rPr>
          <w:i/>
        </w:rPr>
      </w:pPr>
      <w:r w:rsidRPr="00AE259B">
        <w:t>(e) Transfer of Metlink to PTV</w:t>
      </w:r>
    </w:p>
    <w:p w:rsidR="008A185A" w:rsidRPr="00AE259B" w:rsidRDefault="008A185A" w:rsidP="008A185A">
      <w:pPr>
        <w:rPr>
          <w:rFonts w:ascii="Arial" w:hAnsi="Arial" w:cs="Arial"/>
        </w:rPr>
      </w:pPr>
      <w:r w:rsidRPr="00AE259B">
        <w:rPr>
          <w:rFonts w:ascii="Arial" w:hAnsi="Arial" w:cs="Arial"/>
        </w:rPr>
        <w:t>The following net assets were transferred to PTV on acquisition of Metlink and was transacted as gain on acquisition.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76"/>
        <w:gridCol w:w="1077"/>
      </w:tblGrid>
      <w:tr w:rsidR="008A185A" w:rsidRPr="00AE259B" w:rsidTr="008A185A">
        <w:trPr>
          <w:trHeight w:hRule="exact" w:val="960"/>
        </w:trPr>
        <w:tc>
          <w:tcPr>
            <w:tcW w:w="4876" w:type="dxa"/>
            <w:shd w:val="clear" w:color="auto" w:fill="auto"/>
            <w:tcMar>
              <w:top w:w="57" w:type="dxa"/>
              <w:left w:w="113" w:type="dxa"/>
              <w:bottom w:w="85" w:type="dxa"/>
              <w:right w:w="113" w:type="dxa"/>
            </w:tcMar>
            <w:vAlign w:val="bottom"/>
          </w:tcPr>
          <w:p w:rsidR="008A185A" w:rsidRPr="00AE259B" w:rsidRDefault="008A185A" w:rsidP="008A185A">
            <w:pPr>
              <w:pStyle w:val="NoParagraphStyle"/>
              <w:spacing w:line="240" w:lineRule="auto"/>
              <w:textAlignment w:val="auto"/>
              <w:rPr>
                <w:rFonts w:ascii="Arial" w:hAnsi="Arial" w:cs="Arial"/>
                <w:color w:val="auto"/>
              </w:rPr>
            </w:pPr>
          </w:p>
        </w:tc>
        <w:tc>
          <w:tcPr>
            <w:tcW w:w="1077"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2012</w:t>
            </w:r>
            <w:r w:rsidRPr="00AE259B">
              <w:rPr>
                <w:rFonts w:ascii="Arial" w:hAnsi="Arial" w:cs="Arial"/>
              </w:rPr>
              <w:br/>
              <w:t>Group</w:t>
            </w:r>
            <w:r w:rsidRPr="00AE259B">
              <w:rPr>
                <w:rFonts w:ascii="Arial" w:hAnsi="Arial" w:cs="Arial"/>
              </w:rPr>
              <w:br/>
              <w:t>$’000</w:t>
            </w:r>
          </w:p>
        </w:tc>
      </w:tr>
      <w:tr w:rsidR="008A185A" w:rsidRPr="00AE259B" w:rsidTr="008A185A">
        <w:trPr>
          <w:trHeight w:hRule="exact" w:val="294"/>
        </w:trPr>
        <w:tc>
          <w:tcPr>
            <w:tcW w:w="4876" w:type="dxa"/>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Assets</w:t>
            </w:r>
          </w:p>
        </w:tc>
        <w:tc>
          <w:tcPr>
            <w:tcW w:w="1077" w:type="dxa"/>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color w:val="auto"/>
              </w:rPr>
            </w:pPr>
          </w:p>
        </w:tc>
      </w:tr>
      <w:tr w:rsidR="008A185A" w:rsidRPr="00AE259B" w:rsidTr="008A185A">
        <w:trPr>
          <w:trHeight w:hRule="exact" w:val="317"/>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Cash</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13,122 </w:t>
            </w:r>
          </w:p>
        </w:tc>
      </w:tr>
      <w:tr w:rsidR="008A185A" w:rsidRPr="00AE259B" w:rsidTr="008A185A">
        <w:trPr>
          <w:trHeight w:hRule="exact" w:val="311"/>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Trade and other receivables</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2,463 </w:t>
            </w:r>
          </w:p>
        </w:tc>
      </w:tr>
      <w:tr w:rsidR="008A185A" w:rsidRPr="00AE259B" w:rsidTr="008A185A">
        <w:trPr>
          <w:trHeight w:hRule="exact" w:val="311"/>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Prepayments</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186 </w:t>
            </w:r>
          </w:p>
        </w:tc>
      </w:tr>
      <w:tr w:rsidR="008A185A" w:rsidRPr="00AE259B" w:rsidTr="008A185A">
        <w:trPr>
          <w:trHeight w:hRule="exact" w:val="311"/>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Inventories</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323 </w:t>
            </w:r>
          </w:p>
        </w:tc>
      </w:tr>
      <w:tr w:rsidR="008A185A" w:rsidRPr="00AE259B" w:rsidTr="008A185A">
        <w:trPr>
          <w:trHeight w:hRule="exact" w:val="311"/>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Property, plant and equipment</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258 </w:t>
            </w:r>
          </w:p>
        </w:tc>
      </w:tr>
      <w:tr w:rsidR="008A185A" w:rsidRPr="00AE259B" w:rsidTr="008A185A">
        <w:trPr>
          <w:trHeight w:hRule="exact" w:val="180"/>
        </w:trPr>
        <w:tc>
          <w:tcPr>
            <w:tcW w:w="4876" w:type="dxa"/>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Liabilities</w:t>
            </w:r>
          </w:p>
        </w:tc>
        <w:tc>
          <w:tcPr>
            <w:tcW w:w="1077" w:type="dxa"/>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color w:val="auto"/>
              </w:rPr>
            </w:pPr>
          </w:p>
        </w:tc>
      </w:tr>
      <w:tr w:rsidR="008A185A" w:rsidRPr="00AE259B" w:rsidTr="008A185A">
        <w:trPr>
          <w:trHeight w:hRule="exact" w:val="311"/>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Trade creditors and payables</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(2,655)</w:t>
            </w:r>
          </w:p>
        </w:tc>
      </w:tr>
      <w:tr w:rsidR="008A185A" w:rsidRPr="00AE259B" w:rsidTr="008A185A">
        <w:trPr>
          <w:trHeight w:hRule="exact" w:val="311"/>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Other payables</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(1,351)</w:t>
            </w:r>
          </w:p>
        </w:tc>
      </w:tr>
      <w:tr w:rsidR="008A185A" w:rsidRPr="00AE259B" w:rsidTr="008A185A">
        <w:trPr>
          <w:trHeight w:hRule="exact" w:val="302"/>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Deferred Income</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(10,214)</w:t>
            </w:r>
          </w:p>
        </w:tc>
      </w:tr>
      <w:tr w:rsidR="008A185A" w:rsidRPr="00AE259B" w:rsidTr="008A185A">
        <w:trPr>
          <w:trHeight w:hRule="exact" w:val="311"/>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Employee Provisions</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(1,586)</w:t>
            </w:r>
          </w:p>
        </w:tc>
      </w:tr>
      <w:tr w:rsidR="008A185A" w:rsidRPr="00AE259B" w:rsidTr="008A185A">
        <w:trPr>
          <w:trHeight w:hRule="exact" w:val="311"/>
        </w:trPr>
        <w:tc>
          <w:tcPr>
            <w:tcW w:w="4876"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Net assets transferred to PTV</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546 </w:t>
            </w:r>
          </w:p>
        </w:tc>
      </w:tr>
    </w:tbl>
    <w:p w:rsidR="008A185A" w:rsidRPr="00AE259B" w:rsidRDefault="008A185A" w:rsidP="008A185A">
      <w:pPr>
        <w:pStyle w:val="Tablecopy"/>
        <w:rPr>
          <w:rFonts w:ascii="Arial" w:hAnsi="Arial" w:cs="Arial"/>
        </w:rPr>
      </w:pPr>
    </w:p>
    <w:p w:rsidR="008A185A" w:rsidRPr="00AE259B" w:rsidRDefault="008A185A" w:rsidP="008A185A">
      <w:pPr>
        <w:rPr>
          <w:rFonts w:ascii="Arial" w:hAnsi="Arial" w:cs="Arial"/>
        </w:rPr>
        <w:sectPr w:rsidR="008A185A" w:rsidRPr="00AE259B" w:rsidSect="008A185A">
          <w:pgSz w:w="11906" w:h="16838"/>
          <w:pgMar w:top="1418" w:right="1983" w:bottom="720" w:left="1843" w:header="720" w:footer="720" w:gutter="0"/>
          <w:cols w:space="720"/>
          <w:noEndnote/>
        </w:sectPr>
      </w:pPr>
      <w:bookmarkStart w:id="136" w:name="_Note_4._Summary"/>
      <w:bookmarkEnd w:id="136"/>
    </w:p>
    <w:p w:rsidR="008A185A" w:rsidRPr="00AE259B" w:rsidRDefault="008A185A" w:rsidP="00951FFC">
      <w:pPr>
        <w:pStyle w:val="Heading10"/>
        <w:outlineLvl w:val="0"/>
      </w:pPr>
      <w:bookmarkStart w:id="137" w:name="_Note_5._Income"/>
      <w:bookmarkStart w:id="138" w:name="_Toc337471037"/>
      <w:bookmarkStart w:id="139" w:name="_Toc337537803"/>
      <w:bookmarkStart w:id="140" w:name="_Toc337539729"/>
      <w:bookmarkStart w:id="141" w:name="_Toc337707146"/>
      <w:bookmarkStart w:id="142" w:name="_Toc337711254"/>
      <w:bookmarkStart w:id="143" w:name="_Toc366672094"/>
      <w:bookmarkEnd w:id="137"/>
      <w:r w:rsidRPr="00AE259B">
        <w:t>Note 3. Income from transactions</w:t>
      </w:r>
      <w:bookmarkEnd w:id="138"/>
      <w:bookmarkEnd w:id="139"/>
      <w:bookmarkEnd w:id="140"/>
      <w:bookmarkEnd w:id="141"/>
      <w:bookmarkEnd w:id="142"/>
      <w:bookmarkEnd w:id="14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874"/>
        <w:gridCol w:w="1095"/>
        <w:gridCol w:w="1240"/>
        <w:gridCol w:w="1097"/>
      </w:tblGrid>
      <w:tr w:rsidR="008A185A" w:rsidRPr="00AE259B" w:rsidTr="008A185A">
        <w:tc>
          <w:tcPr>
            <w:tcW w:w="2956"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681" w:type="pct"/>
            <w:tcBorders>
              <w:bottom w:val="single" w:sz="6" w:space="0" w:color="auto"/>
            </w:tcBorders>
            <w:vAlign w:val="bottom"/>
          </w:tcPr>
          <w:p w:rsidR="008A185A" w:rsidRPr="00AE259B" w:rsidRDefault="008A185A" w:rsidP="008A185A">
            <w:pPr>
              <w:pStyle w:val="TableHeading"/>
              <w:spacing w:before="0" w:after="0" w:line="240" w:lineRule="auto"/>
              <w:ind w:right="78"/>
              <w:rPr>
                <w:rFonts w:ascii="Arial" w:hAnsi="Arial" w:cs="Arial"/>
              </w:rPr>
            </w:pPr>
            <w:r w:rsidRPr="00AE259B">
              <w:rPr>
                <w:rFonts w:ascii="Arial" w:hAnsi="Arial" w:cs="Arial"/>
              </w:rPr>
              <w:t>2013</w:t>
            </w:r>
            <w:r w:rsidRPr="00AE259B">
              <w:rPr>
                <w:rFonts w:ascii="Arial" w:hAnsi="Arial" w:cs="Arial"/>
              </w:rPr>
              <w:br/>
              <w:t>$’000</w:t>
            </w:r>
          </w:p>
        </w:tc>
        <w:tc>
          <w:tcPr>
            <w:tcW w:w="681"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15.12.2011</w:t>
            </w:r>
            <w:r w:rsidRPr="00AE259B">
              <w:rPr>
                <w:rFonts w:ascii="Arial" w:hAnsi="Arial" w:cs="Arial"/>
              </w:rPr>
              <w:br/>
              <w:t>to 30.6.2012</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c>
          <w:tcPr>
            <w:tcW w:w="682"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15.12.2011</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To 30.6.2012</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r>
      <w:tr w:rsidR="008A185A" w:rsidRPr="00AE259B" w:rsidTr="008A185A">
        <w:tc>
          <w:tcPr>
            <w:tcW w:w="2956"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(a) Fair value of assets and services received free of charge</w:t>
            </w:r>
          </w:p>
        </w:tc>
        <w:tc>
          <w:tcPr>
            <w:tcW w:w="681" w:type="pct"/>
            <w:shd w:val="pct10" w:color="auto" w:fill="auto"/>
          </w:tcPr>
          <w:p w:rsidR="008A185A" w:rsidRPr="00AE259B" w:rsidRDefault="008A185A" w:rsidP="008A185A">
            <w:pPr>
              <w:pStyle w:val="Tablecopy"/>
              <w:spacing w:line="240" w:lineRule="auto"/>
              <w:ind w:right="78"/>
              <w:jc w:val="right"/>
              <w:rPr>
                <w:rFonts w:ascii="Arial" w:hAnsi="Arial" w:cs="Arial"/>
              </w:rPr>
            </w:pP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Fair value of assets received free of charge</w:t>
            </w:r>
            <w:r w:rsidRPr="00AE259B">
              <w:rPr>
                <w:rFonts w:ascii="Arial" w:hAnsi="Arial" w:cs="Arial"/>
                <w:vertAlign w:val="superscript"/>
              </w:rPr>
              <w:t>(i)</w:t>
            </w:r>
          </w:p>
        </w:tc>
        <w:tc>
          <w:tcPr>
            <w:tcW w:w="681" w:type="pct"/>
            <w:shd w:val="pct10" w:color="auto" w:fill="auto"/>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26,884</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Fair value of resources received free of charge</w:t>
            </w:r>
            <w:r w:rsidRPr="00AE259B">
              <w:rPr>
                <w:rFonts w:ascii="Arial" w:hAnsi="Arial" w:cs="Arial"/>
                <w:vertAlign w:val="superscript"/>
              </w:rPr>
              <w:t>(ii)</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11,816</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Fair value of assets received free of charge from local councils and developers</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789</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Fair value of land received free of charge from DTPLI</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749</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Fair value of assets and services received free of charge as a result of machinery of government changes from DTPLI to PTV on 2 April 2012</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107,873 </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108,419 </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fair value of assets and services received free of charge</w:t>
            </w:r>
          </w:p>
        </w:tc>
        <w:tc>
          <w:tcPr>
            <w:tcW w:w="681" w:type="pct"/>
            <w:shd w:val="pct10" w:color="auto" w:fill="auto"/>
            <w:vAlign w:val="bottom"/>
          </w:tcPr>
          <w:p w:rsidR="008A185A" w:rsidRPr="00AE259B" w:rsidRDefault="008A185A" w:rsidP="008A185A">
            <w:pPr>
              <w:pStyle w:val="Tablecopy"/>
              <w:ind w:right="78"/>
              <w:jc w:val="right"/>
              <w:rPr>
                <w:rFonts w:ascii="Arial" w:hAnsi="Arial" w:cs="Arial"/>
                <w:b/>
              </w:rPr>
            </w:pPr>
            <w:r w:rsidRPr="00AE259B">
              <w:rPr>
                <w:rFonts w:ascii="Arial" w:hAnsi="Arial" w:cs="Arial"/>
                <w:b/>
              </w:rPr>
              <w:t>40,238</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107,873 </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108,419 </w:t>
            </w:r>
          </w:p>
        </w:tc>
      </w:tr>
      <w:tr w:rsidR="008A185A" w:rsidRPr="00AE259B" w:rsidTr="008A185A">
        <w:tc>
          <w:tcPr>
            <w:tcW w:w="2956"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(b) Operators' contribution for marketing and communications</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b/>
              </w:rPr>
            </w:pPr>
          </w:p>
        </w:tc>
        <w:tc>
          <w:tcPr>
            <w:tcW w:w="68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82"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Operators' contribution for marketing and communications</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8,435</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2,057 </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2,057 </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operators' contribution for marketing and communications</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b/>
              </w:rPr>
            </w:pPr>
            <w:r w:rsidRPr="00AE259B">
              <w:rPr>
                <w:rFonts w:ascii="Arial" w:hAnsi="Arial" w:cs="Arial"/>
                <w:b/>
              </w:rPr>
              <w:t>8,435</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2,057 </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2,057 </w:t>
            </w:r>
          </w:p>
        </w:tc>
      </w:tr>
      <w:tr w:rsidR="008A185A" w:rsidRPr="00AE259B" w:rsidTr="008A185A">
        <w:tc>
          <w:tcPr>
            <w:tcW w:w="2956"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 Issuance fee of myki cards</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b/>
              </w:rPr>
            </w:pPr>
          </w:p>
        </w:tc>
        <w:tc>
          <w:tcPr>
            <w:tcW w:w="681"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82"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Issuance fee of myki cards</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7,777</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issuance fee of myki cards</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b/>
              </w:rPr>
            </w:pPr>
            <w:r w:rsidRPr="00AE259B">
              <w:rPr>
                <w:rFonts w:ascii="Arial" w:hAnsi="Arial" w:cs="Arial"/>
                <w:b/>
              </w:rPr>
              <w:t>7,777</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r>
      <w:tr w:rsidR="008A185A" w:rsidRPr="00AE259B" w:rsidTr="008A185A">
        <w:tc>
          <w:tcPr>
            <w:tcW w:w="2956"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(d) Interest</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b/>
              </w:rPr>
            </w:pPr>
          </w:p>
        </w:tc>
        <w:tc>
          <w:tcPr>
            <w:tcW w:w="681"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82"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Interest on deposits</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2,899</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1,186 </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1,186 </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interest</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b/>
              </w:rPr>
            </w:pPr>
            <w:r w:rsidRPr="00AE259B">
              <w:rPr>
                <w:rFonts w:ascii="Arial" w:hAnsi="Arial" w:cs="Arial"/>
                <w:b/>
              </w:rPr>
              <w:t>2,899</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1,186 </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1,186 </w:t>
            </w:r>
          </w:p>
        </w:tc>
      </w:tr>
      <w:tr w:rsidR="008A185A" w:rsidRPr="00AE259B" w:rsidTr="008A185A">
        <w:tc>
          <w:tcPr>
            <w:tcW w:w="2956"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(e) Other income</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b/>
              </w:rPr>
            </w:pP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Sales of travel passes through PTV retail outlets</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986</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Cost recovery</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671</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655</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655</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Property rental</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rPr>
            </w:pPr>
            <w:r w:rsidRPr="00AE259B">
              <w:rPr>
                <w:rFonts w:ascii="Arial" w:hAnsi="Arial" w:cs="Arial"/>
              </w:rPr>
              <w:t>13</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95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other income</w:t>
            </w:r>
          </w:p>
        </w:tc>
        <w:tc>
          <w:tcPr>
            <w:tcW w:w="681" w:type="pct"/>
            <w:shd w:val="pct10" w:color="auto" w:fill="auto"/>
            <w:vAlign w:val="bottom"/>
          </w:tcPr>
          <w:p w:rsidR="008A185A" w:rsidRPr="00AE259B" w:rsidRDefault="008A185A" w:rsidP="008A185A">
            <w:pPr>
              <w:pStyle w:val="Tablecopy"/>
              <w:spacing w:line="240" w:lineRule="auto"/>
              <w:ind w:right="78"/>
              <w:jc w:val="right"/>
              <w:rPr>
                <w:rFonts w:ascii="Arial" w:hAnsi="Arial" w:cs="Arial"/>
                <w:b/>
              </w:rPr>
            </w:pPr>
            <w:r w:rsidRPr="00AE259B">
              <w:rPr>
                <w:rFonts w:ascii="Arial" w:hAnsi="Arial" w:cs="Arial"/>
                <w:b/>
              </w:rPr>
              <w:t>1,670</w:t>
            </w:r>
          </w:p>
        </w:tc>
        <w:tc>
          <w:tcPr>
            <w:tcW w:w="68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655</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655</w:t>
            </w:r>
          </w:p>
        </w:tc>
      </w:tr>
      <w:tr w:rsidR="008A185A" w:rsidRPr="00AE259B" w:rsidTr="008A185A">
        <w:tc>
          <w:tcPr>
            <w:tcW w:w="5000" w:type="pct"/>
            <w:gridSpan w:val="4"/>
          </w:tcPr>
          <w:p w:rsidR="00B11D08" w:rsidRDefault="008A185A" w:rsidP="008A185A">
            <w:pPr>
              <w:pStyle w:val="Tablecopy"/>
              <w:spacing w:line="240" w:lineRule="auto"/>
              <w:ind w:left="113"/>
              <w:rPr>
                <w:rFonts w:ascii="Arial" w:hAnsi="Arial" w:cs="Arial"/>
              </w:rPr>
            </w:pPr>
            <w:r w:rsidRPr="00AE259B">
              <w:rPr>
                <w:rFonts w:ascii="Arial" w:hAnsi="Arial" w:cs="Arial"/>
              </w:rPr>
              <w:t>(i) The Director of Public Transport entered into a Bus Shelter Agreement with Adshel Street Furniture Pty Limited to supply, install and maintain bus shelters in Metropolitan Melbourne for a term of 10 years from 4 July 2007 (“Bus Shelter Agreement”).  Under the Bus Shelter Agreement, ownership of bus shelters built was transferred to the Director of Public Transport.  As a result of machinery of government change on 2 April 2012, the Bus Shelter Agreement and the related bus shelters were transferred from the Director of Public Transport to PTV.  A review of bus shelters constructed was conducted in 2012-13 which identified that bus shelters with a net book value of $26,884,000 were not transferred from DTPLI and are now recognised as assets provided free of charge.</w:t>
            </w:r>
            <w:r w:rsidRPr="00AE259B">
              <w:rPr>
                <w:rFonts w:ascii="Arial" w:hAnsi="Arial" w:cs="Arial"/>
              </w:rPr>
              <w:br/>
            </w:r>
          </w:p>
          <w:p w:rsidR="008A185A" w:rsidRPr="00AE259B" w:rsidRDefault="008A185A" w:rsidP="008A185A">
            <w:pPr>
              <w:pStyle w:val="Tablecopy"/>
              <w:spacing w:line="240" w:lineRule="auto"/>
              <w:ind w:left="113"/>
              <w:rPr>
                <w:rFonts w:ascii="Arial" w:hAnsi="Arial" w:cs="Arial"/>
              </w:rPr>
            </w:pPr>
            <w:r w:rsidRPr="00AE259B">
              <w:rPr>
                <w:rFonts w:ascii="Arial" w:hAnsi="Arial" w:cs="Arial"/>
              </w:rPr>
              <w:t>(ii) From 1 January 2013, PTV has the use of assets of myki ticketing system (myki assets) owned by Transport Ticketing Authority.  As a result, PTV has to recognise the fair value of the use of myki assets free of charge.  Fair value of the use of myki assets from 1 January 2013 to 30 June 2013 is determined as the depreciation charge of myki assets of $11,816 thousand and is recognised as resources received free of charge.</w:t>
            </w:r>
          </w:p>
        </w:tc>
      </w:tr>
    </w:tbl>
    <w:p w:rsidR="008A185A" w:rsidRPr="00AE259B" w:rsidRDefault="008A185A" w:rsidP="008A185A">
      <w:pPr>
        <w:rPr>
          <w:rFonts w:ascii="Arial" w:hAnsi="Arial" w:cs="Arial"/>
          <w:b/>
          <w:sz w:val="36"/>
          <w:szCs w:val="48"/>
          <w:lang w:val="en-US"/>
        </w:rPr>
      </w:pPr>
      <w:bookmarkStart w:id="144" w:name="_Note_6._Expenses"/>
      <w:bookmarkStart w:id="145" w:name="_Toc337471038"/>
      <w:bookmarkStart w:id="146" w:name="_Toc337537804"/>
      <w:bookmarkStart w:id="147" w:name="_Toc337539730"/>
      <w:bookmarkStart w:id="148" w:name="_Toc337707147"/>
      <w:bookmarkStart w:id="149" w:name="_Toc337711255"/>
      <w:bookmarkEnd w:id="144"/>
    </w:p>
    <w:p w:rsidR="008A185A" w:rsidRPr="00AE259B" w:rsidRDefault="008A185A" w:rsidP="008A185A">
      <w:pPr>
        <w:rPr>
          <w:rFonts w:ascii="Arial" w:hAnsi="Arial" w:cs="Arial"/>
          <w:lang w:val="en-US"/>
        </w:rPr>
        <w:sectPr w:rsidR="008A185A" w:rsidRPr="00AE259B" w:rsidSect="008A185A">
          <w:pgSz w:w="11906" w:h="16838"/>
          <w:pgMar w:top="1418" w:right="1983" w:bottom="720" w:left="1843" w:header="720" w:footer="720" w:gutter="0"/>
          <w:cols w:space="720"/>
          <w:noEndnote/>
        </w:sectPr>
      </w:pPr>
    </w:p>
    <w:p w:rsidR="008A185A" w:rsidRPr="00AE259B" w:rsidRDefault="008A185A" w:rsidP="008A185A">
      <w:pPr>
        <w:rPr>
          <w:rFonts w:ascii="Arial" w:hAnsi="Arial" w:cs="Arial"/>
          <w:lang w:val="en-US"/>
        </w:rPr>
      </w:pPr>
    </w:p>
    <w:p w:rsidR="008A185A" w:rsidRPr="00AE259B" w:rsidRDefault="008A185A" w:rsidP="00951FFC">
      <w:pPr>
        <w:pStyle w:val="Heading10"/>
        <w:outlineLvl w:val="0"/>
      </w:pPr>
      <w:bookmarkStart w:id="150" w:name="_Toc366672095"/>
      <w:r w:rsidRPr="00AE259B">
        <w:t>Note 4. Expenses from transactions</w:t>
      </w:r>
      <w:bookmarkEnd w:id="145"/>
      <w:bookmarkEnd w:id="146"/>
      <w:bookmarkEnd w:id="147"/>
      <w:bookmarkEnd w:id="148"/>
      <w:bookmarkEnd w:id="149"/>
      <w:bookmarkEnd w:id="15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939"/>
        <w:gridCol w:w="859"/>
        <w:gridCol w:w="1241"/>
        <w:gridCol w:w="1240"/>
        <w:gridCol w:w="1027"/>
      </w:tblGrid>
      <w:tr w:rsidR="008A185A" w:rsidRPr="00AE259B" w:rsidTr="008A185A">
        <w:tc>
          <w:tcPr>
            <w:tcW w:w="2408"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553" w:type="pct"/>
            <w:vAlign w:val="bottom"/>
          </w:tcPr>
          <w:p w:rsidR="008A185A" w:rsidRPr="00AE259B" w:rsidRDefault="008A185A" w:rsidP="008A185A">
            <w:pPr>
              <w:pStyle w:val="TableHeading"/>
              <w:spacing w:before="0" w:after="0" w:line="240" w:lineRule="auto"/>
              <w:ind w:right="78"/>
              <w:rPr>
                <w:rFonts w:ascii="Arial" w:hAnsi="Arial" w:cs="Arial"/>
              </w:rPr>
            </w:pPr>
            <w:r w:rsidRPr="00AE259B">
              <w:rPr>
                <w:rFonts w:ascii="Arial" w:hAnsi="Arial" w:cs="Arial"/>
              </w:rPr>
              <w:t>Note</w:t>
            </w:r>
          </w:p>
        </w:tc>
        <w:tc>
          <w:tcPr>
            <w:tcW w:w="783"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ind w:right="78"/>
              <w:rPr>
                <w:rFonts w:ascii="Arial" w:hAnsi="Arial" w:cs="Arial"/>
              </w:rPr>
            </w:pPr>
            <w:r w:rsidRPr="00AE259B">
              <w:rPr>
                <w:rFonts w:ascii="Arial" w:hAnsi="Arial" w:cs="Arial"/>
              </w:rPr>
              <w:t>2013</w:t>
            </w:r>
            <w:r w:rsidRPr="00AE259B">
              <w:rPr>
                <w:rFonts w:ascii="Arial" w:hAnsi="Arial" w:cs="Arial"/>
              </w:rPr>
              <w:br/>
              <w:t>$’000</w:t>
            </w:r>
          </w:p>
        </w:tc>
        <w:tc>
          <w:tcPr>
            <w:tcW w:w="661"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15.12.2011</w:t>
            </w:r>
            <w:r w:rsidRPr="00AE259B">
              <w:rPr>
                <w:rFonts w:ascii="Arial" w:hAnsi="Arial" w:cs="Arial"/>
              </w:rPr>
              <w:br/>
              <w:t>to 30.6.2012</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c>
          <w:tcPr>
            <w:tcW w:w="595"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15.12.2011</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To 30.6.2012</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r>
      <w:tr w:rsidR="008A185A" w:rsidRPr="00AE259B" w:rsidTr="008A185A">
        <w:tc>
          <w:tcPr>
            <w:tcW w:w="2408"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(a) Payments to service providers and transport agencies</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w:t>
            </w:r>
          </w:p>
        </w:tc>
        <w:tc>
          <w:tcPr>
            <w:tcW w:w="66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5"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Rail system operation and related services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(1,632,027)</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(383,016)</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(383,016)</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Grants for capital asset charge</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(1,421,214)</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(324,008)</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(324,008)</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rail services</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(3,053,241)</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(707,024)</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(707,024)</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Bus services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(949,237)</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(239,823)</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(239,823)</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Ticketing services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(59,865)</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Payments to other agencies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(81)</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(81)</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payments to service providers and transport agencies</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(4,062,343)</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(946,928)</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(946,928)</w:t>
            </w:r>
          </w:p>
        </w:tc>
      </w:tr>
      <w:tr w:rsidR="008A185A" w:rsidRPr="00AE259B" w:rsidTr="008A185A">
        <w:tc>
          <w:tcPr>
            <w:tcW w:w="2408"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(b) Supplies and services</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6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5"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Administration and information technology </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(35,364)</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(5,488)</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(5,488)</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Grants for community and social benefits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(739)</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(104)</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(104)</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Accommodation</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(4,538)</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(1,656)</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(1,656)</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Insurance, legal and internal audit fees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(1,236)</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(9)</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(9)</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Cost of goods sold/distributed</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(348)</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(348)</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Contractors for services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(11,042)</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(11,110)</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(11,110)</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Audit fee</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(185)</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(55)</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(55)</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supplies and services</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(53,104)</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(18,770)</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(18,770)</w:t>
            </w:r>
          </w:p>
        </w:tc>
      </w:tr>
      <w:tr w:rsidR="008A185A" w:rsidRPr="00AE259B" w:rsidTr="008A185A">
        <w:tc>
          <w:tcPr>
            <w:tcW w:w="2408"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 Employee expenses</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6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5"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Salaries and wages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(33,598)</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(10,265)</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(10,265)</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Annual leave and long services leave expense</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(5,005)</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(740)</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(740)</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Superannuation (excluding salary sacrifice)</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(3,507)</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(901)</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(901)</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Workforce reduction payments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(4,904)</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Other on-costs (fringe benefits tax, payroll tax and work cover levy)</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(3,519)</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(897)</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(897)</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employee expenses</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(50,533)</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(12,803)</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(12,803)</w:t>
            </w:r>
          </w:p>
        </w:tc>
      </w:tr>
      <w:tr w:rsidR="008A185A" w:rsidRPr="00AE259B" w:rsidTr="008A185A">
        <w:tc>
          <w:tcPr>
            <w:tcW w:w="2408"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(d) Depreciation and amortisation</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408" w:type="pct"/>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Depreciation and amortisation of property, plant and equipment</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61" w:type="pct"/>
            <w:tcBorders>
              <w:bottom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5" w:type="pct"/>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Buildings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(11,900)</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(2,980)</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(2,980)</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Infrastructure assets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(10,917)</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(2,347)</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(2,347)</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Plant and equipment</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(203)</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(56)</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(56)</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Leasehold improvements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(1,819)</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(504)</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(504)</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Leased vehicles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(248)</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(74)</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(74)</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Cultural Assets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(77)</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(19)</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(19)</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for property, plant and equipment</w:t>
            </w:r>
          </w:p>
        </w:tc>
        <w:tc>
          <w:tcPr>
            <w:tcW w:w="553" w:type="pct"/>
          </w:tcPr>
          <w:p w:rsidR="008A185A" w:rsidRPr="00AE259B" w:rsidRDefault="008A185A" w:rsidP="008A185A">
            <w:pPr>
              <w:pStyle w:val="Tablecopy"/>
              <w:spacing w:line="240" w:lineRule="auto"/>
              <w:ind w:right="78"/>
              <w:jc w:val="right"/>
              <w:rPr>
                <w:rFonts w:ascii="Arial" w:hAnsi="Arial" w:cs="Arial"/>
                <w:b/>
              </w:rPr>
            </w:pPr>
            <w:r w:rsidRPr="00AE259B">
              <w:rPr>
                <w:rFonts w:ascii="Arial" w:hAnsi="Arial" w:cs="Arial"/>
                <w:b/>
              </w:rPr>
              <w:t>8</w:t>
            </w: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(25,164)</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(5,980)</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(5,980)</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408"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Amortisation</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61"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5"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Intangible assets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(2,720)</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(635)</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(635)</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for intangibles</w:t>
            </w:r>
          </w:p>
        </w:tc>
        <w:tc>
          <w:tcPr>
            <w:tcW w:w="553" w:type="pct"/>
          </w:tcPr>
          <w:p w:rsidR="008A185A" w:rsidRPr="00AE259B" w:rsidRDefault="008A185A" w:rsidP="008A185A">
            <w:pPr>
              <w:pStyle w:val="Tablecopy"/>
              <w:spacing w:line="240" w:lineRule="auto"/>
              <w:ind w:right="78"/>
              <w:jc w:val="right"/>
              <w:rPr>
                <w:rFonts w:ascii="Arial" w:hAnsi="Arial" w:cs="Arial"/>
                <w:b/>
              </w:rPr>
            </w:pPr>
            <w:r w:rsidRPr="00AE259B">
              <w:rPr>
                <w:rFonts w:ascii="Arial" w:hAnsi="Arial" w:cs="Arial"/>
                <w:b/>
              </w:rPr>
              <w:t>9</w:t>
            </w: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bCs/>
              </w:rPr>
            </w:pPr>
            <w:r w:rsidRPr="00AE259B">
              <w:rPr>
                <w:rFonts w:ascii="Arial" w:hAnsi="Arial" w:cs="Arial"/>
                <w:b/>
                <w:bCs/>
              </w:rPr>
              <w:t>(2,720)</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(635)</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(635)</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depreciation and amortisation</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bCs/>
              </w:rPr>
            </w:pPr>
            <w:r w:rsidRPr="00AE259B">
              <w:rPr>
                <w:rFonts w:ascii="Arial" w:hAnsi="Arial" w:cs="Arial"/>
                <w:b/>
                <w:bCs/>
              </w:rPr>
              <w:t>(27,884)</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(6,615)</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(6,615)</w:t>
            </w:r>
          </w:p>
        </w:tc>
      </w:tr>
      <w:tr w:rsidR="008A185A" w:rsidRPr="00AE259B" w:rsidTr="008A185A">
        <w:tc>
          <w:tcPr>
            <w:tcW w:w="2408"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(e) Interest expenses</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6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5"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408" w:type="pct"/>
            <w:shd w:val="clear" w:color="auto" w:fill="auto"/>
            <w:tcMar>
              <w:top w:w="0" w:type="dxa"/>
              <w:left w:w="113" w:type="dxa"/>
              <w:bottom w:w="85"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Interest on finance leases</w:t>
            </w:r>
          </w:p>
        </w:tc>
        <w:tc>
          <w:tcPr>
            <w:tcW w:w="553" w:type="pct"/>
          </w:tcPr>
          <w:p w:rsidR="008A185A" w:rsidRPr="00AE259B" w:rsidRDefault="008A185A" w:rsidP="008A185A">
            <w:pPr>
              <w:pStyle w:val="Tablecopy"/>
              <w:spacing w:line="240" w:lineRule="auto"/>
              <w:ind w:right="78"/>
              <w:jc w:val="right"/>
              <w:rPr>
                <w:rFonts w:ascii="Arial" w:hAnsi="Arial" w:cs="Arial"/>
              </w:rPr>
            </w:pPr>
          </w:p>
        </w:tc>
        <w:tc>
          <w:tcPr>
            <w:tcW w:w="783" w:type="pct"/>
            <w:shd w:val="pct10" w:color="auto" w:fill="auto"/>
            <w:tcMar>
              <w:top w:w="0" w:type="dxa"/>
              <w:left w:w="113" w:type="dxa"/>
              <w:bottom w:w="85"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(32,548)</w:t>
            </w:r>
          </w:p>
        </w:tc>
        <w:tc>
          <w:tcPr>
            <w:tcW w:w="661" w:type="pct"/>
            <w:shd w:val="clear" w:color="auto" w:fill="auto"/>
            <w:tcMar>
              <w:top w:w="0" w:type="dxa"/>
              <w:left w:w="113" w:type="dxa"/>
              <w:bottom w:w="85"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(8,120)</w:t>
            </w:r>
          </w:p>
        </w:tc>
        <w:tc>
          <w:tcPr>
            <w:tcW w:w="595" w:type="pct"/>
            <w:shd w:val="clear" w:color="auto" w:fill="auto"/>
            <w:tcMar>
              <w:top w:w="0" w:type="dxa"/>
              <w:left w:w="113" w:type="dxa"/>
              <w:bottom w:w="85"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(8,120)</w:t>
            </w:r>
          </w:p>
        </w:tc>
      </w:tr>
      <w:tr w:rsidR="008A185A" w:rsidRPr="00AE259B" w:rsidTr="008A185A">
        <w:tc>
          <w:tcPr>
            <w:tcW w:w="2408"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Total interest expenses</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(32,548)</w:t>
            </w:r>
          </w:p>
        </w:tc>
        <w:tc>
          <w:tcPr>
            <w:tcW w:w="66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(8,120)</w:t>
            </w:r>
          </w:p>
        </w:tc>
        <w:tc>
          <w:tcPr>
            <w:tcW w:w="595"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(8,120)</w:t>
            </w:r>
          </w:p>
        </w:tc>
      </w:tr>
      <w:tr w:rsidR="008A185A" w:rsidRPr="00AE259B" w:rsidTr="008A185A">
        <w:tc>
          <w:tcPr>
            <w:tcW w:w="2408"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(f) Assets and services provided free of charge</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6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5"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Fair value of services provided free of charge</w:t>
            </w:r>
            <w:r w:rsidRPr="00AE259B">
              <w:rPr>
                <w:rFonts w:ascii="Arial" w:hAnsi="Arial" w:cs="Arial"/>
                <w:vertAlign w:val="superscript"/>
              </w:rPr>
              <w:t>(i)</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(6,200)</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Transport Ticketing Authority </w:t>
            </w:r>
          </w:p>
        </w:tc>
        <w:tc>
          <w:tcPr>
            <w:tcW w:w="553" w:type="pct"/>
          </w:tcPr>
          <w:p w:rsidR="008A185A" w:rsidRPr="00AE259B" w:rsidRDefault="008A185A" w:rsidP="008A185A">
            <w:pPr>
              <w:pStyle w:val="Tablecopy"/>
              <w:spacing w:line="240" w:lineRule="auto"/>
              <w:ind w:right="78"/>
              <w:jc w:val="right"/>
              <w:rPr>
                <w:rFonts w:ascii="Arial" w:hAnsi="Arial" w:cs="Arial"/>
                <w:b/>
              </w:rPr>
            </w:pPr>
            <w:r w:rsidRPr="00AE259B">
              <w:rPr>
                <w:rFonts w:ascii="Arial" w:hAnsi="Arial" w:cs="Arial"/>
                <w:b/>
              </w:rPr>
              <w:t>2(d)</w:t>
            </w: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(968)</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(968)</w:t>
            </w:r>
          </w:p>
        </w:tc>
      </w:tr>
      <w:tr w:rsidR="008A185A" w:rsidRPr="00AE259B" w:rsidTr="008A185A">
        <w:tc>
          <w:tcPr>
            <w:tcW w:w="2408"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assets and services provided free of charge</w:t>
            </w:r>
          </w:p>
        </w:tc>
        <w:tc>
          <w:tcPr>
            <w:tcW w:w="553" w:type="pct"/>
          </w:tcPr>
          <w:p w:rsidR="008A185A" w:rsidRPr="00AE259B" w:rsidRDefault="008A185A" w:rsidP="008A185A">
            <w:pPr>
              <w:pStyle w:val="Tablecopy"/>
              <w:spacing w:line="240" w:lineRule="auto"/>
              <w:ind w:right="78"/>
              <w:jc w:val="right"/>
              <w:rPr>
                <w:rFonts w:ascii="Arial" w:hAnsi="Arial" w:cs="Arial"/>
                <w:b/>
              </w:rPr>
            </w:pPr>
          </w:p>
        </w:tc>
        <w:tc>
          <w:tcPr>
            <w:tcW w:w="78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(6,200)</w:t>
            </w:r>
          </w:p>
        </w:tc>
        <w:tc>
          <w:tcPr>
            <w:tcW w:w="66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(968)</w:t>
            </w:r>
          </w:p>
        </w:tc>
        <w:tc>
          <w:tcPr>
            <w:tcW w:w="59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(968)</w:t>
            </w:r>
          </w:p>
        </w:tc>
      </w:tr>
      <w:tr w:rsidR="008A185A" w:rsidRPr="00AE259B" w:rsidTr="008A185A">
        <w:trPr>
          <w:trHeight w:val="495"/>
        </w:trPr>
        <w:tc>
          <w:tcPr>
            <w:tcW w:w="5000" w:type="pct"/>
            <w:gridSpan w:val="5"/>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(i) From 1 January 2013 to 30 June 2013, PTV provided the services of myki ticketing system maintenance free of charge to the Transport Ticketing Authority.  Fair value of the asset maintenance services is determined at $6.2 million and is recognised as services provided free of charge.</w:t>
            </w:r>
          </w:p>
        </w:tc>
      </w:tr>
    </w:tbl>
    <w:p w:rsidR="008A185A" w:rsidRPr="00AE259B" w:rsidRDefault="008A185A" w:rsidP="008A185A">
      <w:pPr>
        <w:rPr>
          <w:rFonts w:ascii="Arial" w:hAnsi="Arial" w:cs="Arial"/>
        </w:rPr>
      </w:pPr>
    </w:p>
    <w:p w:rsidR="008A185A" w:rsidRPr="00AE259B" w:rsidRDefault="008A185A" w:rsidP="008A185A">
      <w:pPr>
        <w:rPr>
          <w:rFonts w:ascii="Arial" w:hAnsi="Arial" w:cs="Arial"/>
        </w:rPr>
        <w:sectPr w:rsidR="008A185A" w:rsidRPr="00AE259B" w:rsidSect="008A185A">
          <w:pgSz w:w="11906" w:h="16838"/>
          <w:pgMar w:top="1418" w:right="1983" w:bottom="720" w:left="1843" w:header="720" w:footer="720" w:gutter="0"/>
          <w:cols w:space="720"/>
          <w:noEndnote/>
        </w:sectPr>
      </w:pPr>
    </w:p>
    <w:p w:rsidR="008A185A" w:rsidRPr="00AE259B" w:rsidRDefault="008A185A" w:rsidP="008A185A">
      <w:pPr>
        <w:rPr>
          <w:rFonts w:ascii="Arial" w:hAnsi="Arial" w:cs="Arial"/>
        </w:rPr>
      </w:pPr>
    </w:p>
    <w:p w:rsidR="008A185A" w:rsidRPr="00AE259B" w:rsidRDefault="008A185A" w:rsidP="00951FFC">
      <w:pPr>
        <w:pStyle w:val="Heading10"/>
        <w:outlineLvl w:val="0"/>
      </w:pPr>
      <w:bookmarkStart w:id="151" w:name="_Note_7._Other"/>
      <w:bookmarkStart w:id="152" w:name="_Toc337471039"/>
      <w:bookmarkStart w:id="153" w:name="_Toc337537805"/>
      <w:bookmarkStart w:id="154" w:name="_Toc337539731"/>
      <w:bookmarkStart w:id="155" w:name="_Toc337707148"/>
      <w:bookmarkStart w:id="156" w:name="_Toc337711256"/>
      <w:bookmarkStart w:id="157" w:name="_Toc366672096"/>
      <w:bookmarkEnd w:id="151"/>
      <w:r w:rsidRPr="00AE259B">
        <w:t>Note 5. Other economic flows included in net result</w:t>
      </w:r>
      <w:bookmarkEnd w:id="152"/>
      <w:bookmarkEnd w:id="153"/>
      <w:bookmarkEnd w:id="154"/>
      <w:bookmarkEnd w:id="155"/>
      <w:bookmarkEnd w:id="156"/>
      <w:bookmarkEnd w:id="157"/>
    </w:p>
    <w:tbl>
      <w:tblPr>
        <w:tblW w:w="48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23"/>
        <w:gridCol w:w="582"/>
        <w:gridCol w:w="883"/>
        <w:gridCol w:w="1240"/>
        <w:gridCol w:w="1027"/>
      </w:tblGrid>
      <w:tr w:rsidR="008A185A" w:rsidRPr="00AE259B" w:rsidTr="008A185A">
        <w:tc>
          <w:tcPr>
            <w:tcW w:w="2741"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jc w:val="left"/>
              <w:rPr>
                <w:rFonts w:ascii="Arial" w:hAnsi="Arial" w:cs="Arial"/>
              </w:rPr>
            </w:pPr>
          </w:p>
        </w:tc>
        <w:tc>
          <w:tcPr>
            <w:tcW w:w="344"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 xml:space="preserve"> Note </w:t>
            </w:r>
          </w:p>
        </w:tc>
        <w:tc>
          <w:tcPr>
            <w:tcW w:w="605" w:type="pct"/>
            <w:tcBorders>
              <w:bottom w:val="single" w:sz="6" w:space="0" w:color="auto"/>
            </w:tcBorders>
            <w:vAlign w:val="bottom"/>
          </w:tcPr>
          <w:p w:rsidR="008A185A" w:rsidRPr="00AE259B" w:rsidRDefault="008A185A" w:rsidP="008A185A">
            <w:pPr>
              <w:pStyle w:val="TableHeading"/>
              <w:spacing w:before="0" w:after="0" w:line="240" w:lineRule="auto"/>
              <w:ind w:right="52"/>
              <w:rPr>
                <w:rFonts w:ascii="Arial" w:hAnsi="Arial" w:cs="Arial"/>
              </w:rPr>
            </w:pPr>
            <w:r w:rsidRPr="00AE259B">
              <w:rPr>
                <w:rFonts w:ascii="Arial" w:hAnsi="Arial" w:cs="Arial"/>
              </w:rPr>
              <w:t>2013</w:t>
            </w:r>
            <w:r w:rsidRPr="00AE259B">
              <w:rPr>
                <w:rFonts w:ascii="Arial" w:hAnsi="Arial" w:cs="Arial"/>
              </w:rPr>
              <w:br/>
              <w:t>$’000</w:t>
            </w:r>
          </w:p>
        </w:tc>
        <w:tc>
          <w:tcPr>
            <w:tcW w:w="682"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15.12.2011</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to 30.6.2012</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c>
          <w:tcPr>
            <w:tcW w:w="597"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15.12.2011</w:t>
            </w:r>
            <w:r w:rsidRPr="00AE259B">
              <w:rPr>
                <w:rFonts w:ascii="Arial" w:hAnsi="Arial" w:cs="Arial"/>
              </w:rPr>
              <w:br/>
              <w:t>to 30.6.2012</w:t>
            </w:r>
            <w:r w:rsidRPr="00AE259B">
              <w:rPr>
                <w:rFonts w:ascii="Arial" w:hAnsi="Arial" w:cs="Arial"/>
              </w:rPr>
              <w:br/>
              <w:t>$’000</w:t>
            </w:r>
          </w:p>
        </w:tc>
      </w:tr>
      <w:tr w:rsidR="008A185A" w:rsidRPr="00AE259B" w:rsidTr="008A185A">
        <w:tc>
          <w:tcPr>
            <w:tcW w:w="274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(a) Net gain/(loss) on non financial assets</w:t>
            </w:r>
          </w:p>
        </w:tc>
        <w:tc>
          <w:tcPr>
            <w:tcW w:w="344"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b/>
              </w:rPr>
            </w:pPr>
          </w:p>
        </w:tc>
        <w:tc>
          <w:tcPr>
            <w:tcW w:w="682"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7"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74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Gross proceeds from sale of property, plant and equipment</w:t>
            </w:r>
          </w:p>
        </w:tc>
        <w:tc>
          <w:tcPr>
            <w:tcW w:w="344"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b/>
              </w:rPr>
            </w:pPr>
          </w:p>
        </w:tc>
        <w:tc>
          <w:tcPr>
            <w:tcW w:w="682"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7"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Leased vehicles</w:t>
            </w: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rPr>
            </w:pPr>
            <w:r w:rsidRPr="00AE259B">
              <w:rPr>
                <w:rFonts w:ascii="Arial" w:hAnsi="Arial" w:cs="Arial"/>
              </w:rPr>
              <w:t>357</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proceeds</w:t>
            </w: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b/>
              </w:rPr>
            </w:pPr>
            <w:r w:rsidRPr="00AE259B">
              <w:rPr>
                <w:rFonts w:ascii="Arial" w:hAnsi="Arial" w:cs="Arial"/>
                <w:b/>
              </w:rPr>
              <w:t>357</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w:t>
            </w: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w:t>
            </w:r>
          </w:p>
        </w:tc>
      </w:tr>
      <w:tr w:rsidR="008A185A" w:rsidRPr="00AE259B" w:rsidTr="008A185A">
        <w:tc>
          <w:tcPr>
            <w:tcW w:w="274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Gross disposals of property, plant and equipment</w:t>
            </w:r>
          </w:p>
        </w:tc>
        <w:tc>
          <w:tcPr>
            <w:tcW w:w="344"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b/>
              </w:rPr>
            </w:pPr>
          </w:p>
        </w:tc>
        <w:tc>
          <w:tcPr>
            <w:tcW w:w="682"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597"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Infrastructure</w:t>
            </w: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rPr>
            </w:pPr>
            <w:r w:rsidRPr="00AE259B">
              <w:rPr>
                <w:rFonts w:ascii="Arial" w:hAnsi="Arial" w:cs="Arial"/>
              </w:rPr>
              <w:t>(1,353)</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Plant and equipment</w:t>
            </w: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rPr>
            </w:pPr>
            <w:r w:rsidRPr="00AE259B">
              <w:rPr>
                <w:rFonts w:ascii="Arial" w:hAnsi="Arial" w:cs="Arial"/>
              </w:rPr>
              <w:t>(5)</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Leasehold improvements</w:t>
            </w: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rPr>
            </w:pPr>
            <w:r w:rsidRPr="00AE259B">
              <w:rPr>
                <w:rFonts w:ascii="Arial" w:hAnsi="Arial" w:cs="Arial"/>
              </w:rPr>
              <w:t>(10)</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Leased vehicles</w:t>
            </w: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rPr>
            </w:pPr>
            <w:r w:rsidRPr="00AE259B">
              <w:rPr>
                <w:rFonts w:ascii="Arial" w:hAnsi="Arial" w:cs="Arial"/>
              </w:rPr>
              <w:t>(304)</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disposals of property, plant and equipment</w:t>
            </w: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8</w:t>
            </w: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b/>
              </w:rPr>
            </w:pPr>
            <w:r w:rsidRPr="00AE259B">
              <w:rPr>
                <w:rFonts w:ascii="Arial" w:hAnsi="Arial" w:cs="Arial"/>
                <w:b/>
              </w:rPr>
              <w:t>(1,672)</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net gain/(loss) on non-financial assets</w:t>
            </w: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bCs/>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b/>
              </w:rPr>
            </w:pPr>
            <w:r w:rsidRPr="00AE259B">
              <w:rPr>
                <w:rFonts w:ascii="Arial" w:hAnsi="Arial" w:cs="Arial"/>
                <w:b/>
              </w:rPr>
              <w:t>(1,315)</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rPr>
            </w:pP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741" w:type="pct"/>
            <w:shd w:val="clear" w:color="auto" w:fill="auto"/>
            <w:tcMar>
              <w:top w:w="0" w:type="dxa"/>
              <w:left w:w="113" w:type="dxa"/>
              <w:bottom w:w="113" w:type="dxa"/>
              <w:right w:w="113" w:type="dxa"/>
            </w:tcMar>
            <w:vAlign w:val="bottom"/>
          </w:tcPr>
          <w:p w:rsidR="008A185A" w:rsidRPr="00AE259B" w:rsidRDefault="008A185A" w:rsidP="008A185A">
            <w:pPr>
              <w:pStyle w:val="TableHeading"/>
              <w:spacing w:before="0" w:after="0" w:line="240" w:lineRule="auto"/>
              <w:jc w:val="left"/>
              <w:rPr>
                <w:rFonts w:ascii="Arial" w:hAnsi="Arial" w:cs="Arial"/>
              </w:rPr>
            </w:pPr>
            <w:r w:rsidRPr="00AE259B">
              <w:rPr>
                <w:rFonts w:ascii="Arial" w:hAnsi="Arial" w:cs="Arial"/>
              </w:rPr>
              <w:t>(b) Other gains/(losses) from other economic flows</w:t>
            </w:r>
          </w:p>
        </w:tc>
        <w:tc>
          <w:tcPr>
            <w:tcW w:w="344" w:type="pct"/>
            <w:shd w:val="clear" w:color="auto" w:fill="auto"/>
            <w:tcMar>
              <w:top w:w="57" w:type="dxa"/>
              <w:left w:w="113" w:type="dxa"/>
              <w:bottom w:w="113"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 xml:space="preserve"> </w:t>
            </w:r>
          </w:p>
        </w:tc>
        <w:tc>
          <w:tcPr>
            <w:tcW w:w="605" w:type="pct"/>
            <w:shd w:val="pct10" w:color="auto" w:fill="auto"/>
            <w:vAlign w:val="bottom"/>
          </w:tcPr>
          <w:p w:rsidR="008A185A" w:rsidRPr="00AE259B" w:rsidRDefault="008A185A" w:rsidP="008A185A">
            <w:pPr>
              <w:pStyle w:val="TableHeading"/>
              <w:spacing w:before="0" w:after="0" w:line="240" w:lineRule="auto"/>
              <w:ind w:right="52"/>
              <w:rPr>
                <w:rFonts w:ascii="Arial" w:hAnsi="Arial" w:cs="Arial"/>
              </w:rPr>
            </w:pPr>
          </w:p>
        </w:tc>
        <w:tc>
          <w:tcPr>
            <w:tcW w:w="682" w:type="pct"/>
            <w:shd w:val="clear" w:color="auto" w:fill="auto"/>
            <w:tcMar>
              <w:top w:w="57" w:type="dxa"/>
              <w:left w:w="113" w:type="dxa"/>
              <w:bottom w:w="113"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597" w:type="pct"/>
            <w:shd w:val="clear" w:color="auto" w:fill="auto"/>
            <w:tcMar>
              <w:top w:w="57" w:type="dxa"/>
              <w:left w:w="113" w:type="dxa"/>
              <w:bottom w:w="113"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r>
      <w:tr w:rsidR="008A185A" w:rsidRPr="00AE259B" w:rsidTr="008A185A">
        <w:tc>
          <w:tcPr>
            <w:tcW w:w="2741" w:type="pct"/>
            <w:shd w:val="clear" w:color="auto" w:fill="auto"/>
            <w:tcMar>
              <w:top w:w="0" w:type="dxa"/>
              <w:left w:w="113" w:type="dxa"/>
              <w:bottom w:w="113" w:type="dxa"/>
              <w:right w:w="113" w:type="dxa"/>
            </w:tcMar>
            <w:vAlign w:val="bottom"/>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Net gain/(loss) arising from revaluation of long service leave liability </w:t>
            </w:r>
            <w:r w:rsidRPr="00AE259B">
              <w:rPr>
                <w:rFonts w:ascii="Arial" w:hAnsi="Arial" w:cs="Arial"/>
                <w:vertAlign w:val="superscript"/>
              </w:rPr>
              <w:t>(i)</w:t>
            </w:r>
          </w:p>
        </w:tc>
        <w:tc>
          <w:tcPr>
            <w:tcW w:w="344" w:type="pct"/>
            <w:shd w:val="clear" w:color="auto" w:fill="auto"/>
            <w:tcMar>
              <w:top w:w="0" w:type="dxa"/>
              <w:left w:w="113" w:type="dxa"/>
              <w:bottom w:w="113"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05" w:type="pct"/>
            <w:shd w:val="pct10" w:color="auto" w:fill="auto"/>
            <w:vAlign w:val="bottom"/>
          </w:tcPr>
          <w:p w:rsidR="008A185A" w:rsidRPr="00AE259B" w:rsidRDefault="008A185A" w:rsidP="008A185A">
            <w:pPr>
              <w:pStyle w:val="Tablecopy"/>
              <w:spacing w:line="240" w:lineRule="auto"/>
              <w:ind w:right="52"/>
              <w:jc w:val="right"/>
              <w:rPr>
                <w:rFonts w:ascii="Arial" w:hAnsi="Arial" w:cs="Arial"/>
              </w:rPr>
            </w:pPr>
            <w:r w:rsidRPr="00AE259B">
              <w:rPr>
                <w:rFonts w:ascii="Arial" w:hAnsi="Arial" w:cs="Arial"/>
              </w:rPr>
              <w:t>239</w:t>
            </w:r>
          </w:p>
        </w:tc>
        <w:tc>
          <w:tcPr>
            <w:tcW w:w="682" w:type="pct"/>
            <w:shd w:val="clear" w:color="auto" w:fill="auto"/>
            <w:tcMar>
              <w:top w:w="0" w:type="dxa"/>
              <w:left w:w="113" w:type="dxa"/>
              <w:bottom w:w="113"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597" w:type="pct"/>
            <w:shd w:val="clear" w:color="auto" w:fill="auto"/>
            <w:tcMar>
              <w:top w:w="0" w:type="dxa"/>
              <w:left w:w="113" w:type="dxa"/>
              <w:bottom w:w="113"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74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other gains/(losses) from other economic flows</w:t>
            </w:r>
          </w:p>
        </w:tc>
        <w:tc>
          <w:tcPr>
            <w:tcW w:w="3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605" w:type="pct"/>
            <w:shd w:val="pct10" w:color="auto" w:fill="auto"/>
          </w:tcPr>
          <w:p w:rsidR="008A185A" w:rsidRPr="00AE259B" w:rsidRDefault="008A185A" w:rsidP="008A185A">
            <w:pPr>
              <w:pStyle w:val="Tablecopy"/>
              <w:spacing w:line="240" w:lineRule="auto"/>
              <w:ind w:right="52"/>
              <w:jc w:val="right"/>
              <w:rPr>
                <w:rFonts w:ascii="Arial" w:hAnsi="Arial" w:cs="Arial"/>
                <w:b/>
              </w:rPr>
            </w:pPr>
            <w:r w:rsidRPr="00AE259B">
              <w:rPr>
                <w:rFonts w:ascii="Arial" w:hAnsi="Arial" w:cs="Arial"/>
                <w:b/>
              </w:rPr>
              <w:t>239</w:t>
            </w:r>
          </w:p>
        </w:tc>
        <w:tc>
          <w:tcPr>
            <w:tcW w:w="6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597"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r>
      <w:tr w:rsidR="008A185A" w:rsidRPr="00AE259B" w:rsidTr="008A185A">
        <w:tc>
          <w:tcPr>
            <w:tcW w:w="5000" w:type="pct"/>
            <w:gridSpan w:val="5"/>
          </w:tcPr>
          <w:p w:rsidR="008A185A" w:rsidRPr="00AE259B" w:rsidRDefault="008A185A" w:rsidP="008A185A">
            <w:pPr>
              <w:pStyle w:val="Tablecopy"/>
              <w:spacing w:line="240" w:lineRule="auto"/>
              <w:ind w:firstLine="113"/>
              <w:rPr>
                <w:rFonts w:ascii="Arial" w:hAnsi="Arial" w:cs="Arial"/>
              </w:rPr>
            </w:pPr>
            <w:r w:rsidRPr="00AE259B">
              <w:rPr>
                <w:rFonts w:ascii="Arial" w:hAnsi="Arial" w:cs="Arial"/>
              </w:rPr>
              <w:t>(i) Revaluation gain/(loss) due to changes in bond rates.</w:t>
            </w:r>
          </w:p>
        </w:tc>
      </w:tr>
    </w:tbl>
    <w:p w:rsidR="008A185A" w:rsidRPr="00AE259B" w:rsidRDefault="008A185A" w:rsidP="008A185A">
      <w:pPr>
        <w:rPr>
          <w:rFonts w:ascii="Arial" w:hAnsi="Arial" w:cs="Arial"/>
        </w:rPr>
        <w:sectPr w:rsidR="008A185A" w:rsidRPr="00AE259B" w:rsidSect="008A185A">
          <w:pgSz w:w="11906" w:h="16838"/>
          <w:pgMar w:top="1418" w:right="1983" w:bottom="720" w:left="1843" w:header="720" w:footer="720" w:gutter="0"/>
          <w:cols w:space="720"/>
          <w:noEndnote/>
        </w:sectPr>
      </w:pPr>
    </w:p>
    <w:p w:rsidR="008A185A" w:rsidRPr="00AE259B" w:rsidRDefault="008A185A" w:rsidP="008A185A">
      <w:pPr>
        <w:rPr>
          <w:rFonts w:ascii="Arial" w:hAnsi="Arial" w:cs="Arial"/>
        </w:rPr>
      </w:pPr>
    </w:p>
    <w:p w:rsidR="008A185A" w:rsidRPr="00AE259B" w:rsidRDefault="008A185A" w:rsidP="00951FFC">
      <w:pPr>
        <w:pStyle w:val="Heading10"/>
        <w:outlineLvl w:val="0"/>
      </w:pPr>
      <w:bookmarkStart w:id="158" w:name="_Note_8._Receivables"/>
      <w:bookmarkStart w:id="159" w:name="_Toc337471040"/>
      <w:bookmarkStart w:id="160" w:name="_Toc337537806"/>
      <w:bookmarkStart w:id="161" w:name="_Toc337539732"/>
      <w:bookmarkStart w:id="162" w:name="_Toc337707149"/>
      <w:bookmarkStart w:id="163" w:name="_Toc337711257"/>
      <w:bookmarkStart w:id="164" w:name="_Toc366672097"/>
      <w:bookmarkEnd w:id="158"/>
      <w:r w:rsidRPr="00AE259B">
        <w:t>Note 6. Receivables</w:t>
      </w:r>
      <w:bookmarkEnd w:id="159"/>
      <w:bookmarkEnd w:id="160"/>
      <w:bookmarkEnd w:id="161"/>
      <w:bookmarkEnd w:id="162"/>
      <w:bookmarkEnd w:id="163"/>
      <w:bookmarkEnd w:id="164"/>
    </w:p>
    <w:tbl>
      <w:tblPr>
        <w:tblW w:w="49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185"/>
        <w:gridCol w:w="1456"/>
        <w:gridCol w:w="1287"/>
        <w:gridCol w:w="1300"/>
      </w:tblGrid>
      <w:tr w:rsidR="008A185A" w:rsidRPr="00AE259B" w:rsidTr="008A185A">
        <w:tc>
          <w:tcPr>
            <w:tcW w:w="2543"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885"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ind w:left="-112"/>
              <w:rPr>
                <w:rFonts w:ascii="Arial" w:hAnsi="Arial" w:cs="Arial"/>
              </w:rPr>
            </w:pPr>
            <w:r w:rsidRPr="00AE259B">
              <w:rPr>
                <w:rFonts w:ascii="Arial" w:hAnsi="Arial" w:cs="Arial"/>
              </w:rPr>
              <w:t>2013</w:t>
            </w:r>
            <w:r w:rsidRPr="00AE259B">
              <w:rPr>
                <w:rFonts w:ascii="Arial" w:hAnsi="Arial" w:cs="Arial"/>
              </w:rPr>
              <w:br/>
              <w:t>$’000</w:t>
            </w:r>
          </w:p>
        </w:tc>
        <w:tc>
          <w:tcPr>
            <w:tcW w:w="782"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2012</w:t>
            </w:r>
            <w:r w:rsidRPr="00AE259B">
              <w:rPr>
                <w:rFonts w:ascii="Arial" w:hAnsi="Arial" w:cs="Arial"/>
              </w:rPr>
              <w:br/>
              <w:t>$’000</w:t>
            </w:r>
          </w:p>
        </w:tc>
        <w:tc>
          <w:tcPr>
            <w:tcW w:w="790"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2543"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Current receivables</w:t>
            </w:r>
          </w:p>
        </w:tc>
        <w:tc>
          <w:tcPr>
            <w:tcW w:w="885" w:type="pct"/>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p>
        </w:tc>
        <w:tc>
          <w:tcPr>
            <w:tcW w:w="782"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790"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543"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Contractual</w:t>
            </w:r>
          </w:p>
        </w:tc>
        <w:tc>
          <w:tcPr>
            <w:tcW w:w="885" w:type="pct"/>
            <w:shd w:val="pct10" w:color="auto" w:fill="auto"/>
            <w:tcMar>
              <w:top w:w="113" w:type="dxa"/>
              <w:left w:w="113" w:type="dxa"/>
              <w:bottom w:w="57"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p>
        </w:tc>
        <w:tc>
          <w:tcPr>
            <w:tcW w:w="782"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790"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owing from government and agencies</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rPr>
            </w:pPr>
            <w:r w:rsidRPr="00AE259B">
              <w:rPr>
                <w:rFonts w:ascii="Arial" w:hAnsi="Arial" w:cs="Arial"/>
              </w:rPr>
              <w:t>1,604</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3,452</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3,452</w:t>
            </w: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Trade receivables </w:t>
            </w:r>
            <w:r w:rsidRPr="00AE259B">
              <w:rPr>
                <w:rFonts w:ascii="Arial" w:hAnsi="Arial" w:cs="Arial"/>
                <w:vertAlign w:val="superscript"/>
              </w:rPr>
              <w:t>(i)</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rPr>
            </w:pPr>
            <w:r w:rsidRPr="00AE259B">
              <w:rPr>
                <w:rFonts w:ascii="Arial" w:hAnsi="Arial" w:cs="Arial"/>
              </w:rPr>
              <w:t>14,457</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2,060</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2,060</w:t>
            </w: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r w:rsidRPr="00AE259B">
              <w:rPr>
                <w:rFonts w:ascii="Arial" w:hAnsi="Arial" w:cs="Arial"/>
                <w:b/>
              </w:rPr>
              <w:t>16,061</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5,512 </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5,512 </w:t>
            </w:r>
          </w:p>
        </w:tc>
      </w:tr>
      <w:tr w:rsidR="008A185A" w:rsidRPr="00AE259B" w:rsidTr="008A185A">
        <w:tc>
          <w:tcPr>
            <w:tcW w:w="2543"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Statutory</w:t>
            </w:r>
          </w:p>
        </w:tc>
        <w:tc>
          <w:tcPr>
            <w:tcW w:w="885" w:type="pct"/>
            <w:shd w:val="pct10" w:color="auto" w:fill="auto"/>
            <w:tcMar>
              <w:top w:w="113" w:type="dxa"/>
              <w:left w:w="113" w:type="dxa"/>
              <w:bottom w:w="57" w:type="dxa"/>
              <w:right w:w="113" w:type="dxa"/>
            </w:tcMar>
            <w:vAlign w:val="bottom"/>
          </w:tcPr>
          <w:p w:rsidR="008A185A" w:rsidRPr="00AE259B" w:rsidRDefault="008A185A" w:rsidP="008A185A">
            <w:pPr>
              <w:pStyle w:val="Tablecopy"/>
              <w:spacing w:line="240" w:lineRule="auto"/>
              <w:ind w:left="-112"/>
              <w:jc w:val="right"/>
              <w:rPr>
                <w:rFonts w:ascii="Arial" w:hAnsi="Arial" w:cs="Arial"/>
              </w:rPr>
            </w:pPr>
          </w:p>
        </w:tc>
        <w:tc>
          <w:tcPr>
            <w:tcW w:w="782"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790"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Amounts owing from DTPLI – Grant Receivable </w:t>
            </w:r>
            <w:r w:rsidRPr="00AE259B">
              <w:rPr>
                <w:rFonts w:ascii="Arial" w:hAnsi="Arial" w:cs="Arial"/>
                <w:vertAlign w:val="superscript"/>
              </w:rPr>
              <w:t>(ii)</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rPr>
            </w:pPr>
            <w:r w:rsidRPr="00AE259B">
              <w:rPr>
                <w:rFonts w:ascii="Arial" w:hAnsi="Arial" w:cs="Arial"/>
              </w:rPr>
              <w:t>444,637</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360,231 </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360,231 </w:t>
            </w: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GST input tax credit recoverable from the ATO</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ind w:left="-112"/>
              <w:jc w:val="right"/>
              <w:rPr>
                <w:rFonts w:ascii="Arial" w:hAnsi="Arial" w:cs="Arial"/>
              </w:rPr>
            </w:pPr>
            <w:r w:rsidRPr="00AE259B">
              <w:rPr>
                <w:rFonts w:ascii="Arial" w:hAnsi="Arial" w:cs="Arial"/>
              </w:rPr>
              <w:t>23,121</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27,387 </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27,387 </w:t>
            </w: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ind w:left="-112"/>
              <w:jc w:val="right"/>
              <w:rPr>
                <w:rFonts w:ascii="Arial" w:hAnsi="Arial" w:cs="Arial"/>
                <w:b/>
              </w:rPr>
            </w:pPr>
            <w:r w:rsidRPr="00AE259B">
              <w:rPr>
                <w:rFonts w:ascii="Arial" w:hAnsi="Arial" w:cs="Arial"/>
                <w:b/>
              </w:rPr>
              <w:t>467,758</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387,618 </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387,618 </w:t>
            </w: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rPr>
            </w:pP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current receivables</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r w:rsidRPr="00AE259B">
              <w:rPr>
                <w:rFonts w:ascii="Arial" w:hAnsi="Arial" w:cs="Arial"/>
                <w:b/>
              </w:rPr>
              <w:t>483,819</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393,130 </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393,130 </w:t>
            </w:r>
          </w:p>
        </w:tc>
      </w:tr>
      <w:tr w:rsidR="008A185A" w:rsidRPr="00AE259B" w:rsidTr="008A185A">
        <w:tc>
          <w:tcPr>
            <w:tcW w:w="2543"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Non-current receivables</w:t>
            </w:r>
          </w:p>
        </w:tc>
        <w:tc>
          <w:tcPr>
            <w:tcW w:w="885" w:type="pct"/>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p>
        </w:tc>
        <w:tc>
          <w:tcPr>
            <w:tcW w:w="782"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790"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543"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Contractual</w:t>
            </w:r>
          </w:p>
        </w:tc>
        <w:tc>
          <w:tcPr>
            <w:tcW w:w="885" w:type="pct"/>
            <w:shd w:val="pct10" w:color="auto" w:fill="auto"/>
            <w:tcMar>
              <w:top w:w="113" w:type="dxa"/>
              <w:left w:w="113" w:type="dxa"/>
              <w:bottom w:w="57" w:type="dxa"/>
              <w:right w:w="113" w:type="dxa"/>
            </w:tcMar>
            <w:vAlign w:val="bottom"/>
          </w:tcPr>
          <w:p w:rsidR="008A185A" w:rsidRPr="00AE259B" w:rsidRDefault="008A185A" w:rsidP="008A185A">
            <w:pPr>
              <w:pStyle w:val="Tablecopy"/>
              <w:spacing w:line="240" w:lineRule="auto"/>
              <w:ind w:left="-112"/>
              <w:jc w:val="right"/>
              <w:rPr>
                <w:rFonts w:ascii="Arial" w:hAnsi="Arial" w:cs="Arial"/>
              </w:rPr>
            </w:pPr>
          </w:p>
        </w:tc>
        <w:tc>
          <w:tcPr>
            <w:tcW w:w="782"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790" w:type="pct"/>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recoverable from service provider at the end of the term of the service contract</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rPr>
            </w:pPr>
            <w:r w:rsidRPr="00AE259B">
              <w:rPr>
                <w:rFonts w:ascii="Arial" w:hAnsi="Arial" w:cs="Arial"/>
              </w:rPr>
              <w:t>1,000</w:t>
            </w:r>
          </w:p>
        </w:tc>
        <w:tc>
          <w:tcPr>
            <w:tcW w:w="782"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790"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non-current receivables</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r w:rsidRPr="00AE259B">
              <w:rPr>
                <w:rFonts w:ascii="Arial" w:hAnsi="Arial" w:cs="Arial"/>
                <w:b/>
              </w:rPr>
              <w:t>1,000</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receivables</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r w:rsidRPr="00AE259B">
              <w:rPr>
                <w:rFonts w:ascii="Arial" w:hAnsi="Arial" w:cs="Arial"/>
                <w:b/>
              </w:rPr>
              <w:t>484,819</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393,130 </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393,130 </w:t>
            </w:r>
          </w:p>
        </w:tc>
      </w:tr>
      <w:tr w:rsidR="008A185A" w:rsidRPr="00AE259B" w:rsidTr="008A185A">
        <w:tc>
          <w:tcPr>
            <w:tcW w:w="5000" w:type="pct"/>
            <w:gridSpan w:val="4"/>
            <w:shd w:val="clear" w:color="auto" w:fill="auto"/>
            <w:tcMar>
              <w:top w:w="113" w:type="dxa"/>
              <w:left w:w="113" w:type="dxa"/>
              <w:bottom w:w="113"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(i) The average credit period on sales of goods is 30 days. No interest is charged on receivables. </w:t>
            </w:r>
          </w:p>
          <w:p w:rsidR="008A185A" w:rsidRPr="00AE259B" w:rsidRDefault="008A185A" w:rsidP="008A185A">
            <w:pPr>
              <w:pStyle w:val="Tablecopy"/>
              <w:spacing w:line="240" w:lineRule="auto"/>
              <w:rPr>
                <w:rFonts w:ascii="Arial" w:hAnsi="Arial" w:cs="Arial"/>
              </w:rPr>
            </w:pPr>
            <w:r w:rsidRPr="00AE259B">
              <w:rPr>
                <w:rFonts w:ascii="Arial" w:hAnsi="Arial" w:cs="Arial"/>
              </w:rPr>
              <w:t>(ii) The amounts recognised from DTPLI represent funding for all commitments incurred.</w:t>
            </w:r>
          </w:p>
          <w:p w:rsidR="008A185A" w:rsidRPr="00AE259B" w:rsidRDefault="008A185A" w:rsidP="008A185A">
            <w:pPr>
              <w:pStyle w:val="NoParagraphStyle"/>
              <w:rPr>
                <w:rFonts w:ascii="Arial" w:hAnsi="Arial" w:cs="Arial"/>
                <w:sz w:val="20"/>
                <w:szCs w:val="20"/>
                <w:lang w:val="en-GB"/>
              </w:rPr>
            </w:pPr>
          </w:p>
          <w:p w:rsidR="008A185A" w:rsidRPr="00AE259B" w:rsidRDefault="008A185A" w:rsidP="008A185A">
            <w:pPr>
              <w:pStyle w:val="NoParagraphStyle"/>
              <w:rPr>
                <w:rFonts w:ascii="Arial" w:hAnsi="Arial" w:cs="Arial"/>
                <w:b/>
                <w:sz w:val="16"/>
                <w:szCs w:val="16"/>
                <w:lang w:val="en-GB"/>
              </w:rPr>
            </w:pPr>
            <w:r w:rsidRPr="00AE259B">
              <w:rPr>
                <w:rFonts w:ascii="Arial" w:hAnsi="Arial" w:cs="Arial"/>
                <w:b/>
                <w:sz w:val="16"/>
                <w:szCs w:val="16"/>
                <w:lang w:val="en-GB"/>
              </w:rPr>
              <w:t>Nature and extent of risk arising from receivables</w:t>
            </w:r>
          </w:p>
          <w:p w:rsidR="008A185A" w:rsidRPr="00AE259B" w:rsidRDefault="008A185A" w:rsidP="008A185A">
            <w:pPr>
              <w:pStyle w:val="NoParagraphStyle"/>
              <w:rPr>
                <w:rFonts w:ascii="Arial" w:hAnsi="Arial" w:cs="Arial"/>
                <w:sz w:val="16"/>
                <w:szCs w:val="16"/>
                <w:lang w:val="en-GB"/>
              </w:rPr>
            </w:pPr>
            <w:r w:rsidRPr="00AE259B">
              <w:rPr>
                <w:rFonts w:ascii="Arial" w:hAnsi="Arial" w:cs="Arial"/>
                <w:sz w:val="16"/>
                <w:szCs w:val="16"/>
                <w:lang w:val="en-GB"/>
              </w:rPr>
              <w:t>Please refer to Note 13 for the nature and extent of credit risk arising from contractual receivables.</w:t>
            </w:r>
          </w:p>
          <w:p w:rsidR="008A185A" w:rsidRPr="00AE259B" w:rsidRDefault="008A185A" w:rsidP="008A185A">
            <w:pPr>
              <w:pStyle w:val="NoParagraphStyle"/>
              <w:rPr>
                <w:rFonts w:ascii="Arial" w:hAnsi="Arial" w:cs="Arial"/>
                <w:b/>
                <w:sz w:val="16"/>
                <w:szCs w:val="16"/>
                <w:lang w:val="en-GB"/>
              </w:rPr>
            </w:pPr>
            <w:r w:rsidRPr="00AE259B">
              <w:rPr>
                <w:rFonts w:ascii="Arial" w:hAnsi="Arial" w:cs="Arial"/>
                <w:b/>
                <w:sz w:val="16"/>
                <w:szCs w:val="16"/>
                <w:lang w:val="en-GB"/>
              </w:rPr>
              <w:t>Ageing analysis of receivables</w:t>
            </w:r>
          </w:p>
          <w:p w:rsidR="008A185A" w:rsidRPr="00AE259B" w:rsidRDefault="008A185A" w:rsidP="008A185A">
            <w:pPr>
              <w:pStyle w:val="NoParagraphStyle"/>
              <w:rPr>
                <w:rFonts w:ascii="Arial" w:hAnsi="Arial" w:cs="Arial"/>
                <w:lang w:val="en-GB"/>
              </w:rPr>
            </w:pPr>
            <w:r w:rsidRPr="00AE259B">
              <w:rPr>
                <w:rFonts w:ascii="Arial" w:hAnsi="Arial" w:cs="Arial"/>
                <w:sz w:val="16"/>
                <w:szCs w:val="16"/>
                <w:lang w:val="en-GB"/>
              </w:rPr>
              <w:t>Please refer to Note 13(b) for the ageing analysis of receivables.</w:t>
            </w:r>
          </w:p>
        </w:tc>
      </w:tr>
    </w:tbl>
    <w:p w:rsidR="00B11D08" w:rsidRPr="00AD22A8" w:rsidRDefault="00B11D08">
      <w:pPr>
        <w:rPr>
          <w:rFonts w:ascii="Arial" w:hAnsi="Arial" w:cs="Arial"/>
          <w:b/>
          <w:bCs/>
          <w:color w:val="365F91"/>
          <w:sz w:val="28"/>
          <w:szCs w:val="28"/>
        </w:rPr>
      </w:pPr>
      <w:bookmarkStart w:id="165" w:name="_Note_9._Property,"/>
      <w:bookmarkStart w:id="166" w:name="_Toc337471041"/>
      <w:bookmarkStart w:id="167" w:name="_Toc337537807"/>
      <w:bookmarkStart w:id="168" w:name="_Toc337539733"/>
      <w:bookmarkStart w:id="169" w:name="_Toc337707150"/>
      <w:bookmarkStart w:id="170" w:name="_Toc337711258"/>
      <w:bookmarkEnd w:id="165"/>
    </w:p>
    <w:p w:rsidR="008A185A" w:rsidRPr="00AE259B" w:rsidRDefault="008A185A" w:rsidP="00951FFC">
      <w:pPr>
        <w:pStyle w:val="Heading10"/>
        <w:outlineLvl w:val="0"/>
      </w:pPr>
      <w:bookmarkStart w:id="171" w:name="_Toc366672098"/>
      <w:r w:rsidRPr="00AE259B">
        <w:t>Note 7. Inventories</w:t>
      </w:r>
      <w:bookmarkEnd w:id="171"/>
    </w:p>
    <w:tbl>
      <w:tblPr>
        <w:tblW w:w="49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185"/>
        <w:gridCol w:w="1456"/>
        <w:gridCol w:w="1287"/>
        <w:gridCol w:w="1300"/>
      </w:tblGrid>
      <w:tr w:rsidR="008A185A" w:rsidRPr="00AE259B" w:rsidTr="008A185A">
        <w:tc>
          <w:tcPr>
            <w:tcW w:w="2543"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885"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ind w:left="-112"/>
              <w:rPr>
                <w:rFonts w:ascii="Arial" w:hAnsi="Arial" w:cs="Arial"/>
              </w:rPr>
            </w:pPr>
            <w:r w:rsidRPr="00AE259B">
              <w:rPr>
                <w:rFonts w:ascii="Arial" w:hAnsi="Arial" w:cs="Arial"/>
              </w:rPr>
              <w:t>2013</w:t>
            </w:r>
            <w:r w:rsidRPr="00AE259B">
              <w:rPr>
                <w:rFonts w:ascii="Arial" w:hAnsi="Arial" w:cs="Arial"/>
              </w:rPr>
              <w:br/>
              <w:t>$’000</w:t>
            </w:r>
          </w:p>
        </w:tc>
        <w:tc>
          <w:tcPr>
            <w:tcW w:w="782"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2012</w:t>
            </w:r>
            <w:r w:rsidRPr="00AE259B">
              <w:rPr>
                <w:rFonts w:ascii="Arial" w:hAnsi="Arial" w:cs="Arial"/>
              </w:rPr>
              <w:br/>
              <w:t>$’000</w:t>
            </w:r>
          </w:p>
        </w:tc>
        <w:tc>
          <w:tcPr>
            <w:tcW w:w="790"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2543"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Current inventories</w:t>
            </w:r>
          </w:p>
        </w:tc>
        <w:tc>
          <w:tcPr>
            <w:tcW w:w="885" w:type="pct"/>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p>
        </w:tc>
        <w:tc>
          <w:tcPr>
            <w:tcW w:w="782"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790"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Card inventories at cost</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rPr>
            </w:pPr>
            <w:r w:rsidRPr="00AE259B">
              <w:rPr>
                <w:rFonts w:ascii="Arial" w:hAnsi="Arial" w:cs="Arial"/>
              </w:rPr>
              <w:t>3,786</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85</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85</w:t>
            </w: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Signage at cost</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rPr>
            </w:pPr>
            <w:r w:rsidRPr="00AE259B">
              <w:rPr>
                <w:rFonts w:ascii="Arial" w:hAnsi="Arial" w:cs="Arial"/>
              </w:rPr>
              <w:t>-</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77</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77</w:t>
            </w:r>
          </w:p>
        </w:tc>
      </w:tr>
      <w:tr w:rsidR="008A185A" w:rsidRPr="00AE259B" w:rsidTr="008A185A">
        <w:tc>
          <w:tcPr>
            <w:tcW w:w="254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inventories</w:t>
            </w:r>
          </w:p>
        </w:tc>
        <w:tc>
          <w:tcPr>
            <w:tcW w:w="885"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left="-112"/>
              <w:jc w:val="right"/>
              <w:rPr>
                <w:rFonts w:ascii="Arial" w:hAnsi="Arial" w:cs="Arial"/>
                <w:b/>
              </w:rPr>
            </w:pPr>
            <w:r w:rsidRPr="00AE259B">
              <w:rPr>
                <w:rFonts w:ascii="Arial" w:hAnsi="Arial" w:cs="Arial"/>
                <w:b/>
              </w:rPr>
              <w:t>3,786</w:t>
            </w:r>
          </w:p>
        </w:tc>
        <w:tc>
          <w:tcPr>
            <w:tcW w:w="7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162 </w:t>
            </w:r>
          </w:p>
        </w:tc>
        <w:tc>
          <w:tcPr>
            <w:tcW w:w="790"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162 </w:t>
            </w:r>
          </w:p>
        </w:tc>
      </w:tr>
    </w:tbl>
    <w:p w:rsidR="008A185A" w:rsidRPr="00AE259B" w:rsidRDefault="008A185A" w:rsidP="008A185A">
      <w:pPr>
        <w:pStyle w:val="Heading1"/>
        <w:rPr>
          <w:rFonts w:ascii="Arial" w:hAnsi="Arial" w:cs="Arial"/>
        </w:rPr>
      </w:pPr>
    </w:p>
    <w:p w:rsidR="008A185A" w:rsidRPr="00AE259B" w:rsidRDefault="008A185A" w:rsidP="008A185A">
      <w:pPr>
        <w:pStyle w:val="Heading1"/>
        <w:rPr>
          <w:rFonts w:ascii="Arial" w:hAnsi="Arial" w:cs="Arial"/>
        </w:rPr>
        <w:sectPr w:rsidR="008A185A" w:rsidRPr="00AE259B" w:rsidSect="008A185A">
          <w:pgSz w:w="11906" w:h="16838"/>
          <w:pgMar w:top="1418" w:right="1983" w:bottom="720" w:left="1843" w:header="720" w:footer="720" w:gutter="0"/>
          <w:cols w:space="720"/>
          <w:noEndnote/>
        </w:sectPr>
      </w:pPr>
    </w:p>
    <w:p w:rsidR="008A185A" w:rsidRPr="00AE259B" w:rsidRDefault="008A185A" w:rsidP="00951FFC">
      <w:pPr>
        <w:pStyle w:val="Heading10"/>
        <w:outlineLvl w:val="0"/>
      </w:pPr>
      <w:bookmarkStart w:id="172" w:name="_Toc366672099"/>
      <w:r w:rsidRPr="00AE259B">
        <w:t>Note 8. Property, plant and equipment</w:t>
      </w:r>
      <w:bookmarkEnd w:id="166"/>
      <w:bookmarkEnd w:id="167"/>
      <w:bookmarkEnd w:id="168"/>
      <w:bookmarkEnd w:id="169"/>
      <w:bookmarkEnd w:id="170"/>
      <w:bookmarkEnd w:id="172"/>
    </w:p>
    <w:p w:rsidR="00B11D08" w:rsidRDefault="00B11D08" w:rsidP="00B11D08">
      <w:pPr>
        <w:pStyle w:val="Heading20"/>
      </w:pPr>
    </w:p>
    <w:p w:rsidR="008A185A" w:rsidRPr="00AE259B" w:rsidRDefault="008A185A" w:rsidP="00E72670">
      <w:pPr>
        <w:pStyle w:val="Heading20"/>
      </w:pPr>
      <w:r w:rsidRPr="00AE259B">
        <w:t>Classification by ‘Transportation and Communications’ purpose group – Carrying amounts</w:t>
      </w:r>
    </w:p>
    <w:tbl>
      <w:tblPr>
        <w:tblW w:w="5000" w:type="pct"/>
        <w:tblCellMar>
          <w:left w:w="0" w:type="dxa"/>
          <w:right w:w="0" w:type="dxa"/>
        </w:tblCellMar>
        <w:tblLook w:val="0000" w:firstRow="0" w:lastRow="0" w:firstColumn="0" w:lastColumn="0" w:noHBand="0" w:noVBand="0"/>
      </w:tblPr>
      <w:tblGrid>
        <w:gridCol w:w="4864"/>
        <w:gridCol w:w="1101"/>
        <w:gridCol w:w="1240"/>
        <w:gridCol w:w="1101"/>
      </w:tblGrid>
      <w:tr w:rsidR="008A185A" w:rsidRPr="00AE259B" w:rsidTr="008A185A">
        <w:trPr>
          <w:tblHeader/>
        </w:trPr>
        <w:tc>
          <w:tcPr>
            <w:tcW w:w="2949" w:type="pct"/>
            <w:tcBorders>
              <w:top w:val="single" w:sz="2" w:space="0" w:color="auto"/>
              <w:left w:val="single" w:sz="2" w:space="0" w:color="auto"/>
              <w:bottom w:val="single" w:sz="2" w:space="0" w:color="auto"/>
              <w:right w:val="single" w:sz="2" w:space="0" w:color="auto"/>
            </w:tcBorders>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684" w:type="pct"/>
            <w:tcBorders>
              <w:top w:val="single" w:sz="2" w:space="0" w:color="auto"/>
              <w:left w:val="single" w:sz="2" w:space="0" w:color="auto"/>
              <w:bottom w:val="single" w:sz="2" w:space="0" w:color="auto"/>
              <w:right w:val="single" w:sz="2" w:space="0" w:color="auto"/>
            </w:tcBorders>
            <w:vAlign w:val="bottom"/>
          </w:tcPr>
          <w:p w:rsidR="008A185A" w:rsidRPr="00AE259B" w:rsidRDefault="008A185A" w:rsidP="008A185A">
            <w:pPr>
              <w:pStyle w:val="TableHeading"/>
              <w:spacing w:before="0" w:after="0" w:line="240" w:lineRule="auto"/>
              <w:ind w:right="110"/>
              <w:rPr>
                <w:rFonts w:ascii="Arial" w:hAnsi="Arial" w:cs="Arial"/>
              </w:rPr>
            </w:pPr>
            <w:r w:rsidRPr="00AE259B">
              <w:rPr>
                <w:rFonts w:ascii="Arial" w:hAnsi="Arial" w:cs="Arial"/>
              </w:rPr>
              <w:t>2013</w:t>
            </w:r>
            <w:r w:rsidRPr="00AE259B">
              <w:rPr>
                <w:rFonts w:ascii="Arial" w:hAnsi="Arial" w:cs="Arial"/>
              </w:rPr>
              <w:br/>
              <w:t>$’000</w:t>
            </w:r>
          </w:p>
        </w:tc>
        <w:tc>
          <w:tcPr>
            <w:tcW w:w="684" w:type="pct"/>
            <w:tcBorders>
              <w:top w:val="single" w:sz="2" w:space="0" w:color="auto"/>
              <w:left w:val="single" w:sz="2" w:space="0" w:color="auto"/>
              <w:bottom w:val="single" w:sz="2" w:space="0" w:color="auto"/>
              <w:right w:val="single" w:sz="2" w:space="0" w:color="auto"/>
            </w:tcBorders>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2012</w:t>
            </w:r>
            <w:r w:rsidRPr="00AE259B">
              <w:rPr>
                <w:rFonts w:ascii="Arial" w:hAnsi="Arial" w:cs="Arial"/>
              </w:rPr>
              <w:br/>
              <w:t xml:space="preserve"> $’000 </w:t>
            </w:r>
          </w:p>
        </w:tc>
        <w:tc>
          <w:tcPr>
            <w:tcW w:w="683" w:type="pct"/>
            <w:tcBorders>
              <w:top w:val="single" w:sz="2" w:space="0" w:color="auto"/>
              <w:left w:val="single" w:sz="2" w:space="0" w:color="auto"/>
              <w:bottom w:val="single" w:sz="2" w:space="0" w:color="auto"/>
              <w:right w:val="single" w:sz="2" w:space="0" w:color="auto"/>
            </w:tcBorders>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 xml:space="preserve"> $’000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Land at fair value</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color w:val="auto"/>
              </w:rPr>
            </w:pPr>
          </w:p>
        </w:tc>
        <w:tc>
          <w:tcPr>
            <w:tcW w:w="68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color w:val="auto"/>
              </w:rPr>
            </w:pPr>
          </w:p>
        </w:tc>
        <w:tc>
          <w:tcPr>
            <w:tcW w:w="683"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color w:val="auto"/>
              </w:rPr>
            </w:pP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At cost of acquisition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3,395</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2,646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2,646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At valuation 2010</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331,125</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331,125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331,125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land</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rPr>
            </w:pPr>
            <w:r w:rsidRPr="00AE259B">
              <w:rPr>
                <w:rFonts w:ascii="Arial" w:hAnsi="Arial" w:cs="Arial"/>
                <w:b/>
              </w:rPr>
              <w:t>334,520</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333,771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333,771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Buildings at fair value</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color w:val="auto"/>
              </w:rPr>
            </w:pPr>
          </w:p>
        </w:tc>
        <w:tc>
          <w:tcPr>
            <w:tcW w:w="68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c>
          <w:tcPr>
            <w:tcW w:w="683"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At valuation 2010</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500,941</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500,941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500,941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Less: accumulated depreciation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(14,880)</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(2,980)</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(2,980)</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buildings</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rPr>
            </w:pPr>
            <w:r w:rsidRPr="00AE259B">
              <w:rPr>
                <w:rFonts w:ascii="Arial" w:hAnsi="Arial" w:cs="Arial"/>
                <w:b/>
              </w:rPr>
              <w:t>486,061</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497,961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497,961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Infrastructure at fair value</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color w:val="auto"/>
              </w:rPr>
            </w:pPr>
          </w:p>
        </w:tc>
        <w:tc>
          <w:tcPr>
            <w:tcW w:w="68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c>
          <w:tcPr>
            <w:tcW w:w="683"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At cost of acquisition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125,931</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At valuation 2010</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139,143</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140,528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140,528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Less: accumulated depreciation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(13,233)</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(2,347)</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(2,347)</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infrastructure</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rPr>
            </w:pPr>
            <w:r w:rsidRPr="00AE259B">
              <w:rPr>
                <w:rFonts w:ascii="Arial" w:hAnsi="Arial" w:cs="Arial"/>
                <w:b/>
              </w:rPr>
              <w:t>251,841</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138,181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138,181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Plant and equipment at fair value</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color w:val="auto"/>
              </w:rPr>
            </w:pPr>
          </w:p>
        </w:tc>
        <w:tc>
          <w:tcPr>
            <w:tcW w:w="68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c>
          <w:tcPr>
            <w:tcW w:w="683"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At valuation 2010</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5,508</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1,292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1,292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Less: accumulated depreciation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(249)</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(608)</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(608)</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plant and equipment</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rPr>
            </w:pPr>
            <w:r w:rsidRPr="00AE259B">
              <w:rPr>
                <w:rFonts w:ascii="Arial" w:hAnsi="Arial" w:cs="Arial"/>
                <w:b/>
              </w:rPr>
              <w:t>5,259</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684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684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Leasehold improvement at fair value</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color w:val="auto"/>
              </w:rPr>
            </w:pPr>
          </w:p>
        </w:tc>
        <w:tc>
          <w:tcPr>
            <w:tcW w:w="68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c>
          <w:tcPr>
            <w:tcW w:w="683"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At cost of acquisition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9,334</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6,003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6,003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Less: accumulated depreciation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(878)</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(504)</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(504)</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buildings leasehold</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rPr>
            </w:pPr>
            <w:r w:rsidRPr="00AE259B">
              <w:rPr>
                <w:rFonts w:ascii="Arial" w:hAnsi="Arial" w:cs="Arial"/>
                <w:b/>
              </w:rPr>
              <w:t>8,456</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5,499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5,499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Leased vehicles at fair value</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color w:val="auto"/>
              </w:rPr>
            </w:pPr>
          </w:p>
        </w:tc>
        <w:tc>
          <w:tcPr>
            <w:tcW w:w="68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c>
          <w:tcPr>
            <w:tcW w:w="683"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At cost of acquisition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934</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1,270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1,270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Less: accumulated depreciation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(331)</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(428)</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(428)</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leased vehicles</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rPr>
            </w:pPr>
            <w:r w:rsidRPr="00AE259B">
              <w:rPr>
                <w:rFonts w:ascii="Arial" w:hAnsi="Arial" w:cs="Arial"/>
                <w:b/>
              </w:rPr>
              <w:t>603</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842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842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Cultural assets at fair value</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color w:val="auto"/>
              </w:rPr>
            </w:pPr>
          </w:p>
        </w:tc>
        <w:tc>
          <w:tcPr>
            <w:tcW w:w="68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c>
          <w:tcPr>
            <w:tcW w:w="683"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At valuation 2010</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1,287</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1,287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1,287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Less: accumulated depreciation</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(96)</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(19)</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(19)</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cultural assets</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rPr>
            </w:pPr>
            <w:r w:rsidRPr="00AE259B">
              <w:rPr>
                <w:rFonts w:ascii="Arial" w:hAnsi="Arial" w:cs="Arial"/>
                <w:b/>
              </w:rPr>
              <w:t>1,191</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1,268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1,268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Assets under construction at cost</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color w:val="auto"/>
              </w:rPr>
            </w:pPr>
          </w:p>
        </w:tc>
        <w:tc>
          <w:tcPr>
            <w:tcW w:w="68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c>
          <w:tcPr>
            <w:tcW w:w="683"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57" w:type="dxa"/>
              <w:right w:w="113" w:type="dxa"/>
            </w:tcMar>
            <w:vAlign w:val="bottom"/>
          </w:tcPr>
          <w:p w:rsidR="008A185A" w:rsidRPr="00AE259B" w:rsidRDefault="008A185A" w:rsidP="008A185A">
            <w:pPr>
              <w:pStyle w:val="Tablecopy"/>
              <w:spacing w:line="240" w:lineRule="auto"/>
              <w:jc w:val="right"/>
              <w:rPr>
                <w:rFonts w:ascii="Arial" w:hAnsi="Arial" w:cs="Arial"/>
                <w:b/>
                <w:color w:val="auto"/>
              </w:rPr>
            </w:pP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Infrastructure</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174,312</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160,812</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160,812</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Leasehold improvements</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rPr>
            </w:pPr>
            <w:r w:rsidRPr="00AE259B">
              <w:rPr>
                <w:rFonts w:ascii="Arial" w:hAnsi="Arial" w:cs="Arial"/>
              </w:rPr>
              <w:t>553</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5,000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5,000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Total assets under construction </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rPr>
            </w:pPr>
            <w:r w:rsidRPr="00AE259B">
              <w:rPr>
                <w:rFonts w:ascii="Arial" w:hAnsi="Arial" w:cs="Arial"/>
                <w:b/>
              </w:rPr>
              <w:t>174,865</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165,812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165,812 </w:t>
            </w:r>
          </w:p>
        </w:tc>
      </w:tr>
      <w:tr w:rsidR="008A185A" w:rsidRPr="00AE259B" w:rsidTr="008A185A">
        <w:tc>
          <w:tcPr>
            <w:tcW w:w="2949"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Net carrying amount of property, plant and equipment</w:t>
            </w:r>
          </w:p>
        </w:tc>
        <w:tc>
          <w:tcPr>
            <w:tcW w:w="68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10"/>
              <w:jc w:val="right"/>
              <w:rPr>
                <w:rFonts w:ascii="Arial" w:hAnsi="Arial" w:cs="Arial"/>
                <w:b/>
              </w:rPr>
            </w:pPr>
            <w:r w:rsidRPr="00AE259B">
              <w:rPr>
                <w:rFonts w:ascii="Arial" w:hAnsi="Arial" w:cs="Arial"/>
                <w:b/>
              </w:rPr>
              <w:t>1,262,796</w:t>
            </w:r>
          </w:p>
        </w:tc>
        <w:tc>
          <w:tcPr>
            <w:tcW w:w="68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1,144,018 </w:t>
            </w:r>
          </w:p>
        </w:tc>
        <w:tc>
          <w:tcPr>
            <w:tcW w:w="683"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1,144,018 </w:t>
            </w:r>
          </w:p>
        </w:tc>
      </w:tr>
    </w:tbl>
    <w:p w:rsidR="008A185A" w:rsidRPr="00AE259B" w:rsidRDefault="008A185A" w:rsidP="008A185A">
      <w:pPr>
        <w:pStyle w:val="Tablecopy"/>
        <w:rPr>
          <w:rFonts w:ascii="Arial" w:hAnsi="Arial" w:cs="Arial"/>
        </w:rPr>
      </w:pPr>
    </w:p>
    <w:p w:rsidR="008A185A" w:rsidRPr="00AE259B" w:rsidRDefault="008A185A" w:rsidP="008A185A">
      <w:pPr>
        <w:rPr>
          <w:rFonts w:ascii="Arial" w:hAnsi="Arial" w:cs="Arial"/>
        </w:rPr>
        <w:sectPr w:rsidR="008A185A" w:rsidRPr="00AE259B" w:rsidSect="008A185A">
          <w:pgSz w:w="11906" w:h="16838"/>
          <w:pgMar w:top="1418" w:right="1983" w:bottom="720" w:left="1843" w:header="720" w:footer="720" w:gutter="0"/>
          <w:cols w:space="720"/>
          <w:noEndnote/>
        </w:sectPr>
      </w:pPr>
    </w:p>
    <w:tbl>
      <w:tblPr>
        <w:tblpPr w:leftFromText="180" w:rightFromText="180" w:vertAnchor="text" w:horzAnchor="page" w:tblpX="888" w:tblpY="720"/>
        <w:tblW w:w="47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360"/>
        <w:gridCol w:w="768"/>
        <w:gridCol w:w="1108"/>
        <w:gridCol w:w="1026"/>
        <w:gridCol w:w="1267"/>
        <w:gridCol w:w="1035"/>
        <w:gridCol w:w="1231"/>
        <w:gridCol w:w="1015"/>
        <w:gridCol w:w="1053"/>
        <w:gridCol w:w="1195"/>
        <w:gridCol w:w="1121"/>
      </w:tblGrid>
      <w:tr w:rsidR="008A185A" w:rsidRPr="00AE259B" w:rsidTr="008A185A">
        <w:tc>
          <w:tcPr>
            <w:tcW w:w="1199" w:type="pct"/>
            <w:shd w:val="clear" w:color="auto" w:fill="auto"/>
            <w:tcMar>
              <w:top w:w="57" w:type="dxa"/>
              <w:left w:w="113" w:type="dxa"/>
              <w:bottom w:w="85" w:type="dxa"/>
              <w:right w:w="113" w:type="dxa"/>
            </w:tcMar>
            <w:vAlign w:val="bottom"/>
          </w:tcPr>
          <w:p w:rsidR="008A185A" w:rsidRPr="00AE259B" w:rsidRDefault="008A185A" w:rsidP="008A185A">
            <w:pPr>
              <w:pStyle w:val="TableHeading"/>
              <w:ind w:left="709"/>
              <w:rPr>
                <w:rFonts w:ascii="Arial" w:hAnsi="Arial" w:cs="Arial"/>
              </w:rPr>
            </w:pPr>
          </w:p>
        </w:tc>
        <w:tc>
          <w:tcPr>
            <w:tcW w:w="285" w:type="pct"/>
            <w:shd w:val="clear" w:color="auto" w:fill="auto"/>
            <w:tcMar>
              <w:top w:w="57" w:type="dxa"/>
              <w:left w:w="57"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Note</w:t>
            </w:r>
          </w:p>
        </w:tc>
        <w:tc>
          <w:tcPr>
            <w:tcW w:w="405" w:type="pc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Land</w:t>
            </w:r>
            <w:r w:rsidRPr="00AE259B">
              <w:rPr>
                <w:rFonts w:ascii="Arial" w:hAnsi="Arial" w:cs="Arial"/>
              </w:rPr>
              <w:br/>
              <w:t>$’000</w:t>
            </w:r>
          </w:p>
        </w:tc>
        <w:tc>
          <w:tcPr>
            <w:tcW w:w="376" w:type="pc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Buildings</w:t>
            </w:r>
            <w:r w:rsidRPr="00AE259B">
              <w:rPr>
                <w:rFonts w:ascii="Arial" w:hAnsi="Arial" w:cs="Arial"/>
              </w:rPr>
              <w:br/>
              <w:t>$’000</w:t>
            </w:r>
          </w:p>
        </w:tc>
        <w:tc>
          <w:tcPr>
            <w:tcW w:w="405" w:type="pc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Infrastructure</w:t>
            </w:r>
            <w:r w:rsidRPr="00AE259B">
              <w:rPr>
                <w:rFonts w:ascii="Arial" w:hAnsi="Arial" w:cs="Arial"/>
              </w:rPr>
              <w:br/>
              <w:t>$’000</w:t>
            </w:r>
          </w:p>
        </w:tc>
        <w:tc>
          <w:tcPr>
            <w:tcW w:w="366" w:type="pc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Plant and</w:t>
            </w:r>
            <w:r w:rsidRPr="00AE259B">
              <w:rPr>
                <w:rFonts w:ascii="Arial" w:hAnsi="Arial" w:cs="Arial"/>
              </w:rPr>
              <w:br/>
              <w:t>equipment</w:t>
            </w:r>
            <w:r w:rsidRPr="00AE259B">
              <w:rPr>
                <w:rFonts w:ascii="Arial" w:hAnsi="Arial" w:cs="Arial"/>
              </w:rPr>
              <w:br/>
              <w:t>$’000</w:t>
            </w:r>
          </w:p>
        </w:tc>
        <w:tc>
          <w:tcPr>
            <w:tcW w:w="400" w:type="pc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Leasehold improvement</w:t>
            </w:r>
            <w:r w:rsidRPr="00AE259B">
              <w:rPr>
                <w:rFonts w:ascii="Arial" w:hAnsi="Arial" w:cs="Arial"/>
              </w:rPr>
              <w:br/>
              <w:t>$’000</w:t>
            </w:r>
          </w:p>
        </w:tc>
        <w:tc>
          <w:tcPr>
            <w:tcW w:w="385" w:type="pc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Leased  vehicles</w:t>
            </w:r>
            <w:r w:rsidRPr="00AE259B">
              <w:rPr>
                <w:rFonts w:ascii="Arial" w:hAnsi="Arial" w:cs="Arial"/>
              </w:rPr>
              <w:br/>
              <w:t>$’000</w:t>
            </w:r>
          </w:p>
        </w:tc>
        <w:tc>
          <w:tcPr>
            <w:tcW w:w="385" w:type="pc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Cultural</w:t>
            </w:r>
            <w:r w:rsidRPr="00AE259B">
              <w:rPr>
                <w:rFonts w:ascii="Arial" w:hAnsi="Arial" w:cs="Arial"/>
              </w:rPr>
              <w:br/>
              <w:t>assets</w:t>
            </w:r>
            <w:r w:rsidRPr="00AE259B">
              <w:rPr>
                <w:rFonts w:ascii="Arial" w:hAnsi="Arial" w:cs="Arial"/>
              </w:rPr>
              <w:br/>
              <w:t>$’000</w:t>
            </w:r>
          </w:p>
        </w:tc>
        <w:tc>
          <w:tcPr>
            <w:tcW w:w="385" w:type="pc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Assets under</w:t>
            </w:r>
            <w:r w:rsidRPr="00AE259B">
              <w:rPr>
                <w:rFonts w:ascii="Arial" w:hAnsi="Arial" w:cs="Arial"/>
              </w:rPr>
              <w:br/>
              <w:t>construction</w:t>
            </w:r>
            <w:r w:rsidRPr="00AE259B">
              <w:rPr>
                <w:rFonts w:ascii="Arial" w:hAnsi="Arial" w:cs="Arial"/>
              </w:rPr>
              <w:br/>
              <w:t>$’000</w:t>
            </w:r>
          </w:p>
        </w:tc>
        <w:tc>
          <w:tcPr>
            <w:tcW w:w="409" w:type="pc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Total</w:t>
            </w:r>
            <w:r w:rsidRPr="00AE259B">
              <w:rPr>
                <w:rFonts w:ascii="Arial" w:hAnsi="Arial" w:cs="Arial"/>
              </w:rPr>
              <w:br/>
              <w:t>$’000</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Consolidated</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Carrying amount at 15 December 2011</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76"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0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66"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00"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8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8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8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09"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Additions</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122</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252,895</w:t>
            </w: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253,017</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Acquisitions through administrative restructures</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333,771 </w:t>
            </w: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500,941 </w:t>
            </w: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140,528 </w:t>
            </w: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740</w:t>
            </w: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6,003</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794</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1,287</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154,110</w:t>
            </w: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1,138,174</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Assets provided as contributed capital</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(241,193)</w:t>
            </w: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(241,193)</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Depreciation/amortisation expense</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4(d)</w:t>
            </w: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(2,980)</w:t>
            </w: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(2,347)</w:t>
            </w: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(56)</w:t>
            </w: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(504)</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(74)</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(19)</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(5,980)</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Carrying amount at 30 June 2012</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color w:val="auto"/>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333,771 </w:t>
            </w: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497,961 </w:t>
            </w: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138,181 </w:t>
            </w: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684 </w:t>
            </w: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5,499 </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842 </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1,268 </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165,812 </w:t>
            </w: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1,144,018 </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Parent</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Carrying amount at 15 December 2011</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76"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0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66"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00"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8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8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85"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09"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Additions</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122</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252,895</w:t>
            </w: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253,017</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Acquisitions through administrative restructures</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333,771 </w:t>
            </w: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500,941 </w:t>
            </w: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140,528 </w:t>
            </w: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740</w:t>
            </w: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6,003</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794</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1,287</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154,110</w:t>
            </w: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1,138,174</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Assets provided as contributed capital</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7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66"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(241,193)</w:t>
            </w:r>
          </w:p>
        </w:tc>
        <w:tc>
          <w:tcPr>
            <w:tcW w:w="40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(241,193)</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Depreciation/amortisation expense</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4(d)</w:t>
            </w:r>
          </w:p>
        </w:tc>
        <w:tc>
          <w:tcPr>
            <w:tcW w:w="405"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376"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(2,980)</w:t>
            </w:r>
          </w:p>
        </w:tc>
        <w:tc>
          <w:tcPr>
            <w:tcW w:w="405"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(2,347)</w:t>
            </w:r>
          </w:p>
        </w:tc>
        <w:tc>
          <w:tcPr>
            <w:tcW w:w="366"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(56)</w:t>
            </w:r>
          </w:p>
        </w:tc>
        <w:tc>
          <w:tcPr>
            <w:tcW w:w="400"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(504)</w:t>
            </w:r>
          </w:p>
        </w:tc>
        <w:tc>
          <w:tcPr>
            <w:tcW w:w="385"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(74)</w:t>
            </w:r>
          </w:p>
        </w:tc>
        <w:tc>
          <w:tcPr>
            <w:tcW w:w="385"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(19)</w:t>
            </w:r>
          </w:p>
        </w:tc>
        <w:tc>
          <w:tcPr>
            <w:tcW w:w="385"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09"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(5,980)</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Carrying amount at 30 June 2012</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color w:val="auto"/>
              </w:rPr>
            </w:pP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333,771 </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497,961 </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138,181 </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684 </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5,499 </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842 </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1,268 </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165,812 </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1,144,018 </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Additions</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4,999</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67</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277</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543,231</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548,574</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Disposals/write-offs</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(1,353)</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(304)</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(1,672)</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Acquisitions through administrative restructures</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46</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292</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91,452</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91,790</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Portable assets below capitalisation threshold</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(13)</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(13)</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Depreciation/amortisation expense</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4(d)</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(11,900)</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(10,917)</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(203)</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(1,819)</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(248)</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(77)</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(25,164)</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Assets provided as contributed capital</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(523,195)</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(523,195)</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Assets received free of charge</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color w:val="auto"/>
              </w:rPr>
            </w:pP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749</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27,673</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36</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28,458</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Transfers between classes</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color w:val="auto"/>
              </w:rPr>
            </w:pP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93,258</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4,683</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4,494</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(102,435)</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r>
      <w:tr w:rsidR="008A185A" w:rsidRPr="00AE259B" w:rsidTr="008A185A">
        <w:tc>
          <w:tcPr>
            <w:tcW w:w="1199"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Carrying amount at 30 June 2013</w:t>
            </w:r>
          </w:p>
        </w:tc>
        <w:tc>
          <w:tcPr>
            <w:tcW w:w="285" w:type="pct"/>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color w:val="auto"/>
              </w:rPr>
            </w:pP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334,520 </w:t>
            </w:r>
          </w:p>
        </w:tc>
        <w:tc>
          <w:tcPr>
            <w:tcW w:w="37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486,061 </w:t>
            </w:r>
          </w:p>
        </w:tc>
        <w:tc>
          <w:tcPr>
            <w:tcW w:w="40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251,841 </w:t>
            </w:r>
          </w:p>
        </w:tc>
        <w:tc>
          <w:tcPr>
            <w:tcW w:w="366"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5,259 </w:t>
            </w:r>
          </w:p>
        </w:tc>
        <w:tc>
          <w:tcPr>
            <w:tcW w:w="40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8,456 </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603 </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1,191 </w:t>
            </w:r>
          </w:p>
        </w:tc>
        <w:tc>
          <w:tcPr>
            <w:tcW w:w="385"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174,865 </w:t>
            </w:r>
          </w:p>
        </w:tc>
        <w:tc>
          <w:tcPr>
            <w:tcW w:w="40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1,262,796 </w:t>
            </w:r>
          </w:p>
        </w:tc>
      </w:tr>
    </w:tbl>
    <w:p w:rsidR="008A185A" w:rsidRPr="00EE796E" w:rsidRDefault="008A185A" w:rsidP="00E72670">
      <w:pPr>
        <w:pStyle w:val="Heading20"/>
        <w:rPr>
          <w:sz w:val="28"/>
        </w:rPr>
      </w:pPr>
      <w:r w:rsidRPr="00EE796E">
        <w:rPr>
          <w:sz w:val="28"/>
        </w:rPr>
        <w:t>Classification by ‘Transportation and Communications’ purpose group – movements in carrying amounts</w:t>
      </w:r>
    </w:p>
    <w:p w:rsidR="008A185A" w:rsidRPr="00AE259B" w:rsidRDefault="008A185A" w:rsidP="008A185A">
      <w:pPr>
        <w:rPr>
          <w:rFonts w:ascii="Arial" w:hAnsi="Arial" w:cs="Arial"/>
        </w:rPr>
      </w:pPr>
    </w:p>
    <w:p w:rsidR="008A185A" w:rsidRPr="00AE259B" w:rsidRDefault="008A185A" w:rsidP="008A185A">
      <w:pPr>
        <w:rPr>
          <w:rFonts w:ascii="Arial" w:hAnsi="Arial" w:cs="Arial"/>
        </w:rPr>
      </w:pPr>
    </w:p>
    <w:p w:rsidR="008A185A" w:rsidRPr="00AE259B" w:rsidRDefault="008A185A" w:rsidP="008A185A">
      <w:pPr>
        <w:pStyle w:val="Tablecopy"/>
        <w:rPr>
          <w:rFonts w:ascii="Arial" w:hAnsi="Arial" w:cs="Arial"/>
        </w:rPr>
      </w:pPr>
    </w:p>
    <w:p w:rsidR="008A185A" w:rsidRPr="00AE259B" w:rsidRDefault="008A185A" w:rsidP="008A185A">
      <w:pPr>
        <w:rPr>
          <w:rFonts w:ascii="Arial" w:hAnsi="Arial" w:cs="Arial"/>
        </w:rPr>
        <w:sectPr w:rsidR="008A185A" w:rsidRPr="00AE259B" w:rsidSect="008A185A">
          <w:pgSz w:w="16840" w:h="11900" w:orient="landscape"/>
          <w:pgMar w:top="1134" w:right="1134" w:bottom="1134" w:left="1134" w:header="720" w:footer="720" w:gutter="0"/>
          <w:cols w:space="720"/>
          <w:noEndnote/>
        </w:sectPr>
      </w:pPr>
    </w:p>
    <w:p w:rsidR="008A185A" w:rsidRPr="00AE259B" w:rsidRDefault="008A185A" w:rsidP="00951FFC">
      <w:pPr>
        <w:pStyle w:val="Heading10"/>
        <w:outlineLvl w:val="0"/>
      </w:pPr>
      <w:bookmarkStart w:id="173" w:name="_Note_10._Intangible"/>
      <w:bookmarkStart w:id="174" w:name="_Toc337471042"/>
      <w:bookmarkStart w:id="175" w:name="_Toc337537808"/>
      <w:bookmarkStart w:id="176" w:name="_Toc337539734"/>
      <w:bookmarkStart w:id="177" w:name="_Toc337707151"/>
      <w:bookmarkStart w:id="178" w:name="_Toc337711259"/>
      <w:bookmarkStart w:id="179" w:name="_Toc366672100"/>
      <w:bookmarkEnd w:id="173"/>
      <w:r w:rsidRPr="00AE259B">
        <w:t>Note 9. Intangible assets</w:t>
      </w:r>
      <w:bookmarkEnd w:id="174"/>
      <w:bookmarkEnd w:id="175"/>
      <w:bookmarkEnd w:id="176"/>
      <w:bookmarkEnd w:id="177"/>
      <w:bookmarkEnd w:id="178"/>
      <w:bookmarkEnd w:id="179"/>
    </w:p>
    <w:tbl>
      <w:tblPr>
        <w:tblW w:w="47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23"/>
        <w:gridCol w:w="709"/>
        <w:gridCol w:w="1043"/>
        <w:gridCol w:w="1047"/>
        <w:gridCol w:w="1042"/>
        <w:gridCol w:w="979"/>
        <w:gridCol w:w="851"/>
        <w:gridCol w:w="801"/>
      </w:tblGrid>
      <w:tr w:rsidR="008A185A" w:rsidRPr="00AE259B" w:rsidTr="008A185A">
        <w:tc>
          <w:tcPr>
            <w:tcW w:w="1402" w:type="pct"/>
            <w:shd w:val="clear" w:color="auto" w:fill="auto"/>
            <w:tcMar>
              <w:top w:w="0" w:type="dxa"/>
              <w:left w:w="113" w:type="dxa"/>
              <w:bottom w:w="113" w:type="dxa"/>
              <w:right w:w="113" w:type="dxa"/>
            </w:tcMar>
            <w:vAlign w:val="bottom"/>
          </w:tcPr>
          <w:p w:rsidR="008A185A" w:rsidRPr="00AE259B" w:rsidRDefault="008A185A" w:rsidP="008A185A">
            <w:pPr>
              <w:pStyle w:val="TableHeading"/>
              <w:spacing w:before="0" w:after="0" w:line="240" w:lineRule="auto"/>
              <w:jc w:val="left"/>
              <w:rPr>
                <w:rFonts w:ascii="Arial" w:hAnsi="Arial" w:cs="Arial"/>
              </w:rPr>
            </w:pPr>
          </w:p>
        </w:tc>
        <w:tc>
          <w:tcPr>
            <w:tcW w:w="394" w:type="pct"/>
            <w:shd w:val="clear" w:color="auto" w:fill="auto"/>
            <w:tcMar>
              <w:top w:w="0" w:type="dxa"/>
              <w:left w:w="113" w:type="dxa"/>
              <w:bottom w:w="113"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1162" w:type="pct"/>
            <w:gridSpan w:val="2"/>
            <w:shd w:val="clear" w:color="auto" w:fill="auto"/>
            <w:tcMar>
              <w:top w:w="0" w:type="dxa"/>
              <w:left w:w="113" w:type="dxa"/>
              <w:bottom w:w="113" w:type="dxa"/>
              <w:right w:w="113" w:type="dxa"/>
            </w:tcMar>
            <w:vAlign w:val="bottom"/>
          </w:tcPr>
          <w:p w:rsidR="008A185A" w:rsidRPr="00AE259B" w:rsidRDefault="008A185A" w:rsidP="008A185A">
            <w:pPr>
              <w:pStyle w:val="TableHeading"/>
              <w:spacing w:before="0" w:after="0" w:line="240" w:lineRule="auto"/>
              <w:jc w:val="center"/>
              <w:rPr>
                <w:rFonts w:ascii="Arial" w:hAnsi="Arial" w:cs="Arial"/>
              </w:rPr>
            </w:pPr>
            <w:r w:rsidRPr="00AE259B">
              <w:rPr>
                <w:rFonts w:ascii="Arial" w:hAnsi="Arial" w:cs="Arial"/>
              </w:rPr>
              <w:t>Capitalised software development</w:t>
            </w:r>
          </w:p>
        </w:tc>
        <w:tc>
          <w:tcPr>
            <w:tcW w:w="1123" w:type="pct"/>
            <w:gridSpan w:val="2"/>
            <w:shd w:val="clear" w:color="auto" w:fill="auto"/>
            <w:tcMar>
              <w:top w:w="0" w:type="dxa"/>
              <w:left w:w="113" w:type="dxa"/>
              <w:bottom w:w="113" w:type="dxa"/>
              <w:right w:w="113" w:type="dxa"/>
            </w:tcMar>
            <w:vAlign w:val="bottom"/>
          </w:tcPr>
          <w:p w:rsidR="008A185A" w:rsidRPr="00AE259B" w:rsidRDefault="008A185A" w:rsidP="008A185A">
            <w:pPr>
              <w:pStyle w:val="TableHeading"/>
              <w:spacing w:before="0" w:after="0" w:line="240" w:lineRule="auto"/>
              <w:jc w:val="center"/>
              <w:rPr>
                <w:rFonts w:ascii="Arial" w:hAnsi="Arial" w:cs="Arial"/>
              </w:rPr>
            </w:pPr>
            <w:r w:rsidRPr="00AE259B">
              <w:rPr>
                <w:rFonts w:ascii="Arial" w:hAnsi="Arial" w:cs="Arial"/>
              </w:rPr>
              <w:t>Work in progress (software)</w:t>
            </w:r>
          </w:p>
        </w:tc>
        <w:tc>
          <w:tcPr>
            <w:tcW w:w="918" w:type="pct"/>
            <w:gridSpan w:val="2"/>
            <w:shd w:val="clear" w:color="auto" w:fill="auto"/>
            <w:tcMar>
              <w:top w:w="0" w:type="dxa"/>
              <w:left w:w="113" w:type="dxa"/>
              <w:bottom w:w="113" w:type="dxa"/>
              <w:right w:w="113" w:type="dxa"/>
            </w:tcMar>
            <w:vAlign w:val="bottom"/>
          </w:tcPr>
          <w:p w:rsidR="008A185A" w:rsidRPr="00AE259B" w:rsidRDefault="008A185A" w:rsidP="008A185A">
            <w:pPr>
              <w:pStyle w:val="TableHeading"/>
              <w:spacing w:before="0" w:after="0" w:line="240" w:lineRule="auto"/>
              <w:jc w:val="center"/>
              <w:rPr>
                <w:rFonts w:ascii="Arial" w:hAnsi="Arial" w:cs="Arial"/>
              </w:rPr>
            </w:pPr>
            <w:r w:rsidRPr="00AE259B">
              <w:rPr>
                <w:rFonts w:ascii="Arial" w:hAnsi="Arial" w:cs="Arial"/>
              </w:rPr>
              <w:t>Total</w:t>
            </w:r>
          </w:p>
        </w:tc>
      </w:tr>
      <w:tr w:rsidR="008A185A" w:rsidRPr="00AE259B" w:rsidTr="008A185A">
        <w:tc>
          <w:tcPr>
            <w:tcW w:w="1402"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394"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Note</w:t>
            </w:r>
          </w:p>
        </w:tc>
        <w:tc>
          <w:tcPr>
            <w:tcW w:w="580"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 xml:space="preserve"> $’000 </w:t>
            </w:r>
          </w:p>
        </w:tc>
        <w:tc>
          <w:tcPr>
            <w:tcW w:w="582"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2012</w:t>
            </w:r>
            <w:r w:rsidRPr="00AE259B">
              <w:rPr>
                <w:rFonts w:ascii="Arial" w:hAnsi="Arial" w:cs="Arial"/>
              </w:rPr>
              <w:br/>
              <w:t xml:space="preserve"> $’000 </w:t>
            </w:r>
          </w:p>
        </w:tc>
        <w:tc>
          <w:tcPr>
            <w:tcW w:w="579"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ind w:right="-4"/>
              <w:rPr>
                <w:rFonts w:ascii="Arial" w:hAnsi="Arial" w:cs="Arial"/>
              </w:rPr>
            </w:pPr>
            <w:r w:rsidRPr="00AE259B">
              <w:rPr>
                <w:rFonts w:ascii="Arial" w:hAnsi="Arial" w:cs="Arial"/>
              </w:rPr>
              <w:t>2013</w:t>
            </w:r>
            <w:r w:rsidRPr="00AE259B">
              <w:rPr>
                <w:rFonts w:ascii="Arial" w:hAnsi="Arial" w:cs="Arial"/>
              </w:rPr>
              <w:br/>
              <w:t xml:space="preserve">$’000 </w:t>
            </w:r>
          </w:p>
        </w:tc>
        <w:tc>
          <w:tcPr>
            <w:tcW w:w="544"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2012</w:t>
            </w:r>
            <w:r w:rsidRPr="00AE259B">
              <w:rPr>
                <w:rFonts w:ascii="Arial" w:hAnsi="Arial" w:cs="Arial"/>
              </w:rPr>
              <w:br/>
              <w:t xml:space="preserve">$’000 </w:t>
            </w:r>
          </w:p>
        </w:tc>
        <w:tc>
          <w:tcPr>
            <w:tcW w:w="473"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 xml:space="preserve">$’000 </w:t>
            </w:r>
          </w:p>
        </w:tc>
        <w:tc>
          <w:tcPr>
            <w:tcW w:w="445"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2012</w:t>
            </w:r>
            <w:r w:rsidRPr="00AE259B">
              <w:rPr>
                <w:rFonts w:ascii="Arial" w:hAnsi="Arial" w:cs="Arial"/>
              </w:rPr>
              <w:br/>
              <w:t xml:space="preserve">$’000 </w:t>
            </w:r>
          </w:p>
        </w:tc>
      </w:tr>
      <w:tr w:rsidR="008A185A" w:rsidRPr="00AE259B" w:rsidTr="008A185A">
        <w:tc>
          <w:tcPr>
            <w:tcW w:w="1402"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Consolidated</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1402"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Gross carrying amount</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Opening balance</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Additions</w:t>
            </w:r>
          </w:p>
        </w:tc>
        <w:tc>
          <w:tcPr>
            <w:tcW w:w="39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rPr>
            </w:pPr>
          </w:p>
        </w:tc>
        <w:tc>
          <w:tcPr>
            <w:tcW w:w="580"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579"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315 </w:t>
            </w:r>
          </w:p>
        </w:tc>
        <w:tc>
          <w:tcPr>
            <w:tcW w:w="473"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315 </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Acquisitions through administrative restructures</w:t>
            </w:r>
          </w:p>
        </w:tc>
        <w:tc>
          <w:tcPr>
            <w:tcW w:w="39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0"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2"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4,147 </w:t>
            </w:r>
          </w:p>
        </w:tc>
        <w:tc>
          <w:tcPr>
            <w:tcW w:w="579"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right="-4"/>
              <w:jc w:val="right"/>
              <w:rPr>
                <w:rFonts w:ascii="Arial" w:hAnsi="Arial" w:cs="Arial"/>
              </w:rPr>
            </w:pPr>
          </w:p>
        </w:tc>
        <w:tc>
          <w:tcPr>
            <w:tcW w:w="5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8,344 </w:t>
            </w:r>
          </w:p>
        </w:tc>
        <w:tc>
          <w:tcPr>
            <w:tcW w:w="473"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445"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12,491 </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Transfers between classes</w:t>
            </w:r>
          </w:p>
        </w:tc>
        <w:tc>
          <w:tcPr>
            <w:tcW w:w="39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0"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1,767 </w:t>
            </w:r>
          </w:p>
        </w:tc>
        <w:tc>
          <w:tcPr>
            <w:tcW w:w="579"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right="-4"/>
              <w:jc w:val="right"/>
              <w:rPr>
                <w:rFonts w:ascii="Arial" w:hAnsi="Arial" w:cs="Arial"/>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(1,767) </w:t>
            </w:r>
          </w:p>
        </w:tc>
        <w:tc>
          <w:tcPr>
            <w:tcW w:w="473"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Closing balance</w:t>
            </w:r>
          </w:p>
        </w:tc>
        <w:tc>
          <w:tcPr>
            <w:tcW w:w="39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0"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5,914 </w:t>
            </w:r>
          </w:p>
        </w:tc>
        <w:tc>
          <w:tcPr>
            <w:tcW w:w="579"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right="-4"/>
              <w:jc w:val="right"/>
              <w:rPr>
                <w:rFonts w:ascii="Arial" w:hAnsi="Arial" w:cs="Arial"/>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6,892 </w:t>
            </w:r>
          </w:p>
        </w:tc>
        <w:tc>
          <w:tcPr>
            <w:tcW w:w="473"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12,806 </w:t>
            </w:r>
          </w:p>
        </w:tc>
      </w:tr>
      <w:tr w:rsidR="008A185A" w:rsidRPr="00AE259B" w:rsidTr="008A185A">
        <w:tc>
          <w:tcPr>
            <w:tcW w:w="1402"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Accumulated amortisation and impairment</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Opening balance</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Amortisation expense</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4(d)</w:t>
            </w: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(635)</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(635)</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Closing balance</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(635)</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(635)</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Net book value at the end </w:t>
            </w:r>
            <w:r w:rsidRPr="00AE259B">
              <w:rPr>
                <w:rFonts w:ascii="Arial" w:hAnsi="Arial" w:cs="Arial"/>
                <w:b/>
              </w:rPr>
              <w:br/>
              <w:t>of the financial year</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5,279 </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6,892 </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12,171 </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Parent</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Gross carrying amount</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Opening balance</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5,914 </w:t>
            </w: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r w:rsidRPr="00AE259B">
              <w:rPr>
                <w:rFonts w:ascii="Arial" w:hAnsi="Arial" w:cs="Arial"/>
                <w:b/>
              </w:rPr>
              <w:t xml:space="preserve"> 6,892 </w:t>
            </w: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12,806 </w:t>
            </w: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Additions</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rPr>
            </w:pPr>
            <w:r w:rsidRPr="00AE259B">
              <w:rPr>
                <w:rFonts w:ascii="Arial" w:hAnsi="Arial" w:cs="Arial"/>
              </w:rPr>
              <w:t xml:space="preserve"> 42,599 </w:t>
            </w: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315 </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42,599 </w:t>
            </w: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315 </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Acquisitions through administrative restructures</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0"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582"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4,147 </w:t>
            </w:r>
          </w:p>
        </w:tc>
        <w:tc>
          <w:tcPr>
            <w:tcW w:w="579"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ind w:right="-4"/>
              <w:jc w:val="right"/>
              <w:rPr>
                <w:rFonts w:ascii="Arial" w:hAnsi="Arial" w:cs="Arial"/>
              </w:rPr>
            </w:pPr>
            <w:r w:rsidRPr="00AE259B">
              <w:rPr>
                <w:rFonts w:ascii="Arial" w:hAnsi="Arial" w:cs="Arial"/>
              </w:rPr>
              <w:t xml:space="preserve"> 19,724 </w:t>
            </w:r>
          </w:p>
        </w:tc>
        <w:tc>
          <w:tcPr>
            <w:tcW w:w="544"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8,344 </w:t>
            </w:r>
          </w:p>
        </w:tc>
        <w:tc>
          <w:tcPr>
            <w:tcW w:w="473"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19,724 </w:t>
            </w:r>
          </w:p>
        </w:tc>
        <w:tc>
          <w:tcPr>
            <w:tcW w:w="445"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12,491 </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Transfers between classes</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2,812 </w:t>
            </w: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1,767 </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rPr>
            </w:pPr>
            <w:r w:rsidRPr="00AE259B">
              <w:rPr>
                <w:rFonts w:ascii="Arial" w:hAnsi="Arial" w:cs="Arial"/>
              </w:rPr>
              <w:t>(2,812)</w:t>
            </w: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(1,767) </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Closing balance</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8,726 </w:t>
            </w: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5,914 </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r w:rsidRPr="00AE259B">
              <w:rPr>
                <w:rFonts w:ascii="Arial" w:hAnsi="Arial" w:cs="Arial"/>
                <w:b/>
              </w:rPr>
              <w:t xml:space="preserve"> 66,403 </w:t>
            </w: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6,892 </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75,129 </w:t>
            </w: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12,806 </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Accumulated amortisation and impairment</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Opening balance</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(635)</w:t>
            </w: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r w:rsidRPr="00AE259B">
              <w:rPr>
                <w:rFonts w:ascii="Arial" w:hAnsi="Arial" w:cs="Arial"/>
                <w:b/>
              </w:rPr>
              <w:t>-</w:t>
            </w: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(635)</w:t>
            </w: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Amortisation expense</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4(d)</w:t>
            </w: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(2,720)</w:t>
            </w: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(635)</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r w:rsidRPr="00AE259B">
              <w:rPr>
                <w:rFonts w:ascii="Arial" w:hAnsi="Arial" w:cs="Arial"/>
                <w:b/>
              </w:rPr>
              <w:t>-</w:t>
            </w: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(2,720)</w:t>
            </w: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(635)</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Closing balance</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(3,355)</w:t>
            </w: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(635)</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r w:rsidRPr="00AE259B">
              <w:rPr>
                <w:rFonts w:ascii="Arial" w:hAnsi="Arial" w:cs="Arial"/>
                <w:b/>
              </w:rPr>
              <w:t>-</w:t>
            </w: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(3,355)</w:t>
            </w: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(635)</w:t>
            </w:r>
          </w:p>
        </w:tc>
      </w:tr>
      <w:tr w:rsidR="008A185A" w:rsidRPr="00AE259B" w:rsidTr="008A185A">
        <w:tc>
          <w:tcPr>
            <w:tcW w:w="140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Net book value at the end </w:t>
            </w:r>
            <w:r w:rsidRPr="00AE259B">
              <w:rPr>
                <w:rFonts w:ascii="Arial" w:hAnsi="Arial" w:cs="Arial"/>
                <w:b/>
              </w:rPr>
              <w:br/>
              <w:t>of the financial year</w:t>
            </w:r>
          </w:p>
        </w:tc>
        <w:tc>
          <w:tcPr>
            <w:tcW w:w="39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0"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5,371 </w:t>
            </w:r>
          </w:p>
        </w:tc>
        <w:tc>
          <w:tcPr>
            <w:tcW w:w="58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5,279 </w:t>
            </w:r>
          </w:p>
        </w:tc>
        <w:tc>
          <w:tcPr>
            <w:tcW w:w="5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ind w:right="-4"/>
              <w:jc w:val="right"/>
              <w:rPr>
                <w:rFonts w:ascii="Arial" w:hAnsi="Arial" w:cs="Arial"/>
                <w:b/>
              </w:rPr>
            </w:pPr>
            <w:r w:rsidRPr="00AE259B">
              <w:rPr>
                <w:rFonts w:ascii="Arial" w:hAnsi="Arial" w:cs="Arial"/>
                <w:b/>
              </w:rPr>
              <w:t xml:space="preserve"> 66,403 </w:t>
            </w:r>
          </w:p>
        </w:tc>
        <w:tc>
          <w:tcPr>
            <w:tcW w:w="544"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6,892 </w:t>
            </w:r>
          </w:p>
        </w:tc>
        <w:tc>
          <w:tcPr>
            <w:tcW w:w="473"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71,774 </w:t>
            </w:r>
          </w:p>
        </w:tc>
        <w:tc>
          <w:tcPr>
            <w:tcW w:w="44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12,171 </w:t>
            </w:r>
          </w:p>
        </w:tc>
      </w:tr>
    </w:tbl>
    <w:p w:rsidR="008A185A" w:rsidRPr="00AE259B" w:rsidRDefault="008A185A" w:rsidP="008A185A">
      <w:pPr>
        <w:pStyle w:val="Heading1"/>
        <w:rPr>
          <w:rFonts w:ascii="Arial" w:hAnsi="Arial" w:cs="Arial"/>
        </w:rPr>
        <w:sectPr w:rsidR="008A185A" w:rsidRPr="00AE259B" w:rsidSect="008A185A">
          <w:pgSz w:w="11906" w:h="16838"/>
          <w:pgMar w:top="1276" w:right="720" w:bottom="1134" w:left="1843" w:header="720" w:footer="720" w:gutter="0"/>
          <w:cols w:space="720"/>
          <w:noEndnote/>
        </w:sectPr>
      </w:pPr>
      <w:bookmarkStart w:id="180" w:name="_Note_11._Payables"/>
      <w:bookmarkStart w:id="181" w:name="_Toc337471043"/>
      <w:bookmarkStart w:id="182" w:name="_Toc337537809"/>
      <w:bookmarkStart w:id="183" w:name="_Toc337539735"/>
      <w:bookmarkStart w:id="184" w:name="_Toc337707152"/>
      <w:bookmarkStart w:id="185" w:name="_Toc337711260"/>
      <w:bookmarkEnd w:id="180"/>
    </w:p>
    <w:p w:rsidR="008A185A" w:rsidRPr="00AE259B" w:rsidRDefault="008A185A" w:rsidP="00951FFC">
      <w:pPr>
        <w:pStyle w:val="Heading10"/>
        <w:outlineLvl w:val="0"/>
      </w:pPr>
      <w:bookmarkStart w:id="186" w:name="_Toc366672101"/>
      <w:r w:rsidRPr="00AE259B">
        <w:t>Note 10. Payables</w:t>
      </w:r>
      <w:bookmarkEnd w:id="181"/>
      <w:bookmarkEnd w:id="182"/>
      <w:bookmarkEnd w:id="183"/>
      <w:bookmarkEnd w:id="184"/>
      <w:bookmarkEnd w:id="185"/>
      <w:bookmarkEnd w:id="186"/>
    </w:p>
    <w:tbl>
      <w:tblPr>
        <w:tblW w:w="0" w:type="auto"/>
        <w:tblInd w:w="113" w:type="dxa"/>
        <w:tblLayout w:type="fixed"/>
        <w:tblCellMar>
          <w:left w:w="0" w:type="dxa"/>
          <w:right w:w="0" w:type="dxa"/>
        </w:tblCellMar>
        <w:tblLook w:val="0000" w:firstRow="0" w:lastRow="0" w:firstColumn="0" w:lastColumn="0" w:noHBand="0" w:noVBand="0"/>
      </w:tblPr>
      <w:tblGrid>
        <w:gridCol w:w="3544"/>
        <w:gridCol w:w="1078"/>
        <w:gridCol w:w="1163"/>
        <w:gridCol w:w="1019"/>
      </w:tblGrid>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1078"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$’000</w:t>
            </w:r>
          </w:p>
        </w:tc>
        <w:tc>
          <w:tcPr>
            <w:tcW w:w="1163"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2012</w:t>
            </w:r>
            <w:r w:rsidRPr="00AE259B">
              <w:rPr>
                <w:rFonts w:ascii="Arial" w:hAnsi="Arial" w:cs="Arial"/>
              </w:rPr>
              <w:br/>
              <w:t>$’000</w:t>
            </w:r>
          </w:p>
        </w:tc>
        <w:tc>
          <w:tcPr>
            <w:tcW w:w="1019"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Current payables</w:t>
            </w:r>
          </w:p>
        </w:tc>
        <w:tc>
          <w:tcPr>
            <w:tcW w:w="107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1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Contractual</w:t>
            </w:r>
          </w:p>
        </w:tc>
        <w:tc>
          <w:tcPr>
            <w:tcW w:w="107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1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Supplies and services</w:t>
            </w:r>
            <w:r w:rsidRPr="00AE259B">
              <w:rPr>
                <w:rFonts w:ascii="Arial" w:hAnsi="Arial" w:cs="Arial"/>
                <w:vertAlign w:val="superscript"/>
              </w:rPr>
              <w:t>(i)</w:t>
            </w:r>
          </w:p>
        </w:tc>
        <w:tc>
          <w:tcPr>
            <w:tcW w:w="107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404,422</w:t>
            </w:r>
          </w:p>
        </w:tc>
        <w:tc>
          <w:tcPr>
            <w:tcW w:w="116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340,636 </w:t>
            </w:r>
          </w:p>
        </w:tc>
        <w:tc>
          <w:tcPr>
            <w:tcW w:w="101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340,636 </w:t>
            </w:r>
          </w:p>
        </w:tc>
      </w:tr>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payable to government and agencies</w:t>
            </w:r>
          </w:p>
        </w:tc>
        <w:tc>
          <w:tcPr>
            <w:tcW w:w="107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119,987</w:t>
            </w:r>
          </w:p>
        </w:tc>
        <w:tc>
          <w:tcPr>
            <w:tcW w:w="116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103,102 </w:t>
            </w:r>
          </w:p>
        </w:tc>
        <w:tc>
          <w:tcPr>
            <w:tcW w:w="101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103,102 </w:t>
            </w:r>
          </w:p>
        </w:tc>
      </w:tr>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07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524,409</w:t>
            </w:r>
          </w:p>
        </w:tc>
        <w:tc>
          <w:tcPr>
            <w:tcW w:w="116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443,738 </w:t>
            </w:r>
          </w:p>
        </w:tc>
        <w:tc>
          <w:tcPr>
            <w:tcW w:w="101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443,738 </w:t>
            </w:r>
          </w:p>
        </w:tc>
      </w:tr>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Statutory</w:t>
            </w:r>
          </w:p>
        </w:tc>
        <w:tc>
          <w:tcPr>
            <w:tcW w:w="107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1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GST payable</w:t>
            </w:r>
          </w:p>
        </w:tc>
        <w:tc>
          <w:tcPr>
            <w:tcW w:w="107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5,093</w:t>
            </w:r>
          </w:p>
        </w:tc>
        <w:tc>
          <w:tcPr>
            <w:tcW w:w="116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5,355 </w:t>
            </w:r>
          </w:p>
        </w:tc>
        <w:tc>
          <w:tcPr>
            <w:tcW w:w="101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5,355 </w:t>
            </w:r>
          </w:p>
        </w:tc>
      </w:tr>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07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1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5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current payables</w:t>
            </w:r>
          </w:p>
        </w:tc>
        <w:tc>
          <w:tcPr>
            <w:tcW w:w="107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529,502</w:t>
            </w:r>
          </w:p>
        </w:tc>
        <w:tc>
          <w:tcPr>
            <w:tcW w:w="116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449,093 </w:t>
            </w:r>
          </w:p>
        </w:tc>
        <w:tc>
          <w:tcPr>
            <w:tcW w:w="101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449,093 </w:t>
            </w:r>
          </w:p>
        </w:tc>
      </w:tr>
      <w:tr w:rsidR="008A185A" w:rsidRPr="00AE259B" w:rsidTr="008A185A">
        <w:tc>
          <w:tcPr>
            <w:tcW w:w="6804" w:type="dxa"/>
            <w:gridSpan w:val="4"/>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 The average credit period for creditors is 30 days, a period in which no interest is charged.</w:t>
            </w:r>
          </w:p>
        </w:tc>
      </w:tr>
    </w:tbl>
    <w:p w:rsidR="008A185A" w:rsidRPr="00AE259B" w:rsidRDefault="008A185A" w:rsidP="008A185A">
      <w:pPr>
        <w:rPr>
          <w:rFonts w:ascii="Arial" w:hAnsi="Arial" w:cs="Arial"/>
          <w:sz w:val="16"/>
          <w:szCs w:val="16"/>
        </w:rPr>
      </w:pPr>
      <w:r w:rsidRPr="00AE259B">
        <w:rPr>
          <w:rFonts w:ascii="Arial" w:hAnsi="Arial" w:cs="Arial"/>
          <w:sz w:val="16"/>
          <w:szCs w:val="16"/>
        </w:rPr>
        <w:t>(a)</w:t>
      </w:r>
      <w:r w:rsidRPr="00AE259B">
        <w:rPr>
          <w:rFonts w:ascii="Arial" w:hAnsi="Arial" w:cs="Arial"/>
          <w:sz w:val="16"/>
          <w:szCs w:val="16"/>
        </w:rPr>
        <w:t> </w:t>
      </w:r>
      <w:r w:rsidRPr="00AE259B">
        <w:rPr>
          <w:rFonts w:ascii="Arial" w:hAnsi="Arial" w:cs="Arial"/>
          <w:sz w:val="16"/>
          <w:szCs w:val="16"/>
        </w:rPr>
        <w:t>Maturity analysis of payables</w:t>
      </w:r>
      <w:r w:rsidRPr="00AE259B">
        <w:rPr>
          <w:rFonts w:ascii="Arial" w:hAnsi="Arial" w:cs="Arial"/>
          <w:sz w:val="16"/>
          <w:szCs w:val="16"/>
        </w:rPr>
        <w:br/>
        <w:t>Please refer to Note 13(b) for the ageing analysis of contractual payables.</w:t>
      </w:r>
    </w:p>
    <w:p w:rsidR="008A185A" w:rsidRPr="00AE259B" w:rsidRDefault="008A185A" w:rsidP="008A185A">
      <w:pPr>
        <w:rPr>
          <w:rFonts w:ascii="Arial" w:hAnsi="Arial" w:cs="Arial"/>
          <w:sz w:val="16"/>
          <w:szCs w:val="16"/>
        </w:rPr>
      </w:pPr>
      <w:r w:rsidRPr="00AE259B">
        <w:rPr>
          <w:rFonts w:ascii="Arial" w:hAnsi="Arial" w:cs="Arial"/>
          <w:sz w:val="16"/>
          <w:szCs w:val="16"/>
        </w:rPr>
        <w:t>(b) Nature and extent of risk arising from payables</w:t>
      </w:r>
      <w:r w:rsidRPr="00AE259B">
        <w:rPr>
          <w:rFonts w:ascii="Arial" w:hAnsi="Arial" w:cs="Arial"/>
          <w:sz w:val="16"/>
          <w:szCs w:val="16"/>
        </w:rPr>
        <w:br/>
        <w:t>Please refer to Note 13 for interest rate contractual exposure.</w:t>
      </w:r>
    </w:p>
    <w:p w:rsidR="008A185A" w:rsidRPr="00AE259B" w:rsidRDefault="008A185A" w:rsidP="008A185A">
      <w:pPr>
        <w:rPr>
          <w:rFonts w:ascii="Arial" w:hAnsi="Arial" w:cs="Arial"/>
          <w:sz w:val="16"/>
          <w:szCs w:val="16"/>
        </w:rPr>
      </w:pPr>
    </w:p>
    <w:p w:rsidR="00B11D08" w:rsidRDefault="00B11D08" w:rsidP="00B11D08">
      <w:pPr>
        <w:pStyle w:val="Heading10"/>
      </w:pPr>
      <w:bookmarkStart w:id="187" w:name="_Note_12._Borrowings"/>
      <w:bookmarkStart w:id="188" w:name="_Toc337471044"/>
      <w:bookmarkStart w:id="189" w:name="_Toc337537810"/>
      <w:bookmarkStart w:id="190" w:name="_Toc337539736"/>
      <w:bookmarkStart w:id="191" w:name="_Toc337707153"/>
      <w:bookmarkStart w:id="192" w:name="_Toc337711261"/>
      <w:bookmarkEnd w:id="187"/>
    </w:p>
    <w:p w:rsidR="008A185A" w:rsidRPr="00AE259B" w:rsidRDefault="008A185A" w:rsidP="00951FFC">
      <w:pPr>
        <w:pStyle w:val="Heading10"/>
        <w:outlineLvl w:val="0"/>
      </w:pPr>
      <w:bookmarkStart w:id="193" w:name="_Toc366672102"/>
      <w:r w:rsidRPr="00AE259B">
        <w:t>Note 11. Borrowings</w:t>
      </w:r>
      <w:bookmarkEnd w:id="188"/>
      <w:bookmarkEnd w:id="189"/>
      <w:bookmarkEnd w:id="190"/>
      <w:bookmarkEnd w:id="191"/>
      <w:bookmarkEnd w:id="192"/>
      <w:bookmarkEnd w:id="193"/>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2"/>
        <w:gridCol w:w="794"/>
        <w:gridCol w:w="1077"/>
        <w:gridCol w:w="1191"/>
        <w:gridCol w:w="1077"/>
      </w:tblGrid>
      <w:tr w:rsidR="008A185A" w:rsidRPr="00AE259B" w:rsidTr="008A185A">
        <w:tc>
          <w:tcPr>
            <w:tcW w:w="3742"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794"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Note</w:t>
            </w:r>
          </w:p>
        </w:tc>
        <w:tc>
          <w:tcPr>
            <w:tcW w:w="1077" w:type="dxa"/>
            <w:tcBorders>
              <w:bottom w:val="single" w:sz="6" w:space="0" w:color="auto"/>
            </w:tcBorders>
            <w:vAlign w:val="bottom"/>
          </w:tcPr>
          <w:p w:rsidR="008A185A" w:rsidRPr="00AE259B" w:rsidRDefault="008A185A" w:rsidP="008A185A">
            <w:pPr>
              <w:pStyle w:val="TableHeading"/>
              <w:spacing w:before="0" w:after="0" w:line="240" w:lineRule="auto"/>
              <w:ind w:right="56"/>
              <w:rPr>
                <w:rFonts w:ascii="Arial" w:hAnsi="Arial" w:cs="Arial"/>
              </w:rPr>
            </w:pPr>
            <w:r w:rsidRPr="00AE259B">
              <w:rPr>
                <w:rFonts w:ascii="Arial" w:hAnsi="Arial" w:cs="Arial"/>
              </w:rPr>
              <w:t>2013</w:t>
            </w:r>
            <w:r w:rsidRPr="00AE259B">
              <w:rPr>
                <w:rFonts w:ascii="Arial" w:hAnsi="Arial" w:cs="Arial"/>
              </w:rPr>
              <w:br/>
              <w:t>$’000</w:t>
            </w:r>
          </w:p>
        </w:tc>
        <w:tc>
          <w:tcPr>
            <w:tcW w:w="1191" w:type="dxa"/>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2012</w:t>
            </w:r>
            <w:r w:rsidRPr="00AE259B">
              <w:rPr>
                <w:rFonts w:ascii="Arial" w:hAnsi="Arial" w:cs="Arial"/>
              </w:rPr>
              <w:br/>
              <w:t>$’000</w:t>
            </w:r>
          </w:p>
        </w:tc>
        <w:tc>
          <w:tcPr>
            <w:tcW w:w="1077"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3742"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Current borrowings</w:t>
            </w:r>
          </w:p>
        </w:tc>
        <w:tc>
          <w:tcPr>
            <w:tcW w:w="794"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77" w:type="dxa"/>
            <w:shd w:val="pct10" w:color="auto" w:fill="auto"/>
          </w:tcPr>
          <w:p w:rsidR="008A185A" w:rsidRPr="00AE259B" w:rsidRDefault="008A185A" w:rsidP="008A185A">
            <w:pPr>
              <w:pStyle w:val="Tablecopy"/>
              <w:spacing w:line="240" w:lineRule="auto"/>
              <w:ind w:right="56"/>
              <w:jc w:val="right"/>
              <w:rPr>
                <w:rFonts w:ascii="Arial" w:hAnsi="Arial" w:cs="Arial"/>
              </w:rPr>
            </w:pPr>
          </w:p>
        </w:tc>
        <w:tc>
          <w:tcPr>
            <w:tcW w:w="1191"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77"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74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Motor vehicle lease liability </w:t>
            </w:r>
            <w:r w:rsidRPr="00AE259B">
              <w:rPr>
                <w:rFonts w:ascii="Arial" w:hAnsi="Arial" w:cs="Arial"/>
                <w:vertAlign w:val="superscript"/>
              </w:rPr>
              <w:t>(i)</w:t>
            </w:r>
          </w:p>
        </w:tc>
        <w:tc>
          <w:tcPr>
            <w:tcW w:w="79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18</w:t>
            </w:r>
          </w:p>
        </w:tc>
        <w:tc>
          <w:tcPr>
            <w:tcW w:w="1077" w:type="dxa"/>
            <w:shd w:val="pct10" w:color="auto" w:fill="auto"/>
          </w:tcPr>
          <w:p w:rsidR="008A185A" w:rsidRPr="00AE259B" w:rsidRDefault="008A185A" w:rsidP="008A185A">
            <w:pPr>
              <w:pStyle w:val="Tablecopy"/>
              <w:spacing w:line="240" w:lineRule="auto"/>
              <w:ind w:right="56"/>
              <w:jc w:val="right"/>
              <w:rPr>
                <w:rFonts w:ascii="Arial" w:hAnsi="Arial" w:cs="Arial"/>
              </w:rPr>
            </w:pPr>
            <w:r w:rsidRPr="00AE259B">
              <w:rPr>
                <w:rFonts w:ascii="Arial" w:hAnsi="Arial" w:cs="Arial"/>
              </w:rPr>
              <w:t>263</w:t>
            </w:r>
          </w:p>
        </w:tc>
        <w:tc>
          <w:tcPr>
            <w:tcW w:w="119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484 </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484 </w:t>
            </w:r>
          </w:p>
        </w:tc>
      </w:tr>
      <w:tr w:rsidR="008A185A" w:rsidRPr="00AE259B" w:rsidTr="008A185A">
        <w:tc>
          <w:tcPr>
            <w:tcW w:w="374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current borrowings</w:t>
            </w:r>
          </w:p>
        </w:tc>
        <w:tc>
          <w:tcPr>
            <w:tcW w:w="79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1077" w:type="dxa"/>
            <w:shd w:val="pct10" w:color="auto" w:fill="auto"/>
          </w:tcPr>
          <w:p w:rsidR="008A185A" w:rsidRPr="00AE259B" w:rsidRDefault="008A185A" w:rsidP="008A185A">
            <w:pPr>
              <w:pStyle w:val="Tablecopy"/>
              <w:spacing w:line="240" w:lineRule="auto"/>
              <w:ind w:right="56"/>
              <w:jc w:val="right"/>
              <w:rPr>
                <w:rFonts w:ascii="Arial" w:hAnsi="Arial" w:cs="Arial"/>
                <w:b/>
              </w:rPr>
            </w:pPr>
            <w:r w:rsidRPr="00AE259B">
              <w:rPr>
                <w:rFonts w:ascii="Arial" w:hAnsi="Arial" w:cs="Arial"/>
                <w:b/>
              </w:rPr>
              <w:t>263</w:t>
            </w:r>
          </w:p>
        </w:tc>
        <w:tc>
          <w:tcPr>
            <w:tcW w:w="119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484</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484</w:t>
            </w:r>
          </w:p>
        </w:tc>
      </w:tr>
      <w:tr w:rsidR="008A185A" w:rsidRPr="00AE259B" w:rsidTr="008A185A">
        <w:tc>
          <w:tcPr>
            <w:tcW w:w="3742"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Non-current borrowings</w:t>
            </w:r>
          </w:p>
        </w:tc>
        <w:tc>
          <w:tcPr>
            <w:tcW w:w="794"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1077" w:type="dxa"/>
            <w:shd w:val="pct10" w:color="auto" w:fill="auto"/>
          </w:tcPr>
          <w:p w:rsidR="008A185A" w:rsidRPr="00AE259B" w:rsidRDefault="008A185A" w:rsidP="008A185A">
            <w:pPr>
              <w:pStyle w:val="Tablecopy"/>
              <w:spacing w:line="240" w:lineRule="auto"/>
              <w:ind w:right="56"/>
              <w:jc w:val="right"/>
              <w:rPr>
                <w:rFonts w:ascii="Arial" w:hAnsi="Arial" w:cs="Arial"/>
                <w:b/>
              </w:rPr>
            </w:pPr>
          </w:p>
        </w:tc>
        <w:tc>
          <w:tcPr>
            <w:tcW w:w="1191"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1077"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374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Motor vehicle lease liability </w:t>
            </w:r>
            <w:r w:rsidRPr="00AE259B">
              <w:rPr>
                <w:rFonts w:ascii="Arial" w:hAnsi="Arial" w:cs="Arial"/>
                <w:vertAlign w:val="superscript"/>
              </w:rPr>
              <w:t>(i)</w:t>
            </w:r>
          </w:p>
        </w:tc>
        <w:tc>
          <w:tcPr>
            <w:tcW w:w="79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18</w:t>
            </w:r>
          </w:p>
        </w:tc>
        <w:tc>
          <w:tcPr>
            <w:tcW w:w="1077" w:type="dxa"/>
            <w:shd w:val="pct10" w:color="auto" w:fill="auto"/>
          </w:tcPr>
          <w:p w:rsidR="008A185A" w:rsidRPr="00AE259B" w:rsidRDefault="008A185A" w:rsidP="008A185A">
            <w:pPr>
              <w:pStyle w:val="Tablecopy"/>
              <w:spacing w:line="240" w:lineRule="auto"/>
              <w:ind w:right="56"/>
              <w:jc w:val="right"/>
              <w:rPr>
                <w:rFonts w:ascii="Arial" w:hAnsi="Arial" w:cs="Arial"/>
              </w:rPr>
            </w:pPr>
            <w:r w:rsidRPr="00AE259B">
              <w:rPr>
                <w:rFonts w:ascii="Arial" w:hAnsi="Arial" w:cs="Arial"/>
              </w:rPr>
              <w:t>344</w:t>
            </w:r>
          </w:p>
        </w:tc>
        <w:tc>
          <w:tcPr>
            <w:tcW w:w="119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367 </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367 </w:t>
            </w:r>
          </w:p>
        </w:tc>
      </w:tr>
      <w:tr w:rsidR="008A185A" w:rsidRPr="00AE259B" w:rsidTr="008A185A">
        <w:tc>
          <w:tcPr>
            <w:tcW w:w="374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Southern Cross Station Transport Interchange Facility liability</w:t>
            </w:r>
          </w:p>
        </w:tc>
        <w:tc>
          <w:tcPr>
            <w:tcW w:w="794"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18</w:t>
            </w:r>
          </w:p>
        </w:tc>
        <w:tc>
          <w:tcPr>
            <w:tcW w:w="1077" w:type="dxa"/>
            <w:shd w:val="pct10" w:color="auto" w:fill="auto"/>
            <w:vAlign w:val="bottom"/>
          </w:tcPr>
          <w:p w:rsidR="008A185A" w:rsidRPr="00AE259B" w:rsidRDefault="008A185A" w:rsidP="008A185A">
            <w:pPr>
              <w:pStyle w:val="Tablecopy"/>
              <w:spacing w:line="240" w:lineRule="auto"/>
              <w:ind w:right="56"/>
              <w:jc w:val="right"/>
              <w:rPr>
                <w:rFonts w:ascii="Arial" w:hAnsi="Arial" w:cs="Arial"/>
              </w:rPr>
            </w:pPr>
            <w:r w:rsidRPr="00AE259B">
              <w:rPr>
                <w:rFonts w:ascii="Arial" w:hAnsi="Arial" w:cs="Arial"/>
              </w:rPr>
              <w:t>376,822</w:t>
            </w:r>
          </w:p>
        </w:tc>
        <w:tc>
          <w:tcPr>
            <w:tcW w:w="1191"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375,340 </w:t>
            </w:r>
          </w:p>
        </w:tc>
        <w:tc>
          <w:tcPr>
            <w:tcW w:w="1077"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375,340 </w:t>
            </w:r>
          </w:p>
        </w:tc>
      </w:tr>
      <w:tr w:rsidR="008A185A" w:rsidRPr="00AE259B" w:rsidTr="008A185A">
        <w:tc>
          <w:tcPr>
            <w:tcW w:w="374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non-current borrowings</w:t>
            </w:r>
          </w:p>
        </w:tc>
        <w:tc>
          <w:tcPr>
            <w:tcW w:w="79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1077" w:type="dxa"/>
            <w:shd w:val="pct10" w:color="auto" w:fill="auto"/>
          </w:tcPr>
          <w:p w:rsidR="008A185A" w:rsidRPr="00AE259B" w:rsidRDefault="008A185A" w:rsidP="008A185A">
            <w:pPr>
              <w:pStyle w:val="Tablecopy"/>
              <w:spacing w:line="240" w:lineRule="auto"/>
              <w:ind w:right="56"/>
              <w:jc w:val="right"/>
              <w:rPr>
                <w:rFonts w:ascii="Arial" w:hAnsi="Arial" w:cs="Arial"/>
                <w:b/>
              </w:rPr>
            </w:pPr>
            <w:r w:rsidRPr="00AE259B">
              <w:rPr>
                <w:rFonts w:ascii="Arial" w:hAnsi="Arial" w:cs="Arial"/>
                <w:b/>
              </w:rPr>
              <w:t>377,166</w:t>
            </w:r>
          </w:p>
        </w:tc>
        <w:tc>
          <w:tcPr>
            <w:tcW w:w="119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375,707 </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375,707 </w:t>
            </w:r>
          </w:p>
        </w:tc>
      </w:tr>
      <w:tr w:rsidR="008A185A" w:rsidRPr="00AE259B" w:rsidTr="008A185A">
        <w:tc>
          <w:tcPr>
            <w:tcW w:w="374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borrowings</w:t>
            </w:r>
          </w:p>
        </w:tc>
        <w:tc>
          <w:tcPr>
            <w:tcW w:w="79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1077" w:type="dxa"/>
            <w:shd w:val="pct10" w:color="auto" w:fill="auto"/>
          </w:tcPr>
          <w:p w:rsidR="008A185A" w:rsidRPr="00AE259B" w:rsidRDefault="008A185A" w:rsidP="008A185A">
            <w:pPr>
              <w:pStyle w:val="Tablecopy"/>
              <w:spacing w:line="240" w:lineRule="auto"/>
              <w:ind w:right="56"/>
              <w:jc w:val="right"/>
              <w:rPr>
                <w:rFonts w:ascii="Arial" w:hAnsi="Arial" w:cs="Arial"/>
                <w:b/>
              </w:rPr>
            </w:pPr>
            <w:r w:rsidRPr="00AE259B">
              <w:rPr>
                <w:rFonts w:ascii="Arial" w:hAnsi="Arial" w:cs="Arial"/>
                <w:b/>
              </w:rPr>
              <w:t>377,429</w:t>
            </w:r>
          </w:p>
        </w:tc>
        <w:tc>
          <w:tcPr>
            <w:tcW w:w="119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376,191 </w:t>
            </w:r>
          </w:p>
        </w:tc>
        <w:tc>
          <w:tcPr>
            <w:tcW w:w="107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376,191 </w:t>
            </w:r>
          </w:p>
        </w:tc>
      </w:tr>
      <w:tr w:rsidR="008A185A" w:rsidRPr="00AE259B" w:rsidTr="008A185A">
        <w:tc>
          <w:tcPr>
            <w:tcW w:w="7881" w:type="dxa"/>
            <w:gridSpan w:val="5"/>
          </w:tcPr>
          <w:p w:rsidR="008A185A" w:rsidRPr="00AE259B" w:rsidRDefault="008A185A" w:rsidP="008A185A">
            <w:pPr>
              <w:pStyle w:val="Tablecopy"/>
              <w:spacing w:line="240" w:lineRule="auto"/>
              <w:ind w:left="142"/>
              <w:rPr>
                <w:rFonts w:ascii="Arial" w:hAnsi="Arial" w:cs="Arial"/>
              </w:rPr>
            </w:pPr>
            <w:r w:rsidRPr="00AE259B">
              <w:rPr>
                <w:rFonts w:ascii="Arial" w:hAnsi="Arial" w:cs="Arial"/>
              </w:rPr>
              <w:t>(i) Secured by the assets leased.  Finance leases are effectively secured as the rights to the leased assets revert to the lessor in the event of default.</w:t>
            </w:r>
          </w:p>
        </w:tc>
      </w:tr>
    </w:tbl>
    <w:p w:rsidR="008A185A" w:rsidRPr="00AE259B" w:rsidRDefault="008A185A" w:rsidP="008A185A">
      <w:pPr>
        <w:rPr>
          <w:rFonts w:ascii="Arial" w:hAnsi="Arial" w:cs="Arial"/>
          <w:sz w:val="16"/>
          <w:szCs w:val="16"/>
        </w:rPr>
      </w:pPr>
      <w:r w:rsidRPr="00AE259B">
        <w:rPr>
          <w:rFonts w:ascii="Arial" w:hAnsi="Arial" w:cs="Arial"/>
          <w:sz w:val="16"/>
          <w:szCs w:val="16"/>
        </w:rPr>
        <w:t>(a) Maturity analysis of borrowings</w:t>
      </w:r>
      <w:r w:rsidRPr="00AE259B">
        <w:rPr>
          <w:rFonts w:ascii="Arial" w:hAnsi="Arial" w:cs="Arial"/>
          <w:sz w:val="16"/>
          <w:szCs w:val="16"/>
        </w:rPr>
        <w:br/>
        <w:t>Please refer to Note 13(c) for the maturity analysis of borrowings.</w:t>
      </w:r>
    </w:p>
    <w:p w:rsidR="008A185A" w:rsidRPr="00AE259B" w:rsidRDefault="008A185A" w:rsidP="008A185A">
      <w:pPr>
        <w:rPr>
          <w:rFonts w:ascii="Arial" w:hAnsi="Arial" w:cs="Arial"/>
          <w:sz w:val="16"/>
          <w:szCs w:val="16"/>
        </w:rPr>
      </w:pPr>
      <w:r w:rsidRPr="00AE259B">
        <w:rPr>
          <w:rFonts w:ascii="Arial" w:hAnsi="Arial" w:cs="Arial"/>
          <w:sz w:val="16"/>
          <w:szCs w:val="16"/>
        </w:rPr>
        <w:t>(b) Nature and extent of risk arising from borrowings</w:t>
      </w:r>
      <w:r w:rsidRPr="00AE259B">
        <w:rPr>
          <w:rFonts w:ascii="Arial" w:hAnsi="Arial" w:cs="Arial"/>
          <w:sz w:val="16"/>
          <w:szCs w:val="16"/>
        </w:rPr>
        <w:br/>
        <w:t>Please refer to Note 13 for the nature and extent of risks arising from borrowings.</w:t>
      </w:r>
    </w:p>
    <w:p w:rsidR="008A185A" w:rsidRPr="00AE259B" w:rsidRDefault="008A185A" w:rsidP="008A185A">
      <w:pPr>
        <w:rPr>
          <w:rFonts w:ascii="Arial" w:hAnsi="Arial" w:cs="Arial"/>
        </w:rPr>
        <w:sectPr w:rsidR="008A185A" w:rsidRPr="00AE259B" w:rsidSect="008A185A">
          <w:pgSz w:w="11906" w:h="16838"/>
          <w:pgMar w:top="1276" w:right="720" w:bottom="1134" w:left="1843" w:header="720" w:footer="720" w:gutter="0"/>
          <w:cols w:space="720"/>
          <w:noEndnote/>
        </w:sectPr>
      </w:pPr>
    </w:p>
    <w:p w:rsidR="008A185A" w:rsidRPr="00AE259B" w:rsidRDefault="008A185A" w:rsidP="00951FFC">
      <w:pPr>
        <w:pStyle w:val="Heading10"/>
        <w:outlineLvl w:val="0"/>
      </w:pPr>
      <w:bookmarkStart w:id="194" w:name="_Note_13._Provisions"/>
      <w:bookmarkStart w:id="195" w:name="_Toc337471045"/>
      <w:bookmarkStart w:id="196" w:name="_Toc337537811"/>
      <w:bookmarkStart w:id="197" w:name="_Toc337539737"/>
      <w:bookmarkStart w:id="198" w:name="_Toc337707154"/>
      <w:bookmarkStart w:id="199" w:name="_Toc337711262"/>
      <w:bookmarkStart w:id="200" w:name="_Toc366672103"/>
      <w:bookmarkEnd w:id="194"/>
      <w:r w:rsidRPr="00AE259B">
        <w:t>Note 12. Provisions</w:t>
      </w:r>
      <w:bookmarkEnd w:id="195"/>
      <w:bookmarkEnd w:id="196"/>
      <w:bookmarkEnd w:id="197"/>
      <w:bookmarkEnd w:id="198"/>
      <w:bookmarkEnd w:id="199"/>
      <w:bookmarkEnd w:id="20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506"/>
        <w:gridCol w:w="642"/>
        <w:gridCol w:w="1090"/>
        <w:gridCol w:w="1240"/>
        <w:gridCol w:w="1091"/>
      </w:tblGrid>
      <w:tr w:rsidR="008A185A" w:rsidRPr="00AE259B" w:rsidTr="008A185A">
        <w:tc>
          <w:tcPr>
            <w:tcW w:w="2893"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351"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Note</w:t>
            </w:r>
          </w:p>
        </w:tc>
        <w:tc>
          <w:tcPr>
            <w:tcW w:w="585" w:type="pct"/>
            <w:tcBorders>
              <w:bottom w:val="single" w:sz="6" w:space="0" w:color="auto"/>
            </w:tcBorders>
            <w:vAlign w:val="bottom"/>
          </w:tcPr>
          <w:p w:rsidR="008A185A" w:rsidRPr="00AE259B" w:rsidRDefault="008A185A" w:rsidP="008A185A">
            <w:pPr>
              <w:pStyle w:val="TableHeading"/>
              <w:spacing w:before="0" w:after="0" w:line="240" w:lineRule="auto"/>
              <w:ind w:right="127"/>
              <w:rPr>
                <w:rFonts w:ascii="Arial" w:hAnsi="Arial" w:cs="Arial"/>
              </w:rPr>
            </w:pPr>
            <w:r w:rsidRPr="00AE259B">
              <w:rPr>
                <w:rFonts w:ascii="Arial" w:hAnsi="Arial" w:cs="Arial"/>
              </w:rPr>
              <w:t>2013</w:t>
            </w:r>
            <w:r w:rsidRPr="00AE259B">
              <w:rPr>
                <w:rFonts w:ascii="Arial" w:hAnsi="Arial" w:cs="Arial"/>
              </w:rPr>
              <w:br/>
              <w:t>$’000</w:t>
            </w:r>
          </w:p>
        </w:tc>
        <w:tc>
          <w:tcPr>
            <w:tcW w:w="585"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2012</w:t>
            </w:r>
            <w:r w:rsidRPr="00AE259B">
              <w:rPr>
                <w:rFonts w:ascii="Arial" w:hAnsi="Arial" w:cs="Arial"/>
              </w:rPr>
              <w:br/>
              <w:t>$’000</w:t>
            </w:r>
          </w:p>
        </w:tc>
        <w:tc>
          <w:tcPr>
            <w:tcW w:w="586"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2893"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Current provisions</w:t>
            </w:r>
          </w:p>
        </w:tc>
        <w:tc>
          <w:tcPr>
            <w:tcW w:w="35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p>
        </w:tc>
        <w:tc>
          <w:tcPr>
            <w:tcW w:w="585"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6"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Employee benefits – annual leave </w:t>
            </w:r>
            <w:r w:rsidRPr="00AE259B">
              <w:rPr>
                <w:rFonts w:ascii="Arial" w:hAnsi="Arial" w:cs="Arial"/>
                <w:b/>
                <w:vertAlign w:val="superscript"/>
              </w:rPr>
              <w:t>(i)</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Unconditional and expected to settle within 12 months </w:t>
            </w:r>
            <w:r w:rsidRPr="00AE259B">
              <w:rPr>
                <w:rFonts w:ascii="Arial" w:hAnsi="Arial" w:cs="Arial"/>
                <w:vertAlign w:val="superscript"/>
              </w:rPr>
              <w:t>(ii)</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ind w:right="127"/>
              <w:jc w:val="right"/>
              <w:rPr>
                <w:rFonts w:ascii="Arial" w:hAnsi="Arial" w:cs="Arial"/>
              </w:rPr>
            </w:pPr>
            <w:r w:rsidRPr="00AE259B">
              <w:rPr>
                <w:rFonts w:ascii="Arial" w:hAnsi="Arial" w:cs="Arial"/>
              </w:rPr>
              <w:t>2,219</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2,390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2,390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Unconditional and expected to settle after 12 months </w:t>
            </w:r>
            <w:r w:rsidRPr="00AE259B">
              <w:rPr>
                <w:rFonts w:ascii="Arial" w:hAnsi="Arial" w:cs="Arial"/>
                <w:vertAlign w:val="superscript"/>
              </w:rPr>
              <w:t>(iii)</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1,934</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2,168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2,168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Employee benefits – long service leave </w:t>
            </w:r>
            <w:r w:rsidRPr="00AE259B">
              <w:rPr>
                <w:rFonts w:ascii="Arial" w:hAnsi="Arial" w:cs="Arial"/>
                <w:b/>
                <w:vertAlign w:val="superscript"/>
              </w:rPr>
              <w:t>(i)</w:t>
            </w:r>
            <w:r w:rsidRPr="00AE259B">
              <w:rPr>
                <w:rFonts w:ascii="Arial" w:hAnsi="Arial" w:cs="Arial"/>
                <w:b/>
              </w:rPr>
              <w:t xml:space="preserve"> </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Unconditional and expected to settle within 12 months </w:t>
            </w:r>
            <w:r w:rsidRPr="00AE259B">
              <w:rPr>
                <w:rFonts w:ascii="Arial" w:hAnsi="Arial" w:cs="Arial"/>
                <w:vertAlign w:val="superscript"/>
              </w:rPr>
              <w:t>(ii)</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770</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851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851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Unconditional and expected to settle after 12 months </w:t>
            </w:r>
            <w:r w:rsidRPr="00AE259B">
              <w:rPr>
                <w:rFonts w:ascii="Arial" w:hAnsi="Arial" w:cs="Arial"/>
                <w:vertAlign w:val="superscript"/>
              </w:rPr>
              <w:t>(iii)</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3,417</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3,812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3,812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Employee benefits – performance and retention incentive provision </w:t>
            </w:r>
            <w:r w:rsidRPr="00AE259B">
              <w:rPr>
                <w:rFonts w:ascii="Arial" w:hAnsi="Arial" w:cs="Arial"/>
                <w:b/>
                <w:vertAlign w:val="superscript"/>
              </w:rPr>
              <w:t>(i)</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ind w:right="127"/>
              <w:jc w:val="right"/>
              <w:rPr>
                <w:rFonts w:ascii="Arial" w:hAnsi="Arial" w:cs="Arial"/>
              </w:rPr>
            </w:pPr>
            <w:r w:rsidRPr="00AE259B">
              <w:rPr>
                <w:rFonts w:ascii="Arial" w:hAnsi="Arial" w:cs="Arial"/>
              </w:rPr>
              <w:t>878</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370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370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bCs/>
              </w:rPr>
            </w:pPr>
            <w:r w:rsidRPr="00AE259B">
              <w:rPr>
                <w:rFonts w:ascii="Arial" w:hAnsi="Arial" w:cs="Arial"/>
              </w:rPr>
              <w:t>12(a)</w:t>
            </w:r>
          </w:p>
        </w:tc>
        <w:tc>
          <w:tcPr>
            <w:tcW w:w="585" w:type="pct"/>
            <w:shd w:val="pct10" w:color="auto" w:fill="auto"/>
          </w:tcPr>
          <w:p w:rsidR="008A185A" w:rsidRPr="00AE259B" w:rsidRDefault="008A185A" w:rsidP="008A185A">
            <w:pPr>
              <w:pStyle w:val="Tablecopy"/>
              <w:ind w:right="127"/>
              <w:jc w:val="right"/>
              <w:rPr>
                <w:rFonts w:ascii="Arial" w:hAnsi="Arial" w:cs="Arial"/>
                <w:b/>
              </w:rPr>
            </w:pPr>
            <w:r w:rsidRPr="00AE259B">
              <w:rPr>
                <w:rFonts w:ascii="Arial" w:hAnsi="Arial" w:cs="Arial"/>
                <w:b/>
              </w:rPr>
              <w:t>9,218</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9,591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9,591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Provisions related to employee benefit on-costs</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Unconditional and expected to settle within 12 months </w:t>
            </w:r>
            <w:r w:rsidRPr="00AE259B">
              <w:rPr>
                <w:rFonts w:ascii="Arial" w:hAnsi="Arial" w:cs="Arial"/>
                <w:vertAlign w:val="superscript"/>
              </w:rPr>
              <w:t>(ii)</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469</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518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518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Unconditional and expected to settle after 12 months </w:t>
            </w:r>
            <w:r w:rsidRPr="00AE259B">
              <w:rPr>
                <w:rFonts w:ascii="Arial" w:hAnsi="Arial" w:cs="Arial"/>
                <w:vertAlign w:val="superscript"/>
              </w:rPr>
              <w:t>(iii)</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853</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967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967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bCs/>
              </w:rPr>
            </w:pPr>
            <w:r w:rsidRPr="00AE259B">
              <w:rPr>
                <w:rFonts w:ascii="Arial" w:hAnsi="Arial" w:cs="Arial"/>
              </w:rPr>
              <w:t>12(a)</w:t>
            </w: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b/>
              </w:rPr>
            </w:pPr>
            <w:r w:rsidRPr="00AE259B">
              <w:rPr>
                <w:rFonts w:ascii="Arial" w:hAnsi="Arial" w:cs="Arial"/>
                <w:b/>
              </w:rPr>
              <w:t>1,322</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1,485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1,485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Other provisions</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Provision for the employee entitlements of rail operators </w:t>
            </w:r>
            <w:r w:rsidRPr="00AE259B">
              <w:rPr>
                <w:rFonts w:ascii="Arial" w:hAnsi="Arial" w:cs="Arial"/>
                <w:vertAlign w:val="superscript"/>
              </w:rPr>
              <w:t>(iv)</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12(b)</w:t>
            </w: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6,417</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2,398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2,398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Provision for fringe benefits tax</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12(b)</w:t>
            </w: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74</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64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64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Provision for dismantling, removal and restoration of Metcard ticketing system</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12(b)</w:t>
            </w: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21,367</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bCs/>
              </w:rPr>
            </w:pPr>
            <w:r w:rsidRPr="00AE259B">
              <w:rPr>
                <w:rFonts w:ascii="Arial" w:hAnsi="Arial" w:cs="Arial"/>
              </w:rPr>
              <w:t>12(a)</w:t>
            </w: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b/>
              </w:rPr>
            </w:pPr>
            <w:r w:rsidRPr="00AE259B">
              <w:rPr>
                <w:rFonts w:ascii="Arial" w:hAnsi="Arial" w:cs="Arial"/>
                <w:b/>
              </w:rPr>
              <w:t>27,858</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2,462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2,462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current provisions</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b/>
              </w:rPr>
            </w:pPr>
            <w:r w:rsidRPr="00AE259B">
              <w:rPr>
                <w:rFonts w:ascii="Arial" w:hAnsi="Arial" w:cs="Arial"/>
                <w:b/>
              </w:rPr>
              <w:t>38,398</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13,538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13,538 </w:t>
            </w:r>
          </w:p>
        </w:tc>
      </w:tr>
      <w:tr w:rsidR="008A185A" w:rsidRPr="00AE259B" w:rsidTr="008A185A">
        <w:tc>
          <w:tcPr>
            <w:tcW w:w="2893"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Non-current provisions</w:t>
            </w:r>
          </w:p>
        </w:tc>
        <w:tc>
          <w:tcPr>
            <w:tcW w:w="351"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p>
        </w:tc>
        <w:tc>
          <w:tcPr>
            <w:tcW w:w="585"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586" w:type="pct"/>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Employee benefits and related on-costs</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Employee benefits </w:t>
            </w:r>
            <w:r w:rsidRPr="00AE259B">
              <w:rPr>
                <w:rFonts w:ascii="Arial" w:hAnsi="Arial" w:cs="Arial"/>
                <w:vertAlign w:val="superscript"/>
              </w:rPr>
              <w:t>(v)</w:t>
            </w:r>
            <w:r w:rsidRPr="00AE259B">
              <w:rPr>
                <w:rFonts w:ascii="Arial" w:hAnsi="Arial" w:cs="Arial"/>
              </w:rPr>
              <w:t xml:space="preserve"> </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12(a)</w:t>
            </w: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1,676</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2,124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2,124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Employee benefits on-costs</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12(a)</w:t>
            </w: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258</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329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329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b/>
              </w:rPr>
            </w:pPr>
            <w:r w:rsidRPr="00AE259B">
              <w:rPr>
                <w:rFonts w:ascii="Arial" w:hAnsi="Arial" w:cs="Arial"/>
                <w:b/>
              </w:rPr>
              <w:t>1,934</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2,453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2,453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Other provisions</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Provision for employee entitlements of rail operators </w:t>
            </w:r>
            <w:r w:rsidRPr="00AE259B">
              <w:rPr>
                <w:rFonts w:ascii="Arial" w:hAnsi="Arial" w:cs="Arial"/>
                <w:vertAlign w:val="superscript"/>
              </w:rPr>
              <w:t>(iv)</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12(b)</w:t>
            </w: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290,943</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275,175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275,175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Provision for train replacement</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12(b)</w:t>
            </w: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rPr>
            </w:pPr>
            <w:r w:rsidRPr="00AE259B">
              <w:rPr>
                <w:rFonts w:ascii="Arial" w:hAnsi="Arial" w:cs="Arial"/>
              </w:rPr>
              <w:t>10,173</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b/>
              </w:rPr>
            </w:pPr>
            <w:r w:rsidRPr="00AE259B">
              <w:rPr>
                <w:rFonts w:ascii="Arial" w:hAnsi="Arial" w:cs="Arial"/>
                <w:b/>
              </w:rPr>
              <w:t>301,116</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275,175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275,175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non-current provisions</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spacing w:line="240" w:lineRule="auto"/>
              <w:ind w:right="127"/>
              <w:jc w:val="right"/>
              <w:rPr>
                <w:rFonts w:ascii="Arial" w:hAnsi="Arial" w:cs="Arial"/>
                <w:b/>
              </w:rPr>
            </w:pPr>
            <w:r w:rsidRPr="00AE259B">
              <w:rPr>
                <w:rFonts w:ascii="Arial" w:hAnsi="Arial" w:cs="Arial"/>
                <w:b/>
              </w:rPr>
              <w:t>303,050</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277,628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277,628 </w:t>
            </w:r>
          </w:p>
        </w:tc>
      </w:tr>
      <w:tr w:rsidR="008A185A" w:rsidRPr="00AE259B" w:rsidTr="008A185A">
        <w:tc>
          <w:tcPr>
            <w:tcW w:w="289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provisions</w:t>
            </w:r>
          </w:p>
        </w:tc>
        <w:tc>
          <w:tcPr>
            <w:tcW w:w="35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585" w:type="pct"/>
            <w:shd w:val="pct10" w:color="auto" w:fill="auto"/>
          </w:tcPr>
          <w:p w:rsidR="008A185A" w:rsidRPr="00AE259B" w:rsidRDefault="008A185A" w:rsidP="008A185A">
            <w:pPr>
              <w:pStyle w:val="Tablecopy"/>
              <w:ind w:right="127"/>
              <w:jc w:val="right"/>
              <w:rPr>
                <w:rFonts w:ascii="Arial" w:hAnsi="Arial" w:cs="Arial"/>
                <w:b/>
              </w:rPr>
            </w:pPr>
            <w:r w:rsidRPr="00AE259B">
              <w:rPr>
                <w:rFonts w:ascii="Arial" w:hAnsi="Arial" w:cs="Arial"/>
                <w:b/>
              </w:rPr>
              <w:t>341,448</w:t>
            </w:r>
          </w:p>
        </w:tc>
        <w:tc>
          <w:tcPr>
            <w:tcW w:w="585"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291,166 </w:t>
            </w:r>
          </w:p>
        </w:tc>
        <w:tc>
          <w:tcPr>
            <w:tcW w:w="586"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291,166 </w:t>
            </w:r>
          </w:p>
        </w:tc>
      </w:tr>
      <w:tr w:rsidR="008A185A" w:rsidRPr="00AE259B" w:rsidTr="008A185A">
        <w:tc>
          <w:tcPr>
            <w:tcW w:w="5000" w:type="pct"/>
            <w:gridSpan w:val="5"/>
          </w:tcPr>
          <w:p w:rsidR="008A185A" w:rsidRPr="00AE259B" w:rsidRDefault="008A185A" w:rsidP="008A185A">
            <w:pPr>
              <w:pStyle w:val="Tablecopy"/>
              <w:spacing w:line="240" w:lineRule="auto"/>
              <w:ind w:left="113"/>
              <w:rPr>
                <w:rFonts w:ascii="Arial" w:hAnsi="Arial" w:cs="Arial"/>
              </w:rPr>
            </w:pPr>
            <w:r w:rsidRPr="00AE259B">
              <w:rPr>
                <w:rFonts w:ascii="Arial" w:hAnsi="Arial" w:cs="Arial"/>
              </w:rPr>
              <w:t xml:space="preserve">(i) </w:t>
            </w:r>
            <w:r w:rsidRPr="00AE259B">
              <w:rPr>
                <w:rFonts w:ascii="Arial" w:hAnsi="Arial" w:cs="Arial"/>
              </w:rPr>
              <w:tab/>
              <w:t>Provisions for employee benefits consist of amounts for annual leave, long service leave, performance and retention incentive payments accrued by employees, not including on-costs.</w:t>
            </w:r>
          </w:p>
          <w:p w:rsidR="008A185A" w:rsidRPr="00AE259B" w:rsidRDefault="008A185A" w:rsidP="008A185A">
            <w:pPr>
              <w:pStyle w:val="Tablecopy"/>
              <w:spacing w:line="240" w:lineRule="auto"/>
              <w:ind w:left="113"/>
              <w:rPr>
                <w:rFonts w:ascii="Arial" w:hAnsi="Arial" w:cs="Arial"/>
              </w:rPr>
            </w:pPr>
            <w:r w:rsidRPr="00AE259B">
              <w:rPr>
                <w:rFonts w:ascii="Arial" w:hAnsi="Arial" w:cs="Arial"/>
              </w:rPr>
              <w:t>(ii) The amounts disclosed are nominal amounts.</w:t>
            </w:r>
          </w:p>
          <w:p w:rsidR="008A185A" w:rsidRPr="00AE259B" w:rsidRDefault="008A185A" w:rsidP="008A185A">
            <w:pPr>
              <w:pStyle w:val="Tablecopy"/>
              <w:spacing w:line="240" w:lineRule="auto"/>
              <w:ind w:left="113"/>
              <w:rPr>
                <w:rFonts w:ascii="Arial" w:hAnsi="Arial" w:cs="Arial"/>
              </w:rPr>
            </w:pPr>
            <w:r w:rsidRPr="00AE259B">
              <w:rPr>
                <w:rFonts w:ascii="Arial" w:hAnsi="Arial" w:cs="Arial"/>
              </w:rPr>
              <w:t xml:space="preserve">(iii) The amounts disclosed are discounted to present values. </w:t>
            </w:r>
          </w:p>
          <w:p w:rsidR="008A185A" w:rsidRPr="00AE259B" w:rsidRDefault="008A185A" w:rsidP="008A185A">
            <w:pPr>
              <w:pStyle w:val="Tablecopy"/>
              <w:spacing w:line="240" w:lineRule="auto"/>
              <w:ind w:left="113"/>
              <w:rPr>
                <w:rFonts w:ascii="Arial" w:hAnsi="Arial" w:cs="Arial"/>
              </w:rPr>
            </w:pPr>
            <w:r w:rsidRPr="00AE259B">
              <w:rPr>
                <w:rFonts w:ascii="Arial" w:hAnsi="Arial" w:cs="Arial"/>
              </w:rPr>
              <w:t xml:space="preserve">(iv) </w:t>
            </w:r>
            <w:r w:rsidRPr="00AE259B">
              <w:rPr>
                <w:rFonts w:ascii="Arial" w:hAnsi="Arial" w:cs="Arial"/>
              </w:rPr>
              <w:tab/>
              <w:t xml:space="preserve">The State provides a guarantee for the employee entitlements of the employees of the public transport operators. </w:t>
            </w:r>
          </w:p>
          <w:p w:rsidR="008A185A" w:rsidRPr="00AE259B" w:rsidRDefault="008A185A" w:rsidP="008A185A">
            <w:pPr>
              <w:pStyle w:val="Tablecopy"/>
              <w:spacing w:line="240" w:lineRule="auto"/>
              <w:ind w:left="113"/>
              <w:rPr>
                <w:rFonts w:ascii="Arial" w:hAnsi="Arial" w:cs="Arial"/>
              </w:rPr>
            </w:pPr>
            <w:r w:rsidRPr="00AE259B">
              <w:rPr>
                <w:rFonts w:ascii="Arial" w:hAnsi="Arial" w:cs="Arial"/>
              </w:rPr>
              <w:t xml:space="preserve">(v) </w:t>
            </w:r>
            <w:r w:rsidRPr="00AE259B">
              <w:rPr>
                <w:rFonts w:ascii="Arial" w:hAnsi="Arial" w:cs="Arial"/>
              </w:rPr>
              <w:tab/>
              <w:t>The amounts disclosed represents long service leave entitlements for employees with less than seven years of continuous service discounted to present value.</w:t>
            </w:r>
          </w:p>
        </w:tc>
      </w:tr>
    </w:tbl>
    <w:p w:rsidR="008A185A" w:rsidRPr="00AE259B" w:rsidRDefault="008A185A" w:rsidP="008A185A">
      <w:pPr>
        <w:pStyle w:val="Heading3"/>
        <w:rPr>
          <w:rFonts w:ascii="Arial" w:hAnsi="Arial" w:cs="Arial"/>
        </w:rPr>
        <w:sectPr w:rsidR="008A185A" w:rsidRPr="00AE259B" w:rsidSect="008A185A">
          <w:pgSz w:w="11906" w:h="16838"/>
          <w:pgMar w:top="1276" w:right="720" w:bottom="1134" w:left="1843" w:header="720" w:footer="720" w:gutter="0"/>
          <w:cols w:space="720"/>
          <w:noEndnote/>
        </w:sectPr>
      </w:pPr>
    </w:p>
    <w:p w:rsidR="008A185A" w:rsidRPr="00AE259B" w:rsidRDefault="008A185A" w:rsidP="00B11D08">
      <w:pPr>
        <w:pStyle w:val="Heading20"/>
      </w:pPr>
      <w:r w:rsidRPr="00AE259B">
        <w:t>(a)</w:t>
      </w:r>
      <w:r w:rsidRPr="00AE259B">
        <w:tab/>
        <w:t>Employee benefits and related on-costs</w:t>
      </w:r>
    </w:p>
    <w:tbl>
      <w:tblPr>
        <w:tblW w:w="5000" w:type="pct"/>
        <w:tblCellMar>
          <w:left w:w="0" w:type="dxa"/>
          <w:right w:w="0" w:type="dxa"/>
        </w:tblCellMar>
        <w:tblLook w:val="0000" w:firstRow="0" w:lastRow="0" w:firstColumn="0" w:lastColumn="0" w:noHBand="0" w:noVBand="0"/>
      </w:tblPr>
      <w:tblGrid>
        <w:gridCol w:w="5583"/>
        <w:gridCol w:w="1328"/>
        <w:gridCol w:w="1328"/>
        <w:gridCol w:w="1330"/>
      </w:tblGrid>
      <w:tr w:rsidR="008A185A" w:rsidRPr="00AE259B" w:rsidTr="008A185A">
        <w:trPr>
          <w:trHeight w:val="786"/>
        </w:trPr>
        <w:tc>
          <w:tcPr>
            <w:tcW w:w="2917" w:type="pct"/>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694" w:type="pct"/>
            <w:tcBorders>
              <w:top w:val="single" w:sz="2" w:space="0" w:color="auto"/>
              <w:left w:val="single" w:sz="2" w:space="0" w:color="auto"/>
              <w:bottom w:val="single" w:sz="2" w:space="0" w:color="auto"/>
              <w:right w:val="single" w:sz="2" w:space="0" w:color="auto"/>
            </w:tcBorders>
            <w:vAlign w:val="bottom"/>
          </w:tcPr>
          <w:p w:rsidR="008A185A" w:rsidRPr="00AE259B" w:rsidRDefault="008A185A" w:rsidP="008A185A">
            <w:pPr>
              <w:pStyle w:val="TableHeading"/>
              <w:spacing w:before="0" w:after="0" w:line="240" w:lineRule="auto"/>
              <w:ind w:right="135"/>
              <w:rPr>
                <w:rFonts w:ascii="Arial" w:hAnsi="Arial" w:cs="Arial"/>
              </w:rPr>
            </w:pPr>
            <w:r w:rsidRPr="00AE259B">
              <w:rPr>
                <w:rFonts w:ascii="Arial" w:hAnsi="Arial" w:cs="Arial"/>
              </w:rPr>
              <w:t>2013</w:t>
            </w:r>
            <w:r w:rsidRPr="00AE259B">
              <w:rPr>
                <w:rFonts w:ascii="Arial" w:hAnsi="Arial" w:cs="Arial"/>
              </w:rPr>
              <w:br/>
              <w:t>$’000</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2012</w:t>
            </w:r>
            <w:r w:rsidRPr="00AE259B">
              <w:rPr>
                <w:rFonts w:ascii="Arial" w:hAnsi="Arial" w:cs="Arial"/>
              </w:rPr>
              <w:br/>
              <w:t>$’000</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Current provisions for employee benefits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69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95"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Annual leave entitlements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ind w:right="135"/>
              <w:jc w:val="right"/>
              <w:rPr>
                <w:rFonts w:ascii="Arial" w:hAnsi="Arial" w:cs="Arial"/>
              </w:rPr>
            </w:pPr>
            <w:r w:rsidRPr="00AE259B">
              <w:rPr>
                <w:rFonts w:ascii="Arial" w:hAnsi="Arial" w:cs="Arial"/>
              </w:rPr>
              <w:t>4,153</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4,558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4,558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Unconditional long service leave entitlements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ind w:right="135"/>
              <w:jc w:val="right"/>
              <w:rPr>
                <w:rFonts w:ascii="Arial" w:hAnsi="Arial" w:cs="Arial"/>
              </w:rPr>
            </w:pPr>
            <w:r w:rsidRPr="00AE259B">
              <w:rPr>
                <w:rFonts w:ascii="Arial" w:hAnsi="Arial" w:cs="Arial"/>
              </w:rPr>
              <w:t>4,187</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4,663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4,663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Fringe benefits tax</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74</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64</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64</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Accrued performance and retention incentive </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ind w:right="135"/>
              <w:jc w:val="right"/>
              <w:rPr>
                <w:rFonts w:ascii="Arial" w:hAnsi="Arial" w:cs="Arial"/>
              </w:rPr>
            </w:pPr>
            <w:r w:rsidRPr="00AE259B">
              <w:rPr>
                <w:rFonts w:ascii="Arial" w:hAnsi="Arial" w:cs="Arial"/>
              </w:rPr>
              <w:t>878</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370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370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Provision for the employee entitlements of rail operators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6,417</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2,398</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2,398</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current provisions for employee benefits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ind w:right="135"/>
              <w:jc w:val="right"/>
              <w:rPr>
                <w:rFonts w:ascii="Arial" w:hAnsi="Arial" w:cs="Arial"/>
                <w:b/>
              </w:rPr>
            </w:pPr>
            <w:r w:rsidRPr="00AE259B">
              <w:rPr>
                <w:rFonts w:ascii="Arial" w:hAnsi="Arial" w:cs="Arial"/>
                <w:b/>
              </w:rPr>
              <w:t>15,709</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12,053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12,053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Non-current provisions for employee benefits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69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95"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Conditional long service leave entitlements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1,676</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2,124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2,124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rPr>
              <w:t>Provision for the employee entitlements of rail operators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290,943</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275,175</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275,175</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non-current provisions for employee benefits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b/>
              </w:rPr>
            </w:pPr>
            <w:r w:rsidRPr="00AE259B">
              <w:rPr>
                <w:rFonts w:ascii="Arial" w:hAnsi="Arial" w:cs="Arial"/>
                <w:b/>
              </w:rPr>
              <w:t>292,619</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277,299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277,299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employee benefits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b/>
              </w:rPr>
            </w:pPr>
            <w:r w:rsidRPr="00AE259B">
              <w:rPr>
                <w:rFonts w:ascii="Arial" w:hAnsi="Arial" w:cs="Arial"/>
                <w:b/>
              </w:rPr>
              <w:t>308,328</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289,352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289,352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On-costs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694"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695" w:type="pct"/>
            <w:tcBorders>
              <w:top w:val="single" w:sz="2" w:space="0" w:color="auto"/>
              <w:left w:val="single" w:sz="2" w:space="0" w:color="auto"/>
              <w:bottom w:val="single" w:sz="2" w:space="0" w:color="auto"/>
              <w:right w:val="single" w:sz="2" w:space="0" w:color="auto"/>
            </w:tcBorders>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Current on-costs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1,322</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1,485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1,485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Non-current on-costs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258</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329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329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on-costs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b/>
              </w:rPr>
            </w:pPr>
            <w:r w:rsidRPr="00AE259B">
              <w:rPr>
                <w:rFonts w:ascii="Arial" w:hAnsi="Arial" w:cs="Arial"/>
                <w:b/>
              </w:rPr>
              <w:t>1,580</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1,814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1,814 </w:t>
            </w:r>
          </w:p>
        </w:tc>
      </w:tr>
      <w:tr w:rsidR="008A185A" w:rsidRPr="00AE259B" w:rsidTr="008A185A">
        <w:tc>
          <w:tcPr>
            <w:tcW w:w="291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employee benefits provisions and related on-costs</w:t>
            </w:r>
          </w:p>
        </w:tc>
        <w:tc>
          <w:tcPr>
            <w:tcW w:w="694"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ind w:right="135"/>
              <w:jc w:val="right"/>
              <w:rPr>
                <w:rFonts w:ascii="Arial" w:hAnsi="Arial" w:cs="Arial"/>
                <w:b/>
              </w:rPr>
            </w:pPr>
            <w:r w:rsidRPr="00AE259B">
              <w:rPr>
                <w:rFonts w:ascii="Arial" w:hAnsi="Arial" w:cs="Arial"/>
                <w:b/>
              </w:rPr>
              <w:t>309,908</w:t>
            </w:r>
          </w:p>
        </w:tc>
        <w:tc>
          <w:tcPr>
            <w:tcW w:w="694"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291,166 </w:t>
            </w:r>
          </w:p>
        </w:tc>
        <w:tc>
          <w:tcPr>
            <w:tcW w:w="695"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291,166 </w:t>
            </w:r>
          </w:p>
        </w:tc>
      </w:tr>
    </w:tbl>
    <w:p w:rsidR="008A185A" w:rsidRPr="00AE259B" w:rsidRDefault="008A185A" w:rsidP="008A185A">
      <w:pPr>
        <w:pStyle w:val="Heading3"/>
        <w:rPr>
          <w:rFonts w:ascii="Arial" w:hAnsi="Arial" w:cs="Arial"/>
        </w:rPr>
        <w:sectPr w:rsidR="008A185A" w:rsidRPr="00AE259B" w:rsidSect="008A185A">
          <w:pgSz w:w="11906" w:h="16838"/>
          <w:pgMar w:top="1276" w:right="720" w:bottom="1134" w:left="1843" w:header="720" w:footer="720" w:gutter="0"/>
          <w:cols w:space="720"/>
          <w:noEndnote/>
        </w:sectPr>
      </w:pPr>
    </w:p>
    <w:p w:rsidR="008A185A" w:rsidRPr="00AE259B" w:rsidRDefault="008A185A" w:rsidP="00B11D08">
      <w:pPr>
        <w:pStyle w:val="Heading20"/>
      </w:pPr>
      <w:r w:rsidRPr="00AE259B">
        <w:t>(b)</w:t>
      </w:r>
      <w:r w:rsidRPr="00AE259B">
        <w:tab/>
        <w:t>Movement in provisions</w:t>
      </w:r>
    </w:p>
    <w:tbl>
      <w:tblPr>
        <w:tblW w:w="51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36"/>
        <w:gridCol w:w="881"/>
        <w:gridCol w:w="1092"/>
        <w:gridCol w:w="869"/>
        <w:gridCol w:w="980"/>
        <w:gridCol w:w="1074"/>
        <w:gridCol w:w="1090"/>
        <w:gridCol w:w="727"/>
        <w:gridCol w:w="805"/>
      </w:tblGrid>
      <w:tr w:rsidR="008A185A" w:rsidRPr="00AE259B" w:rsidTr="008A185A">
        <w:tc>
          <w:tcPr>
            <w:tcW w:w="1168" w:type="pct"/>
            <w:shd w:val="clear" w:color="auto" w:fill="auto"/>
            <w:tcMar>
              <w:top w:w="57" w:type="dxa"/>
              <w:left w:w="0" w:type="dxa"/>
              <w:bottom w:w="85" w:type="dxa"/>
              <w:right w:w="113" w:type="dxa"/>
            </w:tcMar>
            <w:vAlign w:val="bottom"/>
          </w:tcPr>
          <w:p w:rsidR="008A185A" w:rsidRPr="00AE259B" w:rsidRDefault="008A185A" w:rsidP="008A185A">
            <w:pPr>
              <w:pStyle w:val="TableHeading"/>
              <w:rPr>
                <w:rFonts w:ascii="Arial" w:hAnsi="Arial" w:cs="Arial"/>
              </w:rPr>
            </w:pPr>
          </w:p>
        </w:tc>
        <w:tc>
          <w:tcPr>
            <w:tcW w:w="517" w:type="pct"/>
            <w:shd w:val="clear" w:color="auto" w:fill="auto"/>
            <w:tcMar>
              <w:top w:w="57" w:type="dxa"/>
              <w:left w:w="0"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Employee</w:t>
            </w:r>
            <w:r w:rsidRPr="00AE259B">
              <w:rPr>
                <w:rFonts w:ascii="Arial" w:hAnsi="Arial" w:cs="Arial"/>
              </w:rPr>
              <w:br/>
              <w:t>benefits</w:t>
            </w:r>
          </w:p>
          <w:p w:rsidR="008A185A" w:rsidRPr="00AE259B" w:rsidRDefault="008A185A" w:rsidP="008A185A">
            <w:pPr>
              <w:pStyle w:val="TableHeading"/>
              <w:rPr>
                <w:rFonts w:ascii="Arial" w:hAnsi="Arial" w:cs="Arial"/>
              </w:rPr>
            </w:pPr>
            <w:r w:rsidRPr="00AE259B">
              <w:rPr>
                <w:rFonts w:ascii="Arial" w:hAnsi="Arial" w:cs="Arial"/>
              </w:rPr>
              <w:t>$’000</w:t>
            </w:r>
          </w:p>
        </w:tc>
        <w:tc>
          <w:tcPr>
            <w:tcW w:w="503" w:type="pct"/>
            <w:shd w:val="clear" w:color="auto" w:fill="auto"/>
            <w:tcMar>
              <w:top w:w="57" w:type="dxa"/>
              <w:left w:w="0"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Performance and retention incentive</w:t>
            </w:r>
            <w:r w:rsidRPr="00AE259B">
              <w:rPr>
                <w:rFonts w:ascii="Arial" w:hAnsi="Arial" w:cs="Arial"/>
              </w:rPr>
              <w:br/>
              <w:t>provision</w:t>
            </w:r>
          </w:p>
          <w:p w:rsidR="008A185A" w:rsidRPr="00AE259B" w:rsidRDefault="008A185A" w:rsidP="008A185A">
            <w:pPr>
              <w:pStyle w:val="TableHeading"/>
              <w:rPr>
                <w:rFonts w:ascii="Arial" w:hAnsi="Arial" w:cs="Arial"/>
              </w:rPr>
            </w:pPr>
            <w:r w:rsidRPr="00AE259B">
              <w:rPr>
                <w:rFonts w:ascii="Arial" w:hAnsi="Arial" w:cs="Arial"/>
              </w:rPr>
              <w:t>$’000</w:t>
            </w:r>
          </w:p>
        </w:tc>
        <w:tc>
          <w:tcPr>
            <w:tcW w:w="399" w:type="pct"/>
            <w:shd w:val="clear" w:color="auto" w:fill="auto"/>
            <w:tcMar>
              <w:top w:w="57" w:type="dxa"/>
              <w:left w:w="0"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Employee</w:t>
            </w:r>
            <w:r w:rsidRPr="00AE259B">
              <w:rPr>
                <w:rFonts w:ascii="Arial" w:hAnsi="Arial" w:cs="Arial"/>
              </w:rPr>
              <w:br/>
              <w:t>benefits</w:t>
            </w:r>
            <w:r w:rsidRPr="00AE259B">
              <w:rPr>
                <w:rFonts w:ascii="Arial" w:hAnsi="Arial" w:cs="Arial"/>
              </w:rPr>
              <w:br/>
              <w:t>on-costs</w:t>
            </w:r>
          </w:p>
          <w:p w:rsidR="008A185A" w:rsidRPr="00AE259B" w:rsidRDefault="008A185A" w:rsidP="008A185A">
            <w:pPr>
              <w:pStyle w:val="TableHeading"/>
              <w:rPr>
                <w:rFonts w:ascii="Arial" w:hAnsi="Arial" w:cs="Arial"/>
              </w:rPr>
            </w:pPr>
            <w:r w:rsidRPr="00AE259B">
              <w:rPr>
                <w:rFonts w:ascii="Arial" w:hAnsi="Arial" w:cs="Arial"/>
              </w:rPr>
              <w:t>$’000</w:t>
            </w:r>
          </w:p>
        </w:tc>
        <w:tc>
          <w:tcPr>
            <w:tcW w:w="568" w:type="pct"/>
            <w:shd w:val="clear" w:color="auto" w:fill="auto"/>
            <w:tcMar>
              <w:top w:w="57" w:type="dxa"/>
              <w:left w:w="0"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Rail operators’</w:t>
            </w:r>
            <w:r w:rsidRPr="00AE259B">
              <w:rPr>
                <w:rFonts w:ascii="Arial" w:hAnsi="Arial" w:cs="Arial"/>
              </w:rPr>
              <w:br/>
              <w:t>employee</w:t>
            </w:r>
            <w:r w:rsidRPr="00AE259B">
              <w:rPr>
                <w:rFonts w:ascii="Arial" w:hAnsi="Arial" w:cs="Arial"/>
              </w:rPr>
              <w:br/>
              <w:t>benefits</w:t>
            </w:r>
          </w:p>
          <w:p w:rsidR="008A185A" w:rsidRPr="00AE259B" w:rsidRDefault="008A185A" w:rsidP="008A185A">
            <w:pPr>
              <w:pStyle w:val="TableHeading"/>
              <w:rPr>
                <w:rFonts w:ascii="Arial" w:hAnsi="Arial" w:cs="Arial"/>
              </w:rPr>
            </w:pPr>
            <w:r w:rsidRPr="00AE259B">
              <w:rPr>
                <w:rFonts w:ascii="Arial" w:hAnsi="Arial" w:cs="Arial"/>
              </w:rPr>
              <w:t>$’000</w:t>
            </w:r>
          </w:p>
        </w:tc>
        <w:tc>
          <w:tcPr>
            <w:tcW w:w="492" w:type="pct"/>
            <w:shd w:val="clear" w:color="auto" w:fill="auto"/>
            <w:tcMar>
              <w:top w:w="57" w:type="dxa"/>
              <w:left w:w="0"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Dismantling,</w:t>
            </w:r>
            <w:r w:rsidRPr="00AE259B">
              <w:rPr>
                <w:rFonts w:ascii="Arial" w:hAnsi="Arial" w:cs="Arial"/>
              </w:rPr>
              <w:br/>
              <w:t>removal and</w:t>
            </w:r>
            <w:r w:rsidRPr="00AE259B">
              <w:rPr>
                <w:rFonts w:ascii="Arial" w:hAnsi="Arial" w:cs="Arial"/>
              </w:rPr>
              <w:br/>
              <w:t>restoration of Metcard ticketing system</w:t>
            </w:r>
          </w:p>
          <w:p w:rsidR="008A185A" w:rsidRPr="00AE259B" w:rsidRDefault="008A185A" w:rsidP="008A185A">
            <w:pPr>
              <w:pStyle w:val="TableHeading"/>
              <w:rPr>
                <w:rFonts w:ascii="Arial" w:hAnsi="Arial" w:cs="Arial"/>
              </w:rPr>
            </w:pPr>
            <w:r w:rsidRPr="00AE259B">
              <w:rPr>
                <w:rFonts w:ascii="Arial" w:hAnsi="Arial" w:cs="Arial"/>
              </w:rPr>
              <w:t>$’000</w:t>
            </w:r>
          </w:p>
        </w:tc>
        <w:tc>
          <w:tcPr>
            <w:tcW w:w="540" w:type="pct"/>
            <w:vAlign w:val="bottom"/>
          </w:tcPr>
          <w:p w:rsidR="008A185A" w:rsidRPr="00AE259B" w:rsidRDefault="008A185A" w:rsidP="008A185A">
            <w:pPr>
              <w:pStyle w:val="TableHeading"/>
              <w:ind w:right="142"/>
              <w:rPr>
                <w:rFonts w:ascii="Arial" w:hAnsi="Arial" w:cs="Arial"/>
              </w:rPr>
            </w:pPr>
            <w:r w:rsidRPr="00AE259B">
              <w:rPr>
                <w:rFonts w:ascii="Arial" w:hAnsi="Arial" w:cs="Arial"/>
              </w:rPr>
              <w:t>Train replacement</w:t>
            </w:r>
          </w:p>
          <w:p w:rsidR="008A185A" w:rsidRPr="00AE259B" w:rsidRDefault="008A185A" w:rsidP="008A185A">
            <w:pPr>
              <w:pStyle w:val="TableHeading"/>
              <w:ind w:right="142"/>
              <w:rPr>
                <w:rFonts w:ascii="Arial" w:hAnsi="Arial" w:cs="Arial"/>
              </w:rPr>
            </w:pPr>
            <w:r w:rsidRPr="00AE259B">
              <w:rPr>
                <w:rFonts w:ascii="Arial" w:hAnsi="Arial" w:cs="Arial"/>
              </w:rPr>
              <w:t>$’000</w:t>
            </w:r>
          </w:p>
        </w:tc>
        <w:tc>
          <w:tcPr>
            <w:tcW w:w="340" w:type="pct"/>
            <w:shd w:val="clear" w:color="auto" w:fill="auto"/>
            <w:tcMar>
              <w:top w:w="57" w:type="dxa"/>
              <w:left w:w="0"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Fringe</w:t>
            </w:r>
            <w:r w:rsidRPr="00AE259B">
              <w:rPr>
                <w:rFonts w:ascii="Arial" w:hAnsi="Arial" w:cs="Arial"/>
              </w:rPr>
              <w:br/>
              <w:t>benefits</w:t>
            </w:r>
            <w:r w:rsidRPr="00AE259B">
              <w:rPr>
                <w:rFonts w:ascii="Arial" w:hAnsi="Arial" w:cs="Arial"/>
              </w:rPr>
              <w:br/>
              <w:t>tax</w:t>
            </w:r>
          </w:p>
          <w:p w:rsidR="008A185A" w:rsidRPr="00AE259B" w:rsidRDefault="008A185A" w:rsidP="008A185A">
            <w:pPr>
              <w:pStyle w:val="TableHeading"/>
              <w:rPr>
                <w:rFonts w:ascii="Arial" w:hAnsi="Arial" w:cs="Arial"/>
              </w:rPr>
            </w:pPr>
            <w:r w:rsidRPr="00AE259B">
              <w:rPr>
                <w:rFonts w:ascii="Arial" w:hAnsi="Arial" w:cs="Arial"/>
              </w:rPr>
              <w:t>$’000</w:t>
            </w:r>
          </w:p>
        </w:tc>
        <w:tc>
          <w:tcPr>
            <w:tcW w:w="474" w:type="pct"/>
            <w:tcBorders>
              <w:bottom w:val="single" w:sz="2" w:space="0" w:color="auto"/>
            </w:tcBorders>
            <w:shd w:val="clear" w:color="auto" w:fill="auto"/>
            <w:tcMar>
              <w:top w:w="57" w:type="dxa"/>
              <w:left w:w="0"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Total</w:t>
            </w:r>
          </w:p>
          <w:p w:rsidR="008A185A" w:rsidRPr="00AE259B" w:rsidRDefault="008A185A" w:rsidP="008A185A">
            <w:pPr>
              <w:pStyle w:val="TableHeading"/>
              <w:rPr>
                <w:rFonts w:ascii="Arial" w:hAnsi="Arial" w:cs="Arial"/>
              </w:rPr>
            </w:pPr>
            <w:r w:rsidRPr="00AE259B">
              <w:rPr>
                <w:rFonts w:ascii="Arial" w:hAnsi="Arial" w:cs="Arial"/>
              </w:rPr>
              <w:t>$’000</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Consolidated</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40" w:type="pct"/>
            <w:vAlign w:val="bottom"/>
          </w:tcPr>
          <w:p w:rsidR="008A185A" w:rsidRPr="00AE259B" w:rsidRDefault="008A185A" w:rsidP="008A185A">
            <w:pPr>
              <w:pStyle w:val="Tablecopy"/>
              <w:ind w:right="142"/>
              <w:jc w:val="right"/>
              <w:rPr>
                <w:rFonts w:ascii="Arial" w:hAnsi="Arial" w:cs="Arial"/>
                <w:b/>
              </w:rPr>
            </w:pP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Opening balance at 15 December 2011</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40" w:type="pct"/>
            <w:vAlign w:val="center"/>
          </w:tcPr>
          <w:p w:rsidR="008A185A" w:rsidRPr="00AE259B" w:rsidRDefault="008A185A" w:rsidP="008A185A">
            <w:pPr>
              <w:pStyle w:val="Tablecopy"/>
              <w:ind w:right="142"/>
              <w:jc w:val="right"/>
              <w:rPr>
                <w:rFonts w:ascii="Arial" w:hAnsi="Arial" w:cs="Arial"/>
                <w:b/>
              </w:rPr>
            </w:pPr>
            <w:r w:rsidRPr="00AE259B">
              <w:rPr>
                <w:rFonts w:ascii="Arial" w:hAnsi="Arial" w:cs="Arial"/>
                <w:b/>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Additional provisions recognised</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11,020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370</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1,763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277,573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vAlign w:val="center"/>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64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290,790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Unwinding of discount and effect of changes in the discount rate</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325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51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vAlign w:val="center"/>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376 </w:t>
            </w:r>
          </w:p>
        </w:tc>
      </w:tr>
      <w:tr w:rsidR="008A185A" w:rsidRPr="00AE259B" w:rsidTr="008A185A">
        <w:tc>
          <w:tcPr>
            <w:tcW w:w="1168" w:type="pct"/>
            <w:shd w:val="clear" w:color="auto" w:fill="auto"/>
            <w:tcMar>
              <w:top w:w="0" w:type="dxa"/>
              <w:left w:w="113" w:type="dxa"/>
              <w:bottom w:w="0"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 xml:space="preserve">Closing balance at </w:t>
            </w:r>
            <w:r w:rsidRPr="00AE259B">
              <w:rPr>
                <w:rFonts w:ascii="Arial" w:hAnsi="Arial" w:cs="Arial"/>
                <w:b/>
              </w:rPr>
              <w:br/>
              <w:t>30 June 2012</w:t>
            </w:r>
          </w:p>
        </w:tc>
        <w:tc>
          <w:tcPr>
            <w:tcW w:w="517"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11,345 </w:t>
            </w:r>
          </w:p>
        </w:tc>
        <w:tc>
          <w:tcPr>
            <w:tcW w:w="503"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370 </w:t>
            </w:r>
          </w:p>
        </w:tc>
        <w:tc>
          <w:tcPr>
            <w:tcW w:w="399"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1,814 </w:t>
            </w:r>
          </w:p>
        </w:tc>
        <w:tc>
          <w:tcPr>
            <w:tcW w:w="568"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277,573 </w:t>
            </w:r>
          </w:p>
        </w:tc>
        <w:tc>
          <w:tcPr>
            <w:tcW w:w="492"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40" w:type="pct"/>
            <w:vAlign w:val="bottom"/>
          </w:tcPr>
          <w:p w:rsidR="008A185A" w:rsidRPr="00AE259B" w:rsidRDefault="008A185A" w:rsidP="008A185A">
            <w:pPr>
              <w:pStyle w:val="Tablecopy"/>
              <w:ind w:right="142"/>
              <w:jc w:val="right"/>
              <w:rPr>
                <w:rFonts w:ascii="Arial" w:hAnsi="Arial" w:cs="Arial"/>
                <w:b/>
              </w:rPr>
            </w:pPr>
            <w:r w:rsidRPr="00AE259B">
              <w:rPr>
                <w:rFonts w:ascii="Arial" w:hAnsi="Arial" w:cs="Arial"/>
                <w:b/>
              </w:rPr>
              <w:t>-</w:t>
            </w:r>
          </w:p>
        </w:tc>
        <w:tc>
          <w:tcPr>
            <w:tcW w:w="340"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64 </w:t>
            </w:r>
          </w:p>
        </w:tc>
        <w:tc>
          <w:tcPr>
            <w:tcW w:w="474"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291,166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Current</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9,221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370 </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1,485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2,398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vAlign w:val="bottom"/>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64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13,538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Non-current</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2,124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329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275,175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vAlign w:val="bottom"/>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277,628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11,345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370 </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1,814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277,573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40" w:type="pct"/>
            <w:vAlign w:val="bottom"/>
          </w:tcPr>
          <w:p w:rsidR="008A185A" w:rsidRPr="00AE259B" w:rsidRDefault="008A185A" w:rsidP="008A185A">
            <w:pPr>
              <w:pStyle w:val="Tablecopy"/>
              <w:ind w:right="142"/>
              <w:jc w:val="right"/>
              <w:rPr>
                <w:rFonts w:ascii="Arial" w:hAnsi="Arial" w:cs="Arial"/>
                <w:b/>
              </w:rPr>
            </w:pPr>
            <w:r w:rsidRPr="00AE259B">
              <w:rPr>
                <w:rFonts w:ascii="Arial" w:hAnsi="Arial" w:cs="Arial"/>
                <w:b/>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64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291,166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40" w:type="pct"/>
            <w:vAlign w:val="center"/>
          </w:tcPr>
          <w:p w:rsidR="008A185A" w:rsidRPr="00AE259B" w:rsidRDefault="008A185A" w:rsidP="008A185A">
            <w:pPr>
              <w:pStyle w:val="Tablecopy"/>
              <w:ind w:right="142"/>
              <w:jc w:val="right"/>
              <w:rPr>
                <w:rFonts w:ascii="Arial" w:hAnsi="Arial" w:cs="Arial"/>
                <w:b/>
              </w:rPr>
            </w:pP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Parent</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40" w:type="pct"/>
            <w:vAlign w:val="center"/>
          </w:tcPr>
          <w:p w:rsidR="008A185A" w:rsidRPr="00AE259B" w:rsidRDefault="008A185A" w:rsidP="008A185A">
            <w:pPr>
              <w:pStyle w:val="Tablecopy"/>
              <w:ind w:right="142"/>
              <w:jc w:val="right"/>
              <w:rPr>
                <w:rFonts w:ascii="Arial" w:hAnsi="Arial" w:cs="Arial"/>
                <w:b/>
              </w:rPr>
            </w:pP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Opening balance at 15 December 2011</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40" w:type="pct"/>
            <w:vAlign w:val="center"/>
          </w:tcPr>
          <w:p w:rsidR="008A185A" w:rsidRPr="00AE259B" w:rsidRDefault="008A185A" w:rsidP="008A185A">
            <w:pPr>
              <w:pStyle w:val="Tablecopy"/>
              <w:ind w:right="142"/>
              <w:jc w:val="right"/>
              <w:rPr>
                <w:rFonts w:ascii="Arial" w:hAnsi="Arial" w:cs="Arial"/>
                <w:b/>
              </w:rPr>
            </w:pPr>
            <w:r w:rsidRPr="00AE259B">
              <w:rPr>
                <w:rFonts w:ascii="Arial" w:hAnsi="Arial" w:cs="Arial"/>
                <w:b/>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Additional provisions recognised</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11,020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370</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1,763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277,573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vAlign w:val="center"/>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64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290,790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Unwinding of discount and effect of changes in the discount rate</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325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51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vAlign w:val="center"/>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376 </w:t>
            </w:r>
          </w:p>
        </w:tc>
      </w:tr>
      <w:tr w:rsidR="008A185A" w:rsidRPr="00AE259B" w:rsidTr="008A185A">
        <w:tc>
          <w:tcPr>
            <w:tcW w:w="1168" w:type="pct"/>
            <w:shd w:val="clear" w:color="auto" w:fill="auto"/>
            <w:tcMar>
              <w:top w:w="0" w:type="dxa"/>
              <w:left w:w="113" w:type="dxa"/>
              <w:bottom w:w="0"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 xml:space="preserve">Closing balance at </w:t>
            </w:r>
            <w:r w:rsidRPr="00AE259B">
              <w:rPr>
                <w:rFonts w:ascii="Arial" w:hAnsi="Arial" w:cs="Arial"/>
                <w:b/>
              </w:rPr>
              <w:br/>
              <w:t>30 June 2012</w:t>
            </w:r>
          </w:p>
        </w:tc>
        <w:tc>
          <w:tcPr>
            <w:tcW w:w="517"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11,345 </w:t>
            </w:r>
          </w:p>
        </w:tc>
        <w:tc>
          <w:tcPr>
            <w:tcW w:w="503"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370 </w:t>
            </w:r>
          </w:p>
        </w:tc>
        <w:tc>
          <w:tcPr>
            <w:tcW w:w="399"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1,814 </w:t>
            </w:r>
          </w:p>
        </w:tc>
        <w:tc>
          <w:tcPr>
            <w:tcW w:w="568"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277,573 </w:t>
            </w:r>
          </w:p>
        </w:tc>
        <w:tc>
          <w:tcPr>
            <w:tcW w:w="492"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40" w:type="pct"/>
            <w:vAlign w:val="bottom"/>
          </w:tcPr>
          <w:p w:rsidR="008A185A" w:rsidRPr="00AE259B" w:rsidRDefault="008A185A" w:rsidP="008A185A">
            <w:pPr>
              <w:pStyle w:val="Tablecopy"/>
              <w:ind w:right="142"/>
              <w:jc w:val="right"/>
              <w:rPr>
                <w:rFonts w:ascii="Arial" w:hAnsi="Arial" w:cs="Arial"/>
                <w:b/>
              </w:rPr>
            </w:pPr>
            <w:r w:rsidRPr="00AE259B">
              <w:rPr>
                <w:rFonts w:ascii="Arial" w:hAnsi="Arial" w:cs="Arial"/>
                <w:b/>
              </w:rPr>
              <w:t>-</w:t>
            </w:r>
          </w:p>
        </w:tc>
        <w:tc>
          <w:tcPr>
            <w:tcW w:w="340"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64 </w:t>
            </w:r>
          </w:p>
        </w:tc>
        <w:tc>
          <w:tcPr>
            <w:tcW w:w="474" w:type="pct"/>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291,166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Current</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9,221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370 </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1,485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2,398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vAlign w:val="bottom"/>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64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13,538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Non-current</w:t>
            </w:r>
          </w:p>
        </w:tc>
        <w:tc>
          <w:tcPr>
            <w:tcW w:w="517"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2,124 </w:t>
            </w:r>
          </w:p>
        </w:tc>
        <w:tc>
          <w:tcPr>
            <w:tcW w:w="50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399"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329 </w:t>
            </w:r>
          </w:p>
        </w:tc>
        <w:tc>
          <w:tcPr>
            <w:tcW w:w="568"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275,175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vAlign w:val="bottom"/>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7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277,628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517"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11,345 </w:t>
            </w:r>
          </w:p>
        </w:tc>
        <w:tc>
          <w:tcPr>
            <w:tcW w:w="503"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370 </w:t>
            </w:r>
          </w:p>
        </w:tc>
        <w:tc>
          <w:tcPr>
            <w:tcW w:w="399"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1,814 </w:t>
            </w:r>
          </w:p>
        </w:tc>
        <w:tc>
          <w:tcPr>
            <w:tcW w:w="568"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277,573 </w:t>
            </w:r>
          </w:p>
        </w:tc>
        <w:tc>
          <w:tcPr>
            <w:tcW w:w="492"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40" w:type="pct"/>
            <w:tcBorders>
              <w:bottom w:val="single" w:sz="2" w:space="0" w:color="auto"/>
            </w:tcBorders>
            <w:vAlign w:val="bottom"/>
          </w:tcPr>
          <w:p w:rsidR="008A185A" w:rsidRPr="00AE259B" w:rsidRDefault="008A185A" w:rsidP="008A185A">
            <w:pPr>
              <w:pStyle w:val="Tablecopy"/>
              <w:ind w:right="142"/>
              <w:jc w:val="right"/>
              <w:rPr>
                <w:rFonts w:ascii="Arial" w:hAnsi="Arial" w:cs="Arial"/>
                <w:b/>
              </w:rPr>
            </w:pPr>
            <w:r w:rsidRPr="00AE259B">
              <w:rPr>
                <w:rFonts w:ascii="Arial" w:hAnsi="Arial" w:cs="Arial"/>
                <w:b/>
              </w:rPr>
              <w:t>-</w:t>
            </w:r>
          </w:p>
        </w:tc>
        <w:tc>
          <w:tcPr>
            <w:tcW w:w="340"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64 </w:t>
            </w:r>
          </w:p>
        </w:tc>
        <w:tc>
          <w:tcPr>
            <w:tcW w:w="474" w:type="pct"/>
            <w:tcBorders>
              <w:bottom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291,166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Parent</w:t>
            </w:r>
          </w:p>
        </w:tc>
        <w:tc>
          <w:tcPr>
            <w:tcW w:w="517" w:type="pct"/>
            <w:tcBorders>
              <w:bottom w:val="single" w:sz="2"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03" w:type="pct"/>
            <w:tcBorders>
              <w:bottom w:val="single" w:sz="2"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399" w:type="pct"/>
            <w:tcBorders>
              <w:bottom w:val="single" w:sz="2"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68" w:type="pct"/>
            <w:tcBorders>
              <w:bottom w:val="single" w:sz="2"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492" w:type="pct"/>
            <w:tcBorders>
              <w:bottom w:val="single" w:sz="2"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540" w:type="pct"/>
            <w:tcBorders>
              <w:bottom w:val="single" w:sz="2" w:space="0" w:color="auto"/>
            </w:tcBorders>
            <w:shd w:val="pct10" w:color="auto" w:fill="auto"/>
            <w:vAlign w:val="center"/>
          </w:tcPr>
          <w:p w:rsidR="008A185A" w:rsidRPr="00AE259B" w:rsidRDefault="008A185A" w:rsidP="008A185A">
            <w:pPr>
              <w:pStyle w:val="Tablecopy"/>
              <w:ind w:right="142"/>
              <w:jc w:val="right"/>
              <w:rPr>
                <w:rFonts w:ascii="Arial" w:hAnsi="Arial" w:cs="Arial"/>
                <w:b/>
              </w:rPr>
            </w:pPr>
          </w:p>
        </w:tc>
        <w:tc>
          <w:tcPr>
            <w:tcW w:w="340" w:type="pct"/>
            <w:tcBorders>
              <w:bottom w:val="single" w:sz="2"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474" w:type="pct"/>
            <w:tcBorders>
              <w:bottom w:val="single" w:sz="2"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Opening balance at 30 June 2012</w:t>
            </w:r>
          </w:p>
        </w:tc>
        <w:tc>
          <w:tcPr>
            <w:tcW w:w="51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11,345 </w:t>
            </w:r>
          </w:p>
        </w:tc>
        <w:tc>
          <w:tcPr>
            <w:tcW w:w="50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370 </w:t>
            </w:r>
          </w:p>
        </w:tc>
        <w:tc>
          <w:tcPr>
            <w:tcW w:w="39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1,814 </w:t>
            </w:r>
          </w:p>
        </w:tc>
        <w:tc>
          <w:tcPr>
            <w:tcW w:w="568"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277,573 </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540" w:type="pct"/>
            <w:shd w:val="pct10" w:color="auto" w:fill="auto"/>
            <w:vAlign w:val="center"/>
          </w:tcPr>
          <w:p w:rsidR="008A185A" w:rsidRPr="00AE259B" w:rsidRDefault="008A185A" w:rsidP="008A185A">
            <w:pPr>
              <w:pStyle w:val="Tablecopy"/>
              <w:ind w:right="142"/>
              <w:jc w:val="right"/>
              <w:rPr>
                <w:rFonts w:ascii="Arial" w:hAnsi="Arial" w:cs="Arial"/>
                <w:b/>
              </w:rPr>
            </w:pPr>
            <w:r w:rsidRPr="00AE259B">
              <w:rPr>
                <w:rFonts w:ascii="Arial" w:hAnsi="Arial" w:cs="Arial"/>
                <w:b/>
              </w:rPr>
              <w:t>-</w:t>
            </w:r>
          </w:p>
        </w:tc>
        <w:tc>
          <w:tcPr>
            <w:tcW w:w="34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64 </w:t>
            </w:r>
          </w:p>
        </w:tc>
        <w:tc>
          <w:tcPr>
            <w:tcW w:w="47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291,166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(Write-back)/Additional provisions recognised</w:t>
            </w:r>
          </w:p>
        </w:tc>
        <w:tc>
          <w:tcPr>
            <w:tcW w:w="51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(1,939) </w:t>
            </w:r>
          </w:p>
        </w:tc>
        <w:tc>
          <w:tcPr>
            <w:tcW w:w="50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91</w:t>
            </w:r>
          </w:p>
        </w:tc>
        <w:tc>
          <w:tcPr>
            <w:tcW w:w="39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(269) </w:t>
            </w:r>
          </w:p>
        </w:tc>
        <w:tc>
          <w:tcPr>
            <w:tcW w:w="568"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22,101 </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shd w:val="pct10" w:color="auto" w:fill="auto"/>
            <w:vAlign w:val="center"/>
          </w:tcPr>
          <w:p w:rsidR="008A185A" w:rsidRPr="00AE259B" w:rsidRDefault="008A185A" w:rsidP="008A185A">
            <w:pPr>
              <w:pStyle w:val="Tablecopy"/>
              <w:ind w:right="142"/>
              <w:jc w:val="right"/>
              <w:rPr>
                <w:rFonts w:ascii="Arial" w:hAnsi="Arial" w:cs="Arial"/>
              </w:rPr>
            </w:pPr>
            <w:r w:rsidRPr="00AE259B">
              <w:rPr>
                <w:rFonts w:ascii="Arial" w:hAnsi="Arial" w:cs="Arial"/>
              </w:rPr>
              <w:t>10,173</w:t>
            </w:r>
          </w:p>
        </w:tc>
        <w:tc>
          <w:tcPr>
            <w:tcW w:w="34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 </w:t>
            </w:r>
          </w:p>
        </w:tc>
        <w:tc>
          <w:tcPr>
            <w:tcW w:w="47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30,167 </w:t>
            </w:r>
          </w:p>
        </w:tc>
      </w:tr>
      <w:tr w:rsidR="008A185A" w:rsidRPr="00AE259B" w:rsidTr="008A185A">
        <w:tc>
          <w:tcPr>
            <w:tcW w:w="1168" w:type="pct"/>
            <w:shd w:val="clear" w:color="auto" w:fill="auto"/>
            <w:tcMar>
              <w:top w:w="113" w:type="dxa"/>
              <w:left w:w="113" w:type="dxa"/>
              <w:bottom w:w="113"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Additions due to transfer in (Note 2(a)(i) (ii))</w:t>
            </w:r>
          </w:p>
        </w:tc>
        <w:tc>
          <w:tcPr>
            <w:tcW w:w="517"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406</w:t>
            </w:r>
          </w:p>
        </w:tc>
        <w:tc>
          <w:tcPr>
            <w:tcW w:w="503"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417 </w:t>
            </w:r>
          </w:p>
        </w:tc>
        <w:tc>
          <w:tcPr>
            <w:tcW w:w="399"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68"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92"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21,507 </w:t>
            </w:r>
          </w:p>
        </w:tc>
        <w:tc>
          <w:tcPr>
            <w:tcW w:w="540" w:type="pct"/>
            <w:shd w:val="pct10" w:color="auto" w:fill="auto"/>
            <w:vAlign w:val="center"/>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74"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22,330</w:t>
            </w:r>
          </w:p>
        </w:tc>
      </w:tr>
      <w:tr w:rsidR="008A185A" w:rsidRPr="00AE259B" w:rsidTr="008A185A">
        <w:tc>
          <w:tcPr>
            <w:tcW w:w="1168" w:type="pct"/>
            <w:shd w:val="clear" w:color="auto" w:fill="auto"/>
            <w:tcMar>
              <w:top w:w="113" w:type="dxa"/>
              <w:left w:w="113" w:type="dxa"/>
              <w:bottom w:w="113"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Reductions arising from payments/other sacrifices of future economic benefits</w:t>
            </w:r>
          </w:p>
        </w:tc>
        <w:tc>
          <w:tcPr>
            <w:tcW w:w="517"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503"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399"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568"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(2,314)</w:t>
            </w:r>
          </w:p>
        </w:tc>
        <w:tc>
          <w:tcPr>
            <w:tcW w:w="492"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(140)</w:t>
            </w:r>
          </w:p>
        </w:tc>
        <w:tc>
          <w:tcPr>
            <w:tcW w:w="540" w:type="pct"/>
            <w:shd w:val="pct10" w:color="auto" w:fill="auto"/>
            <w:vAlign w:val="center"/>
          </w:tcPr>
          <w:p w:rsidR="008A185A" w:rsidRPr="00AE259B" w:rsidRDefault="008A185A" w:rsidP="008A185A">
            <w:pPr>
              <w:pStyle w:val="Tablecopy"/>
              <w:ind w:right="142"/>
              <w:jc w:val="right"/>
              <w:rPr>
                <w:rFonts w:ascii="Arial" w:hAnsi="Arial" w:cs="Arial"/>
              </w:rPr>
            </w:pPr>
          </w:p>
        </w:tc>
        <w:tc>
          <w:tcPr>
            <w:tcW w:w="340"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p>
        </w:tc>
        <w:tc>
          <w:tcPr>
            <w:tcW w:w="474"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(2,454)</w:t>
            </w:r>
          </w:p>
        </w:tc>
      </w:tr>
      <w:tr w:rsidR="008A185A" w:rsidRPr="00AE259B" w:rsidTr="008A185A">
        <w:tc>
          <w:tcPr>
            <w:tcW w:w="1168" w:type="pct"/>
            <w:shd w:val="clear" w:color="auto" w:fill="auto"/>
            <w:tcMar>
              <w:top w:w="113" w:type="dxa"/>
              <w:left w:w="113" w:type="dxa"/>
              <w:bottom w:w="113"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Unwinding of discount and effect of changes in the discount rate</w:t>
            </w:r>
          </w:p>
        </w:tc>
        <w:tc>
          <w:tcPr>
            <w:tcW w:w="517"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207 </w:t>
            </w:r>
          </w:p>
        </w:tc>
        <w:tc>
          <w:tcPr>
            <w:tcW w:w="503"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399"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32 </w:t>
            </w:r>
          </w:p>
        </w:tc>
        <w:tc>
          <w:tcPr>
            <w:tcW w:w="568"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2"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shd w:val="pct10" w:color="auto" w:fill="auto"/>
            <w:vAlign w:val="center"/>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74" w:type="pct"/>
            <w:shd w:val="pct10" w:color="auto" w:fill="auto"/>
            <w:tcMar>
              <w:top w:w="113" w:type="dxa"/>
              <w:left w:w="113" w:type="dxa"/>
              <w:bottom w:w="113"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239 </w:t>
            </w:r>
          </w:p>
        </w:tc>
      </w:tr>
      <w:tr w:rsidR="008A185A" w:rsidRPr="00AE259B" w:rsidTr="008A185A">
        <w:tc>
          <w:tcPr>
            <w:tcW w:w="1168" w:type="pct"/>
            <w:shd w:val="clear" w:color="auto" w:fill="auto"/>
            <w:tcMar>
              <w:top w:w="0" w:type="dxa"/>
              <w:left w:w="113" w:type="dxa"/>
              <w:bottom w:w="113"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 xml:space="preserve">Closing balance at </w:t>
            </w:r>
            <w:r w:rsidRPr="00AE259B">
              <w:rPr>
                <w:rFonts w:ascii="Arial" w:hAnsi="Arial" w:cs="Arial"/>
                <w:b/>
              </w:rPr>
              <w:br/>
              <w:t>30 June 2013</w:t>
            </w:r>
          </w:p>
        </w:tc>
        <w:tc>
          <w:tcPr>
            <w:tcW w:w="517" w:type="pct"/>
            <w:shd w:val="pct10" w:color="auto" w:fill="auto"/>
            <w:tcMar>
              <w:top w:w="0" w:type="dxa"/>
              <w:left w:w="113" w:type="dxa"/>
              <w:bottom w:w="113"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10,019 </w:t>
            </w:r>
          </w:p>
        </w:tc>
        <w:tc>
          <w:tcPr>
            <w:tcW w:w="503" w:type="pct"/>
            <w:shd w:val="pct10" w:color="auto" w:fill="auto"/>
            <w:tcMar>
              <w:top w:w="0" w:type="dxa"/>
              <w:left w:w="113" w:type="dxa"/>
              <w:bottom w:w="113"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878 </w:t>
            </w:r>
          </w:p>
        </w:tc>
        <w:tc>
          <w:tcPr>
            <w:tcW w:w="399" w:type="pct"/>
            <w:shd w:val="pct10" w:color="auto" w:fill="auto"/>
            <w:tcMar>
              <w:top w:w="0" w:type="dxa"/>
              <w:left w:w="113" w:type="dxa"/>
              <w:bottom w:w="113"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1,577 </w:t>
            </w:r>
          </w:p>
        </w:tc>
        <w:tc>
          <w:tcPr>
            <w:tcW w:w="568" w:type="pct"/>
            <w:shd w:val="pct10" w:color="auto" w:fill="auto"/>
            <w:tcMar>
              <w:top w:w="0" w:type="dxa"/>
              <w:left w:w="113" w:type="dxa"/>
              <w:bottom w:w="113"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297,360 </w:t>
            </w:r>
          </w:p>
        </w:tc>
        <w:tc>
          <w:tcPr>
            <w:tcW w:w="492" w:type="pct"/>
            <w:shd w:val="pct10" w:color="auto" w:fill="auto"/>
            <w:tcMar>
              <w:top w:w="0" w:type="dxa"/>
              <w:left w:w="113" w:type="dxa"/>
              <w:bottom w:w="113"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21,367 </w:t>
            </w:r>
          </w:p>
        </w:tc>
        <w:tc>
          <w:tcPr>
            <w:tcW w:w="540" w:type="pct"/>
            <w:shd w:val="pct10" w:color="auto" w:fill="auto"/>
            <w:vAlign w:val="bottom"/>
          </w:tcPr>
          <w:p w:rsidR="008A185A" w:rsidRPr="00AE259B" w:rsidRDefault="008A185A" w:rsidP="008A185A">
            <w:pPr>
              <w:pStyle w:val="Tablecopy"/>
              <w:ind w:right="142"/>
              <w:jc w:val="right"/>
              <w:rPr>
                <w:rFonts w:ascii="Arial" w:hAnsi="Arial" w:cs="Arial"/>
                <w:b/>
              </w:rPr>
            </w:pPr>
            <w:r w:rsidRPr="00AE259B">
              <w:rPr>
                <w:rFonts w:ascii="Arial" w:hAnsi="Arial" w:cs="Arial"/>
                <w:b/>
              </w:rPr>
              <w:t>10,173</w:t>
            </w:r>
          </w:p>
        </w:tc>
        <w:tc>
          <w:tcPr>
            <w:tcW w:w="340" w:type="pct"/>
            <w:shd w:val="pct10" w:color="auto" w:fill="auto"/>
            <w:tcMar>
              <w:top w:w="0" w:type="dxa"/>
              <w:left w:w="113" w:type="dxa"/>
              <w:bottom w:w="113"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74 </w:t>
            </w:r>
          </w:p>
        </w:tc>
        <w:tc>
          <w:tcPr>
            <w:tcW w:w="474" w:type="pct"/>
            <w:shd w:val="pct10" w:color="auto" w:fill="auto"/>
            <w:tcMar>
              <w:top w:w="0" w:type="dxa"/>
              <w:left w:w="113" w:type="dxa"/>
              <w:bottom w:w="113"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341,448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Current</w:t>
            </w:r>
          </w:p>
        </w:tc>
        <w:tc>
          <w:tcPr>
            <w:tcW w:w="51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8,343 </w:t>
            </w:r>
          </w:p>
        </w:tc>
        <w:tc>
          <w:tcPr>
            <w:tcW w:w="50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878 </w:t>
            </w:r>
          </w:p>
        </w:tc>
        <w:tc>
          <w:tcPr>
            <w:tcW w:w="39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1,319 </w:t>
            </w:r>
          </w:p>
        </w:tc>
        <w:tc>
          <w:tcPr>
            <w:tcW w:w="568"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6,417 </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21,367 </w:t>
            </w:r>
          </w:p>
        </w:tc>
        <w:tc>
          <w:tcPr>
            <w:tcW w:w="540" w:type="pct"/>
            <w:shd w:val="pct10" w:color="auto" w:fill="auto"/>
            <w:vAlign w:val="bottom"/>
          </w:tcPr>
          <w:p w:rsidR="008A185A" w:rsidRPr="00AE259B" w:rsidRDefault="008A185A" w:rsidP="008A185A">
            <w:pPr>
              <w:pStyle w:val="Tablecopy"/>
              <w:ind w:right="142"/>
              <w:jc w:val="right"/>
              <w:rPr>
                <w:rFonts w:ascii="Arial" w:hAnsi="Arial" w:cs="Arial"/>
              </w:rPr>
            </w:pPr>
            <w:r w:rsidRPr="00AE259B">
              <w:rPr>
                <w:rFonts w:ascii="Arial" w:hAnsi="Arial" w:cs="Arial"/>
              </w:rPr>
              <w:t>-</w:t>
            </w:r>
          </w:p>
        </w:tc>
        <w:tc>
          <w:tcPr>
            <w:tcW w:w="34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74 </w:t>
            </w:r>
          </w:p>
        </w:tc>
        <w:tc>
          <w:tcPr>
            <w:tcW w:w="47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38,398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Non-current</w:t>
            </w:r>
          </w:p>
        </w:tc>
        <w:tc>
          <w:tcPr>
            <w:tcW w:w="51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1,676</w:t>
            </w:r>
          </w:p>
        </w:tc>
        <w:tc>
          <w:tcPr>
            <w:tcW w:w="50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39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258 </w:t>
            </w:r>
          </w:p>
        </w:tc>
        <w:tc>
          <w:tcPr>
            <w:tcW w:w="568"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290,943 </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40" w:type="pct"/>
            <w:shd w:val="pct10" w:color="auto" w:fill="auto"/>
            <w:vAlign w:val="center"/>
          </w:tcPr>
          <w:p w:rsidR="008A185A" w:rsidRPr="00AE259B" w:rsidRDefault="008A185A" w:rsidP="008A185A">
            <w:pPr>
              <w:pStyle w:val="Tablecopy"/>
              <w:ind w:right="142"/>
              <w:jc w:val="right"/>
              <w:rPr>
                <w:rFonts w:ascii="Arial" w:hAnsi="Arial" w:cs="Arial"/>
              </w:rPr>
            </w:pPr>
            <w:r w:rsidRPr="00AE259B">
              <w:rPr>
                <w:rFonts w:ascii="Arial" w:hAnsi="Arial" w:cs="Arial"/>
              </w:rPr>
              <w:t>10,173</w:t>
            </w:r>
          </w:p>
        </w:tc>
        <w:tc>
          <w:tcPr>
            <w:tcW w:w="34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7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303,050 </w:t>
            </w:r>
          </w:p>
        </w:tc>
      </w:tr>
      <w:tr w:rsidR="008A185A" w:rsidRPr="00AE259B" w:rsidTr="008A185A">
        <w:tc>
          <w:tcPr>
            <w:tcW w:w="1168"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51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10,019 </w:t>
            </w:r>
          </w:p>
        </w:tc>
        <w:tc>
          <w:tcPr>
            <w:tcW w:w="50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878 </w:t>
            </w:r>
          </w:p>
        </w:tc>
        <w:tc>
          <w:tcPr>
            <w:tcW w:w="39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1,577 </w:t>
            </w:r>
          </w:p>
        </w:tc>
        <w:tc>
          <w:tcPr>
            <w:tcW w:w="568"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297,360 </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21,367 </w:t>
            </w:r>
          </w:p>
        </w:tc>
        <w:tc>
          <w:tcPr>
            <w:tcW w:w="540" w:type="pct"/>
            <w:shd w:val="pct10" w:color="auto" w:fill="auto"/>
            <w:vAlign w:val="center"/>
          </w:tcPr>
          <w:p w:rsidR="008A185A" w:rsidRPr="00AE259B" w:rsidRDefault="008A185A" w:rsidP="008A185A">
            <w:pPr>
              <w:pStyle w:val="Tablecopy"/>
              <w:ind w:right="142"/>
              <w:jc w:val="right"/>
              <w:rPr>
                <w:rFonts w:ascii="Arial" w:hAnsi="Arial" w:cs="Arial"/>
                <w:b/>
              </w:rPr>
            </w:pPr>
            <w:r w:rsidRPr="00AE259B">
              <w:rPr>
                <w:rFonts w:ascii="Arial" w:hAnsi="Arial" w:cs="Arial"/>
                <w:b/>
              </w:rPr>
              <w:t>10,173</w:t>
            </w:r>
          </w:p>
        </w:tc>
        <w:tc>
          <w:tcPr>
            <w:tcW w:w="340"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74 </w:t>
            </w:r>
          </w:p>
        </w:tc>
        <w:tc>
          <w:tcPr>
            <w:tcW w:w="47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341,448 </w:t>
            </w:r>
          </w:p>
        </w:tc>
      </w:tr>
    </w:tbl>
    <w:p w:rsidR="008A185A" w:rsidRPr="00AE259B" w:rsidRDefault="008A185A" w:rsidP="008A185A">
      <w:pPr>
        <w:pStyle w:val="Heading1"/>
        <w:rPr>
          <w:rFonts w:ascii="Arial" w:hAnsi="Arial" w:cs="Arial"/>
        </w:rPr>
        <w:sectPr w:rsidR="008A185A" w:rsidRPr="00AE259B" w:rsidSect="008A185A">
          <w:pgSz w:w="11906" w:h="16838"/>
          <w:pgMar w:top="1276" w:right="720" w:bottom="1134" w:left="1843" w:header="720" w:footer="720" w:gutter="0"/>
          <w:cols w:space="720"/>
          <w:noEndnote/>
        </w:sectPr>
      </w:pPr>
      <w:bookmarkStart w:id="201" w:name="_Note_14._Financial"/>
      <w:bookmarkStart w:id="202" w:name="_Toc337471046"/>
      <w:bookmarkStart w:id="203" w:name="_Toc337537812"/>
      <w:bookmarkStart w:id="204" w:name="_Toc337539738"/>
      <w:bookmarkStart w:id="205" w:name="_Toc337707155"/>
      <w:bookmarkStart w:id="206" w:name="_Toc337711263"/>
      <w:bookmarkEnd w:id="201"/>
    </w:p>
    <w:p w:rsidR="008A185A" w:rsidRPr="00AE259B" w:rsidRDefault="008A185A" w:rsidP="00951FFC">
      <w:pPr>
        <w:pStyle w:val="Heading10"/>
        <w:outlineLvl w:val="0"/>
      </w:pPr>
      <w:bookmarkStart w:id="207" w:name="_Toc366672104"/>
      <w:r w:rsidRPr="00AE259B">
        <w:t>Note 13. Financial instruments</w:t>
      </w:r>
      <w:bookmarkEnd w:id="202"/>
      <w:bookmarkEnd w:id="203"/>
      <w:bookmarkEnd w:id="204"/>
      <w:bookmarkEnd w:id="205"/>
      <w:bookmarkEnd w:id="206"/>
      <w:bookmarkEnd w:id="207"/>
    </w:p>
    <w:p w:rsidR="008A185A" w:rsidRPr="00AE259B" w:rsidRDefault="008A185A" w:rsidP="00B11D08">
      <w:pPr>
        <w:pStyle w:val="Heading20"/>
      </w:pPr>
      <w:bookmarkStart w:id="208" w:name="_Toc337537718"/>
      <w:r w:rsidRPr="00AE259B">
        <w:t>(a) Financial risk management objectives and policies</w:t>
      </w:r>
      <w:bookmarkEnd w:id="208"/>
    </w:p>
    <w:p w:rsidR="00B11D08" w:rsidRDefault="00B11D08" w:rsidP="008A185A">
      <w:pPr>
        <w:rPr>
          <w:rFonts w:ascii="Arial" w:hAnsi="Arial" w:cs="Arial"/>
        </w:rPr>
      </w:pPr>
    </w:p>
    <w:p w:rsidR="008A185A" w:rsidRPr="00B11D08" w:rsidRDefault="008A185A" w:rsidP="008A185A">
      <w:pPr>
        <w:rPr>
          <w:rFonts w:ascii="Arial" w:hAnsi="Arial" w:cs="Arial"/>
        </w:rPr>
      </w:pPr>
      <w:r w:rsidRPr="00B11D08">
        <w:rPr>
          <w:rFonts w:ascii="Arial" w:hAnsi="Arial" w:cs="Arial"/>
        </w:rPr>
        <w:t>PTV’s principal financial instruments comprise of:</w:t>
      </w:r>
    </w:p>
    <w:p w:rsidR="008A185A" w:rsidRPr="00B11D08" w:rsidRDefault="008A185A" w:rsidP="008A185A">
      <w:pPr>
        <w:pStyle w:val="Bullets"/>
        <w:rPr>
          <w:rFonts w:ascii="Arial" w:hAnsi="Arial" w:cs="Arial"/>
          <w:sz w:val="24"/>
          <w:szCs w:val="24"/>
        </w:rPr>
      </w:pPr>
      <w:r w:rsidRPr="00B11D08">
        <w:rPr>
          <w:rFonts w:ascii="Arial" w:hAnsi="Arial" w:cs="Arial"/>
          <w:sz w:val="24"/>
          <w:szCs w:val="24"/>
        </w:rPr>
        <w:t>cash and term deposits</w:t>
      </w:r>
    </w:p>
    <w:p w:rsidR="008A185A" w:rsidRPr="00B11D08" w:rsidRDefault="008A185A" w:rsidP="008A185A">
      <w:pPr>
        <w:pStyle w:val="Bullets"/>
        <w:rPr>
          <w:rFonts w:ascii="Arial" w:hAnsi="Arial" w:cs="Arial"/>
          <w:sz w:val="24"/>
          <w:szCs w:val="24"/>
        </w:rPr>
      </w:pPr>
      <w:r w:rsidRPr="00B11D08">
        <w:rPr>
          <w:rFonts w:ascii="Arial" w:hAnsi="Arial" w:cs="Arial"/>
          <w:sz w:val="24"/>
          <w:szCs w:val="24"/>
        </w:rPr>
        <w:t>receivables (excluding statutory receivables)</w:t>
      </w:r>
    </w:p>
    <w:p w:rsidR="008A185A" w:rsidRPr="00B11D08" w:rsidRDefault="008A185A" w:rsidP="008A185A">
      <w:pPr>
        <w:pStyle w:val="Bullets"/>
        <w:rPr>
          <w:rFonts w:ascii="Arial" w:hAnsi="Arial" w:cs="Arial"/>
          <w:sz w:val="24"/>
          <w:szCs w:val="24"/>
        </w:rPr>
      </w:pPr>
      <w:r w:rsidRPr="00B11D08">
        <w:rPr>
          <w:rFonts w:ascii="Arial" w:hAnsi="Arial" w:cs="Arial"/>
          <w:sz w:val="24"/>
          <w:szCs w:val="24"/>
        </w:rPr>
        <w:t>payables (excluding statutory payables)</w:t>
      </w:r>
    </w:p>
    <w:p w:rsidR="008A185A" w:rsidRPr="00B11D08" w:rsidRDefault="008A185A" w:rsidP="008A185A">
      <w:pPr>
        <w:pStyle w:val="Bullets"/>
        <w:rPr>
          <w:rFonts w:ascii="Arial" w:hAnsi="Arial" w:cs="Arial"/>
          <w:sz w:val="24"/>
          <w:szCs w:val="24"/>
        </w:rPr>
      </w:pPr>
      <w:r w:rsidRPr="00B11D08">
        <w:rPr>
          <w:rFonts w:ascii="Arial" w:hAnsi="Arial" w:cs="Arial"/>
          <w:sz w:val="24"/>
          <w:szCs w:val="24"/>
        </w:rPr>
        <w:t>borrowings.</w:t>
      </w:r>
    </w:p>
    <w:p w:rsidR="008A185A" w:rsidRDefault="008A185A" w:rsidP="008A185A">
      <w:pPr>
        <w:rPr>
          <w:rFonts w:ascii="Arial" w:hAnsi="Arial" w:cs="Arial"/>
        </w:rPr>
      </w:pPr>
      <w:r w:rsidRPr="00AE259B">
        <w:rPr>
          <w:rFonts w:ascii="Arial" w:hAnsi="Arial" w:cs="Arial"/>
        </w:rPr>
        <w:t xml:space="preserve">Details of the significant accounting policies and methods adopted, including the criteria for recognition, the basis of measurement and the basis on which income and expenses are recognised, with respect to each class of financial asset and financial liability above are disclosed in Note 1 to the financial statements. </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 xml:space="preserve">The main purpose in holding financial instruments is to prudentially manage PTV’s financial risks within the Government’s policy parameters. </w:t>
      </w:r>
    </w:p>
    <w:p w:rsidR="00B11D08" w:rsidRPr="00AE259B" w:rsidRDefault="00B11D08"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 xml:space="preserve">PTV’s main financial risks include credit risk, liquidity risk and interest rate risk.  PTV manages these financial risks in accordance with its financial risk management policy. </w:t>
      </w:r>
    </w:p>
    <w:p w:rsidR="008A185A" w:rsidRPr="00AE259B" w:rsidRDefault="008A185A" w:rsidP="008A185A">
      <w:pPr>
        <w:rPr>
          <w:rFonts w:ascii="Arial" w:hAnsi="Arial" w:cs="Arial"/>
          <w:spacing w:val="-2"/>
        </w:rPr>
      </w:pPr>
      <w:r w:rsidRPr="00AE259B">
        <w:rPr>
          <w:rFonts w:ascii="Arial" w:hAnsi="Arial" w:cs="Arial"/>
        </w:rPr>
        <w:t>PTV uses different methods to measure and manage the different risks to which it is exposed. Primary responsibility for the identification and management of financial risks rests with the Audit and Risk Committee of PTV.</w:t>
      </w:r>
    </w:p>
    <w:p w:rsidR="008A185A" w:rsidRPr="00AE259B" w:rsidRDefault="008A185A" w:rsidP="008A185A">
      <w:pPr>
        <w:pStyle w:val="Heading2"/>
        <w:rPr>
          <w:rFonts w:ascii="Arial" w:hAnsi="Arial" w:cs="Arial"/>
        </w:rPr>
        <w:sectPr w:rsidR="008A185A" w:rsidRPr="00AE259B" w:rsidSect="008A185A">
          <w:pgSz w:w="11906" w:h="16838"/>
          <w:pgMar w:top="1276" w:right="720" w:bottom="1134" w:left="1843" w:header="720" w:footer="720" w:gutter="0"/>
          <w:cols w:space="720"/>
          <w:noEndnote/>
        </w:sectPr>
      </w:pPr>
      <w:bookmarkStart w:id="209" w:name="_Toc337537719"/>
    </w:p>
    <w:p w:rsidR="008A185A" w:rsidRPr="00AE259B" w:rsidRDefault="008A185A" w:rsidP="00B11D08">
      <w:pPr>
        <w:pStyle w:val="Heading30"/>
        <w:rPr>
          <w:vertAlign w:val="superscript"/>
        </w:rPr>
      </w:pPr>
      <w:r w:rsidRPr="00AE259B">
        <w:t xml:space="preserve">Categorisation of financial instruments </w:t>
      </w:r>
      <w:r w:rsidRPr="00AE259B">
        <w:rPr>
          <w:vertAlign w:val="superscript"/>
        </w:rPr>
        <w:t>(i)</w:t>
      </w:r>
      <w:bookmarkEnd w:id="209"/>
    </w:p>
    <w:tbl>
      <w:tblPr>
        <w:tblW w:w="9002"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44"/>
        <w:gridCol w:w="767"/>
        <w:gridCol w:w="1496"/>
        <w:gridCol w:w="1696"/>
        <w:gridCol w:w="1699"/>
      </w:tblGrid>
      <w:tr w:rsidR="008A185A" w:rsidRPr="00AE259B" w:rsidTr="00B11D08">
        <w:tc>
          <w:tcPr>
            <w:tcW w:w="3344"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jc w:val="left"/>
              <w:rPr>
                <w:rFonts w:ascii="Arial" w:hAnsi="Arial" w:cs="Arial"/>
              </w:rPr>
            </w:pPr>
          </w:p>
        </w:tc>
        <w:tc>
          <w:tcPr>
            <w:tcW w:w="767"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Note</w:t>
            </w:r>
          </w:p>
        </w:tc>
        <w:tc>
          <w:tcPr>
            <w:tcW w:w="1496" w:type="dxa"/>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Contractual financial assets – loans and receivables</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c>
          <w:tcPr>
            <w:tcW w:w="1696" w:type="dxa"/>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Contractual financial liabilities at amortised cost</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c>
          <w:tcPr>
            <w:tcW w:w="1699" w:type="dxa"/>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Total</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2013</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b/>
              </w:rPr>
              <w:t>Contractual financial assets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Cash and deposits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17(a)</w:t>
            </w: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45,827 </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45,827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Receivables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6</w:t>
            </w: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owing from government and agencies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1,604</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1,604</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Receivables - current</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14,457</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14,457</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rPr>
              <w:t>Receivables – non-current</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b/>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1,000</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1,000</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Total contractual financial assets </w:t>
            </w:r>
            <w:r w:rsidRPr="00AE259B">
              <w:rPr>
                <w:rFonts w:ascii="Arial" w:hAnsi="Arial" w:cs="Arial"/>
                <w:b/>
                <w:vertAlign w:val="superscript"/>
              </w:rPr>
              <w:t>(ii)</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b/>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62,888</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62,888</w:t>
            </w:r>
          </w:p>
        </w:tc>
      </w:tr>
      <w:tr w:rsidR="008A185A" w:rsidRPr="00AE259B" w:rsidTr="00B11D08">
        <w:tc>
          <w:tcPr>
            <w:tcW w:w="3344"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Contractual financial liabilities</w:t>
            </w:r>
          </w:p>
        </w:tc>
        <w:tc>
          <w:tcPr>
            <w:tcW w:w="767"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center"/>
              <w:rPr>
                <w:rFonts w:ascii="Arial" w:hAnsi="Arial" w:cs="Arial"/>
                <w:b/>
              </w:rPr>
            </w:pPr>
          </w:p>
        </w:tc>
        <w:tc>
          <w:tcPr>
            <w:tcW w:w="1496" w:type="dxa"/>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1696" w:type="dxa"/>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1699" w:type="dxa"/>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Payables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10</w:t>
            </w: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Supplies and services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404,422 </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404,422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payable to government and agencies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119,987 </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119,987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Borrowings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11</w:t>
            </w: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Finance lease liabilities – motor vehicle</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607 </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607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Finance lease liabilities – Southern Cross Station Transport Interchange Facility</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376,822 </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376,822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Total contractual financial liabilities </w:t>
            </w:r>
            <w:r w:rsidRPr="00AE259B">
              <w:rPr>
                <w:rFonts w:ascii="Arial" w:hAnsi="Arial" w:cs="Arial"/>
                <w:b/>
                <w:vertAlign w:val="superscript"/>
              </w:rPr>
              <w:t>(iii)</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1696"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901,838 </w:t>
            </w:r>
          </w:p>
        </w:tc>
        <w:tc>
          <w:tcPr>
            <w:tcW w:w="1699"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901,838</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Consolidated 2012</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b/>
              </w:rPr>
              <w:t>Contractual financial assets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Cash and deposits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17(a)</w:t>
            </w: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56,299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56,299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Receivables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6</w:t>
            </w: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owing from government and agencies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3,452</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3,452</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Receivables - current</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2,060</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2,060</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Total contractual financial assets </w:t>
            </w:r>
            <w:r w:rsidRPr="00AE259B">
              <w:rPr>
                <w:rFonts w:ascii="Arial" w:hAnsi="Arial" w:cs="Arial"/>
                <w:b/>
                <w:vertAlign w:val="superscript"/>
              </w:rPr>
              <w:t>(ii)</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b/>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61,811</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61,811</w:t>
            </w:r>
          </w:p>
        </w:tc>
      </w:tr>
      <w:tr w:rsidR="008A185A" w:rsidRPr="00AE259B" w:rsidTr="00B11D08">
        <w:tc>
          <w:tcPr>
            <w:tcW w:w="3344"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Contractual financial liabilities</w:t>
            </w:r>
          </w:p>
        </w:tc>
        <w:tc>
          <w:tcPr>
            <w:tcW w:w="767"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center"/>
              <w:rPr>
                <w:rFonts w:ascii="Arial" w:hAnsi="Arial" w:cs="Arial"/>
                <w:b/>
              </w:rPr>
            </w:pPr>
          </w:p>
        </w:tc>
        <w:tc>
          <w:tcPr>
            <w:tcW w:w="1496"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1696"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1699" w:type="dxa"/>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Payables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10</w:t>
            </w: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Supplies and services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340,636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340,636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payable to government and agencies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103,102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103,102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Borrowings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11</w:t>
            </w: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Finance lease liabilities – motor vehicle</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851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851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Finance lease liabilities – Southern Cross Station Transport Interchange Facility</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375,340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375,340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Total contractual financial liabilities </w:t>
            </w:r>
            <w:r w:rsidRPr="00AE259B">
              <w:rPr>
                <w:rFonts w:ascii="Arial" w:hAnsi="Arial" w:cs="Arial"/>
                <w:b/>
                <w:vertAlign w:val="superscript"/>
              </w:rPr>
              <w:t>(iii)</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819,929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819,929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Parent 2012</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b/>
              </w:rPr>
              <w:t>Contractual financial assets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Cash and deposits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17(a)</w:t>
            </w: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56,299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56,299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Receivables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6</w:t>
            </w: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owing from government and agencies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3,452</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3,452</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Receivables - current</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2,060</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2,060</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Total contractual financial assets </w:t>
            </w:r>
            <w:r w:rsidRPr="00AE259B">
              <w:rPr>
                <w:rFonts w:ascii="Arial" w:hAnsi="Arial" w:cs="Arial"/>
                <w:b/>
                <w:vertAlign w:val="superscript"/>
              </w:rPr>
              <w:t>(ii)</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b/>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61,811</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61,811</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Contractual financial liabilities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Payables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10</w:t>
            </w: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Supplies and services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340,636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340,636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payable to government and agencies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103,102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103,102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Borrowings</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center"/>
              <w:rPr>
                <w:rFonts w:ascii="Arial" w:hAnsi="Arial" w:cs="Arial"/>
              </w:rPr>
            </w:pPr>
            <w:r w:rsidRPr="00AE259B">
              <w:rPr>
                <w:rFonts w:ascii="Arial" w:hAnsi="Arial" w:cs="Arial"/>
              </w:rPr>
              <w:t>11</w:t>
            </w: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Finance lease liabilities – motor vehicle</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851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851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Finance lease liabilities – Southern Cross Station Transport Interchange Facility</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375,340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375,340 </w:t>
            </w:r>
          </w:p>
        </w:tc>
      </w:tr>
      <w:tr w:rsidR="008A185A" w:rsidRPr="00AE259B" w:rsidTr="00B11D08">
        <w:tc>
          <w:tcPr>
            <w:tcW w:w="334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Total contractual financial liabilities </w:t>
            </w:r>
            <w:r w:rsidRPr="00AE259B">
              <w:rPr>
                <w:rFonts w:ascii="Arial" w:hAnsi="Arial" w:cs="Arial"/>
                <w:b/>
                <w:vertAlign w:val="superscript"/>
              </w:rPr>
              <w:t>(iii)</w:t>
            </w:r>
          </w:p>
        </w:tc>
        <w:tc>
          <w:tcPr>
            <w:tcW w:w="767"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14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 </w:t>
            </w:r>
          </w:p>
        </w:tc>
        <w:tc>
          <w:tcPr>
            <w:tcW w:w="169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819,929 </w:t>
            </w:r>
          </w:p>
        </w:tc>
        <w:tc>
          <w:tcPr>
            <w:tcW w:w="169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819,929 </w:t>
            </w:r>
          </w:p>
        </w:tc>
      </w:tr>
      <w:tr w:rsidR="008A185A" w:rsidRPr="00AE259B" w:rsidTr="008A185A">
        <w:tc>
          <w:tcPr>
            <w:tcW w:w="9002" w:type="dxa"/>
            <w:gridSpan w:val="5"/>
            <w:shd w:val="clear" w:color="auto" w:fill="auto"/>
            <w:tcMar>
              <w:top w:w="113" w:type="dxa"/>
              <w:left w:w="113" w:type="dxa"/>
              <w:bottom w:w="113"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(i) The amount disclosed represents the carrying amount for the reporting period. </w:t>
            </w:r>
          </w:p>
          <w:p w:rsidR="008A185A" w:rsidRPr="00AE259B" w:rsidRDefault="008A185A" w:rsidP="008A185A">
            <w:pPr>
              <w:pStyle w:val="Tablecopy"/>
              <w:spacing w:line="240" w:lineRule="auto"/>
              <w:rPr>
                <w:rFonts w:ascii="Arial" w:hAnsi="Arial" w:cs="Arial"/>
              </w:rPr>
            </w:pPr>
            <w:r w:rsidRPr="00AE259B">
              <w:rPr>
                <w:rFonts w:ascii="Arial" w:hAnsi="Arial" w:cs="Arial"/>
              </w:rPr>
              <w:t xml:space="preserve">(ii) </w:t>
            </w:r>
            <w:r w:rsidRPr="00AE259B">
              <w:rPr>
                <w:rFonts w:ascii="Arial" w:hAnsi="Arial" w:cs="Arial"/>
              </w:rPr>
              <w:tab/>
              <w:t>The amount of receivables disclosed excludes statutory receivables (i.e. amounts owing from Victorian Government and GST input tax credit recoverable).</w:t>
            </w:r>
          </w:p>
          <w:p w:rsidR="008A185A" w:rsidRPr="00AE259B" w:rsidRDefault="008A185A" w:rsidP="008A185A">
            <w:pPr>
              <w:pStyle w:val="Tablecopy"/>
              <w:spacing w:line="240" w:lineRule="auto"/>
              <w:rPr>
                <w:rFonts w:ascii="Arial" w:hAnsi="Arial" w:cs="Arial"/>
              </w:rPr>
            </w:pPr>
            <w:r w:rsidRPr="00AE259B">
              <w:rPr>
                <w:rFonts w:ascii="Arial" w:hAnsi="Arial" w:cs="Arial"/>
              </w:rPr>
              <w:t>(iii) The amount of payables disclosed excludes statutory payables (i.e. GST output tax payable).</w:t>
            </w:r>
          </w:p>
        </w:tc>
      </w:tr>
    </w:tbl>
    <w:p w:rsidR="008A185A" w:rsidRPr="00AE259B" w:rsidRDefault="008A185A" w:rsidP="008A185A">
      <w:pPr>
        <w:rPr>
          <w:rFonts w:ascii="Arial" w:hAnsi="Arial" w:cs="Arial"/>
        </w:rPr>
      </w:pPr>
    </w:p>
    <w:p w:rsidR="008A185A" w:rsidRPr="00AE259B" w:rsidRDefault="008A185A" w:rsidP="00B11D08">
      <w:pPr>
        <w:pStyle w:val="Heading30"/>
      </w:pPr>
      <w:r w:rsidRPr="00AE259B">
        <w:t>Net holding gain/(loss) on financial instruments by category</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82"/>
        <w:gridCol w:w="1021"/>
        <w:gridCol w:w="851"/>
        <w:gridCol w:w="1360"/>
        <w:gridCol w:w="1050"/>
        <w:gridCol w:w="56"/>
      </w:tblGrid>
      <w:tr w:rsidR="008A185A" w:rsidRPr="00AE259B" w:rsidTr="008A185A">
        <w:tc>
          <w:tcPr>
            <w:tcW w:w="4082" w:type="dxa"/>
            <w:shd w:val="clear" w:color="auto" w:fill="auto"/>
            <w:tcMar>
              <w:top w:w="0" w:type="dxa"/>
              <w:left w:w="113" w:type="dxa"/>
              <w:bottom w:w="0" w:type="dxa"/>
              <w:right w:w="113" w:type="dxa"/>
            </w:tcMar>
            <w:vAlign w:val="center"/>
          </w:tcPr>
          <w:p w:rsidR="008A185A" w:rsidRPr="00AE259B" w:rsidRDefault="008A185A" w:rsidP="008A185A">
            <w:pPr>
              <w:pStyle w:val="TableHeading"/>
              <w:spacing w:before="0" w:after="0" w:line="240" w:lineRule="auto"/>
              <w:rPr>
                <w:rFonts w:ascii="Arial" w:hAnsi="Arial" w:cs="Arial"/>
              </w:rPr>
            </w:pPr>
          </w:p>
        </w:tc>
        <w:tc>
          <w:tcPr>
            <w:tcW w:w="1021" w:type="dxa"/>
          </w:tcPr>
          <w:p w:rsidR="008A185A" w:rsidRPr="00AE259B" w:rsidRDefault="008A185A" w:rsidP="008A185A">
            <w:pPr>
              <w:pStyle w:val="TableHeading"/>
              <w:spacing w:before="0" w:after="0" w:line="240" w:lineRule="auto"/>
              <w:jc w:val="center"/>
              <w:rPr>
                <w:rFonts w:ascii="Arial" w:hAnsi="Arial" w:cs="Arial"/>
              </w:rPr>
            </w:pPr>
          </w:p>
        </w:tc>
        <w:tc>
          <w:tcPr>
            <w:tcW w:w="3317" w:type="dxa"/>
            <w:gridSpan w:val="4"/>
          </w:tcPr>
          <w:p w:rsidR="008A185A" w:rsidRPr="00AE259B" w:rsidRDefault="008A185A" w:rsidP="008A185A">
            <w:pPr>
              <w:pStyle w:val="TableHeading"/>
              <w:spacing w:before="0" w:after="0" w:line="240" w:lineRule="auto"/>
              <w:ind w:right="-481"/>
              <w:jc w:val="center"/>
              <w:rPr>
                <w:rFonts w:ascii="Arial" w:hAnsi="Arial" w:cs="Arial"/>
              </w:rPr>
            </w:pPr>
            <w:r w:rsidRPr="00AE259B">
              <w:rPr>
                <w:rFonts w:ascii="Arial" w:hAnsi="Arial" w:cs="Arial"/>
              </w:rPr>
              <w:t>Total interest income/(expense)</w:t>
            </w:r>
          </w:p>
        </w:tc>
      </w:tr>
      <w:tr w:rsidR="008A185A" w:rsidRPr="00AE259B" w:rsidTr="008A185A">
        <w:tc>
          <w:tcPr>
            <w:tcW w:w="4082"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1021" w:type="dxa"/>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Note</w:t>
            </w:r>
          </w:p>
        </w:tc>
        <w:tc>
          <w:tcPr>
            <w:tcW w:w="851" w:type="dxa"/>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$’000</w:t>
            </w:r>
          </w:p>
        </w:tc>
        <w:tc>
          <w:tcPr>
            <w:tcW w:w="1360" w:type="dxa"/>
            <w:vAlign w:val="bottom"/>
          </w:tcPr>
          <w:p w:rsidR="008A185A" w:rsidRPr="00AE259B" w:rsidRDefault="008A185A" w:rsidP="008A185A">
            <w:pPr>
              <w:pStyle w:val="TableHeading"/>
              <w:spacing w:before="0" w:after="0" w:line="240" w:lineRule="auto"/>
              <w:ind w:right="140"/>
              <w:rPr>
                <w:rFonts w:ascii="Arial" w:hAnsi="Arial" w:cs="Arial"/>
              </w:rPr>
            </w:pPr>
            <w:r w:rsidRPr="00AE259B">
              <w:rPr>
                <w:rFonts w:ascii="Arial" w:hAnsi="Arial" w:cs="Arial"/>
              </w:rPr>
              <w:t>Consolidated</w:t>
            </w:r>
            <w:r w:rsidRPr="00AE259B">
              <w:rPr>
                <w:rFonts w:ascii="Arial" w:hAnsi="Arial" w:cs="Arial"/>
              </w:rPr>
              <w:br/>
              <w:t>2012</w:t>
            </w:r>
            <w:r w:rsidRPr="00AE259B">
              <w:rPr>
                <w:rFonts w:ascii="Arial" w:hAnsi="Arial" w:cs="Arial"/>
              </w:rPr>
              <w:br/>
              <w:t>$’000</w:t>
            </w:r>
          </w:p>
        </w:tc>
        <w:tc>
          <w:tcPr>
            <w:tcW w:w="1106" w:type="dxa"/>
            <w:gridSpan w:val="2"/>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4082" w:type="dxa"/>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Contractual financial liabilities</w:t>
            </w:r>
          </w:p>
        </w:tc>
        <w:tc>
          <w:tcPr>
            <w:tcW w:w="1021" w:type="dxa"/>
            <w:vAlign w:val="center"/>
          </w:tcPr>
          <w:p w:rsidR="008A185A" w:rsidRPr="00AE259B" w:rsidRDefault="008A185A" w:rsidP="008A185A">
            <w:pPr>
              <w:pStyle w:val="Tablecopy"/>
              <w:spacing w:line="240" w:lineRule="auto"/>
              <w:jc w:val="right"/>
              <w:rPr>
                <w:rFonts w:ascii="Arial" w:hAnsi="Arial" w:cs="Arial"/>
              </w:rPr>
            </w:pPr>
          </w:p>
        </w:tc>
        <w:tc>
          <w:tcPr>
            <w:tcW w:w="851" w:type="dxa"/>
            <w:shd w:val="pct10"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360" w:type="dxa"/>
            <w:vAlign w:val="bottom"/>
          </w:tcPr>
          <w:p w:rsidR="008A185A" w:rsidRPr="00AE259B" w:rsidRDefault="008A185A" w:rsidP="008A185A">
            <w:pPr>
              <w:pStyle w:val="Tablecopy"/>
              <w:spacing w:line="240" w:lineRule="auto"/>
              <w:ind w:right="140"/>
              <w:jc w:val="right"/>
              <w:rPr>
                <w:rFonts w:ascii="Arial" w:hAnsi="Arial" w:cs="Arial"/>
              </w:rPr>
            </w:pPr>
          </w:p>
        </w:tc>
        <w:tc>
          <w:tcPr>
            <w:tcW w:w="1106" w:type="dxa"/>
            <w:gridSpan w:val="2"/>
            <w:shd w:val="clear" w:color="auto" w:fill="auto"/>
            <w:tcMar>
              <w:top w:w="113"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408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xml:space="preserve">Financial liabilities at amortised cost </w:t>
            </w:r>
            <w:r w:rsidRPr="00AE259B">
              <w:rPr>
                <w:rFonts w:ascii="Arial" w:hAnsi="Arial" w:cs="Arial"/>
                <w:vertAlign w:val="superscript"/>
              </w:rPr>
              <w:t>(i)</w:t>
            </w:r>
          </w:p>
        </w:tc>
        <w:tc>
          <w:tcPr>
            <w:tcW w:w="1021" w:type="dxa"/>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4(e)</w:t>
            </w:r>
          </w:p>
        </w:tc>
        <w:tc>
          <w:tcPr>
            <w:tcW w:w="851"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(32,548)</w:t>
            </w:r>
          </w:p>
        </w:tc>
        <w:tc>
          <w:tcPr>
            <w:tcW w:w="1360" w:type="dxa"/>
            <w:vAlign w:val="center"/>
          </w:tcPr>
          <w:p w:rsidR="008A185A" w:rsidRPr="00AE259B" w:rsidRDefault="008A185A" w:rsidP="008A185A">
            <w:pPr>
              <w:pStyle w:val="Tablecopy"/>
              <w:spacing w:line="240" w:lineRule="auto"/>
              <w:ind w:right="140"/>
              <w:jc w:val="right"/>
              <w:rPr>
                <w:rFonts w:ascii="Arial" w:hAnsi="Arial" w:cs="Arial"/>
              </w:rPr>
            </w:pPr>
            <w:r w:rsidRPr="00AE259B">
              <w:rPr>
                <w:rFonts w:ascii="Arial" w:hAnsi="Arial" w:cs="Arial"/>
              </w:rPr>
              <w:t>(8,120)</w:t>
            </w:r>
          </w:p>
        </w:tc>
        <w:tc>
          <w:tcPr>
            <w:tcW w:w="1106" w:type="dxa"/>
            <w:gridSpan w:val="2"/>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(8,120)</w:t>
            </w:r>
          </w:p>
        </w:tc>
      </w:tr>
      <w:tr w:rsidR="008A185A" w:rsidRPr="00AE259B" w:rsidTr="008A185A">
        <w:tc>
          <w:tcPr>
            <w:tcW w:w="408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contractual financial liabilities</w:t>
            </w:r>
          </w:p>
        </w:tc>
        <w:tc>
          <w:tcPr>
            <w:tcW w:w="1021" w:type="dxa"/>
            <w:vAlign w:val="center"/>
          </w:tcPr>
          <w:p w:rsidR="008A185A" w:rsidRPr="00AE259B" w:rsidRDefault="008A185A" w:rsidP="008A185A">
            <w:pPr>
              <w:pStyle w:val="Tablecopy"/>
              <w:spacing w:line="240" w:lineRule="auto"/>
              <w:jc w:val="right"/>
              <w:rPr>
                <w:rFonts w:ascii="Arial" w:hAnsi="Arial" w:cs="Arial"/>
                <w:b/>
              </w:rPr>
            </w:pPr>
          </w:p>
        </w:tc>
        <w:tc>
          <w:tcPr>
            <w:tcW w:w="851" w:type="dxa"/>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(32,548)</w:t>
            </w:r>
          </w:p>
        </w:tc>
        <w:tc>
          <w:tcPr>
            <w:tcW w:w="1360" w:type="dxa"/>
            <w:vAlign w:val="center"/>
          </w:tcPr>
          <w:p w:rsidR="008A185A" w:rsidRPr="00AE259B" w:rsidRDefault="008A185A" w:rsidP="008A185A">
            <w:pPr>
              <w:pStyle w:val="Tablecopy"/>
              <w:spacing w:line="240" w:lineRule="auto"/>
              <w:ind w:right="140"/>
              <w:jc w:val="right"/>
              <w:rPr>
                <w:rFonts w:ascii="Arial" w:hAnsi="Arial" w:cs="Arial"/>
                <w:b/>
              </w:rPr>
            </w:pPr>
            <w:r w:rsidRPr="00AE259B">
              <w:rPr>
                <w:rFonts w:ascii="Arial" w:hAnsi="Arial" w:cs="Arial"/>
                <w:b/>
              </w:rPr>
              <w:t>(8,120)</w:t>
            </w:r>
          </w:p>
        </w:tc>
        <w:tc>
          <w:tcPr>
            <w:tcW w:w="1106" w:type="dxa"/>
            <w:gridSpan w:val="2"/>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(8,120)</w:t>
            </w:r>
          </w:p>
        </w:tc>
      </w:tr>
      <w:tr w:rsidR="008A185A" w:rsidRPr="00AE259B" w:rsidTr="008A185A">
        <w:trPr>
          <w:gridAfter w:val="1"/>
          <w:wAfter w:w="56" w:type="dxa"/>
        </w:trPr>
        <w:tc>
          <w:tcPr>
            <w:tcW w:w="8364" w:type="dxa"/>
            <w:gridSpan w:val="5"/>
          </w:tcPr>
          <w:p w:rsidR="008A185A" w:rsidRPr="00AE259B" w:rsidRDefault="008A185A" w:rsidP="008A185A">
            <w:pPr>
              <w:pStyle w:val="Tablecopy"/>
              <w:spacing w:line="240" w:lineRule="auto"/>
              <w:ind w:left="142"/>
              <w:rPr>
                <w:rFonts w:ascii="Arial" w:hAnsi="Arial" w:cs="Arial"/>
              </w:rPr>
            </w:pPr>
            <w:r w:rsidRPr="00AE259B">
              <w:rPr>
                <w:rFonts w:ascii="Arial" w:hAnsi="Arial" w:cs="Arial"/>
              </w:rPr>
              <w:t>(i) Includes interest for Southern Cross Station Transport Interchange Facility.</w:t>
            </w:r>
          </w:p>
        </w:tc>
      </w:tr>
    </w:tbl>
    <w:p w:rsidR="00B11D08" w:rsidRDefault="00B11D08" w:rsidP="00B11D08">
      <w:pPr>
        <w:pStyle w:val="Heading20"/>
      </w:pPr>
      <w:bookmarkStart w:id="210" w:name="_Toc337537720"/>
    </w:p>
    <w:p w:rsidR="008A185A" w:rsidRPr="00AE259B" w:rsidRDefault="008A185A" w:rsidP="00B11D08">
      <w:pPr>
        <w:pStyle w:val="Heading20"/>
      </w:pPr>
      <w:r w:rsidRPr="00AE259B">
        <w:t>(b) Credit risk exposures</w:t>
      </w:r>
      <w:bookmarkEnd w:id="210"/>
    </w:p>
    <w:p w:rsidR="008A185A" w:rsidRPr="00AE259B" w:rsidRDefault="008A185A" w:rsidP="008A185A">
      <w:pPr>
        <w:rPr>
          <w:rFonts w:ascii="Arial" w:hAnsi="Arial" w:cs="Arial"/>
        </w:rPr>
      </w:pPr>
      <w:r w:rsidRPr="00AE259B">
        <w:rPr>
          <w:rFonts w:ascii="Arial" w:hAnsi="Arial" w:cs="Arial"/>
        </w:rPr>
        <w:t xml:space="preserve">Credit risk arises from the contractual financial assets of PTV, which comprise cash and cash deposits and non-statutory receivables.  PTV’s exposure to credit risk arises from the potential default of counter party on their contractual obligations resulting in financial loss to PTV.  Credit risk is measured at fair value and is monitored on a regular basis. </w:t>
      </w:r>
    </w:p>
    <w:p w:rsidR="008A185A" w:rsidRDefault="008A185A" w:rsidP="008A185A">
      <w:pPr>
        <w:rPr>
          <w:rFonts w:ascii="Arial" w:hAnsi="Arial" w:cs="Arial"/>
        </w:rPr>
      </w:pPr>
      <w:r w:rsidRPr="00AE259B">
        <w:rPr>
          <w:rFonts w:ascii="Arial" w:hAnsi="Arial" w:cs="Arial"/>
        </w:rPr>
        <w:t xml:space="preserve">Credit risk associated with PTV’s contractual financial assets is minimal because the main debtor is the Victorian Government.  For debtors other than government, PTV’s policy is to only deal with entities with high credit ratings, receivable amount from these debtors are immaterial. </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 xml:space="preserve">In addition, PTV does not engage in hedging for its contractual financial assets and mainly obtains financial assets that are of fixed interest rate except for cash assets, which are mainly cash at bank </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Provision of impairment for contractual financial assets is recognised when there is objective evidence that PTV will not be able to collect a receivable. Objective evidence includes financial difficulties of the debtor, default payments, debts which are more than 60 days overdue, and changes in debtor credit ratings.</w:t>
      </w:r>
    </w:p>
    <w:p w:rsidR="00B11D08" w:rsidRPr="00AE259B" w:rsidRDefault="00B11D08"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Except as otherwise detailed in the following table, the carrying amount of contractual financial assets recorded in the financial statements, net of any allowances for losses, represents PTV’s maximum exposure to credit risk without taking account of the value of any collateral obtained.</w:t>
      </w:r>
    </w:p>
    <w:p w:rsidR="00951FFC" w:rsidRDefault="00951FFC">
      <w:pPr>
        <w:rPr>
          <w:rFonts w:ascii="Arial" w:hAnsi="Arial" w:cs="Arial"/>
          <w:b/>
          <w:bCs/>
          <w:sz w:val="26"/>
        </w:rPr>
      </w:pPr>
      <w:r>
        <w:br w:type="page"/>
      </w:r>
    </w:p>
    <w:p w:rsidR="008A185A" w:rsidRPr="00AE259B" w:rsidRDefault="008A185A" w:rsidP="00B11D08">
      <w:pPr>
        <w:pStyle w:val="Heading30"/>
      </w:pPr>
      <w:r w:rsidRPr="00AE259B">
        <w:t>Credit quality of contractual financial assets that are neither past due nor impaired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370"/>
        <w:gridCol w:w="1300"/>
        <w:gridCol w:w="1300"/>
        <w:gridCol w:w="1300"/>
        <w:gridCol w:w="1299"/>
      </w:tblGrid>
      <w:tr w:rsidR="008A185A" w:rsidRPr="00AE259B" w:rsidTr="008A185A">
        <w:tc>
          <w:tcPr>
            <w:tcW w:w="2283"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jc w:val="left"/>
              <w:rPr>
                <w:rFonts w:ascii="Arial" w:hAnsi="Arial" w:cs="Arial"/>
              </w:rPr>
            </w:pPr>
          </w:p>
        </w:tc>
        <w:tc>
          <w:tcPr>
            <w:tcW w:w="679"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Government agencies (AAA credit rating)</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c>
          <w:tcPr>
            <w:tcW w:w="679"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Other (AA credit rating)</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c>
          <w:tcPr>
            <w:tcW w:w="679"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Other (not rated)</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c>
          <w:tcPr>
            <w:tcW w:w="679" w:type="pct"/>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Total</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$’000</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2013</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Cash and deposits</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30,063</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15,764</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45,827</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Receivables</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owing from government and agencies</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1,604</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1,604</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Receivables – current</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14,457</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14,457</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Receivables – non-current</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1,000</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1,000</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contractual financial assets</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31,667 </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15,764 </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15,457</w:t>
            </w:r>
          </w:p>
        </w:tc>
        <w:tc>
          <w:tcPr>
            <w:tcW w:w="679"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62,888 </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Consolidated 2012</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Cash and deposits</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30,004</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26,295</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56,299</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Receivables</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owing from government and agencies</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3,452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3,452 </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Receivables – current</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2,060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2,060 </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contractual financial assets</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33,456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26,295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2,060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61,811 </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Parent 2012</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Cash and deposits</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30,004</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26,295</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56,299</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Receivables</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Amounts owing from government and agencies</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3,452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3,452 </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Receivables – current</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2,060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2,060 </w:t>
            </w:r>
          </w:p>
        </w:tc>
      </w:tr>
      <w:tr w:rsidR="008A185A" w:rsidRPr="00AE259B" w:rsidTr="008A185A">
        <w:tc>
          <w:tcPr>
            <w:tcW w:w="2283"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contractual financial assets</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33,456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26,295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2,060 </w:t>
            </w:r>
          </w:p>
        </w:tc>
        <w:tc>
          <w:tcPr>
            <w:tcW w:w="679"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61,811 </w:t>
            </w:r>
          </w:p>
        </w:tc>
      </w:tr>
    </w:tbl>
    <w:p w:rsidR="00951FFC" w:rsidRDefault="00951FFC" w:rsidP="008A185A">
      <w:pPr>
        <w:rPr>
          <w:rFonts w:ascii="Arial" w:hAnsi="Arial" w:cs="Arial"/>
        </w:rPr>
      </w:pPr>
    </w:p>
    <w:p w:rsidR="00951FFC" w:rsidRDefault="00951FFC">
      <w:pPr>
        <w:rPr>
          <w:rFonts w:ascii="Arial" w:hAnsi="Arial" w:cs="Arial"/>
        </w:rPr>
      </w:pPr>
      <w:r>
        <w:rPr>
          <w:rFonts w:ascii="Arial" w:hAnsi="Arial" w:cs="Arial"/>
        </w:rPr>
        <w:br w:type="page"/>
      </w:r>
    </w:p>
    <w:p w:rsidR="008A185A" w:rsidRPr="00AE259B" w:rsidRDefault="008A185A" w:rsidP="00B11D08">
      <w:pPr>
        <w:pStyle w:val="Heading30"/>
      </w:pPr>
      <w:r w:rsidRPr="00AE259B">
        <w:t>Contractual financial assets that are either past due or impaired</w:t>
      </w:r>
    </w:p>
    <w:p w:rsidR="008A185A" w:rsidRDefault="008A185A" w:rsidP="008A185A">
      <w:pPr>
        <w:rPr>
          <w:rFonts w:ascii="Arial" w:hAnsi="Arial" w:cs="Arial"/>
        </w:rPr>
      </w:pPr>
      <w:r w:rsidRPr="00AE259B">
        <w:rPr>
          <w:rFonts w:ascii="Arial" w:hAnsi="Arial" w:cs="Arial"/>
        </w:rPr>
        <w:t>There are no material financial assets which are individually determined</w:t>
      </w:r>
      <w:r w:rsidR="00B11D08">
        <w:rPr>
          <w:rFonts w:ascii="Arial" w:hAnsi="Arial" w:cs="Arial"/>
        </w:rPr>
        <w:t xml:space="preserve"> to be impaired.  Currently PTV </w:t>
      </w:r>
      <w:r w:rsidRPr="00AE259B">
        <w:rPr>
          <w:rFonts w:ascii="Arial" w:hAnsi="Arial" w:cs="Arial"/>
        </w:rPr>
        <w:t>does not hold any collateral as security nor credit enhancements relating to any of its financial assets.</w:t>
      </w:r>
    </w:p>
    <w:p w:rsidR="00B11D08" w:rsidRPr="00AE259B" w:rsidRDefault="00B11D08" w:rsidP="008A185A">
      <w:pPr>
        <w:rPr>
          <w:rFonts w:ascii="Arial" w:hAnsi="Arial" w:cs="Arial"/>
        </w:rPr>
      </w:pPr>
    </w:p>
    <w:p w:rsidR="00B11D08" w:rsidRDefault="008A185A" w:rsidP="008A185A">
      <w:pPr>
        <w:rPr>
          <w:rFonts w:ascii="Arial" w:hAnsi="Arial" w:cs="Arial"/>
        </w:rPr>
      </w:pPr>
      <w:r w:rsidRPr="00AE259B">
        <w:rPr>
          <w:rFonts w:ascii="Arial" w:hAnsi="Arial" w:cs="Arial"/>
        </w:rPr>
        <w:t xml:space="preserve">There are no financial assets that have had their terms renegotiated so as to prevent them from being past due </w:t>
      </w:r>
      <w:r w:rsidR="00B11D08">
        <w:rPr>
          <w:rFonts w:ascii="Arial" w:hAnsi="Arial" w:cs="Arial"/>
        </w:rPr>
        <w:t xml:space="preserve"> </w:t>
      </w:r>
      <w:r w:rsidRPr="00AE259B">
        <w:rPr>
          <w:rFonts w:ascii="Arial" w:hAnsi="Arial" w:cs="Arial"/>
        </w:rPr>
        <w:t xml:space="preserve">or impaired, and they are stated at the carrying amounts as indicated. </w:t>
      </w:r>
    </w:p>
    <w:p w:rsidR="00B11D08"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The following table discloses the ageing only of contractual financial assets that are past due but not impaired.</w:t>
      </w:r>
    </w:p>
    <w:p w:rsidR="00B11D08" w:rsidRPr="00AE259B" w:rsidRDefault="00B11D08" w:rsidP="008A185A">
      <w:pPr>
        <w:rPr>
          <w:rFonts w:ascii="Arial" w:hAnsi="Arial" w:cs="Arial"/>
        </w:rPr>
      </w:pPr>
    </w:p>
    <w:p w:rsidR="008A185A" w:rsidRPr="00AE259B" w:rsidRDefault="008A185A" w:rsidP="00B11D08">
      <w:pPr>
        <w:pStyle w:val="Heading30"/>
      </w:pPr>
      <w:r w:rsidRPr="00AE259B">
        <w:t>Ageing analysis of contractual financial assets</w:t>
      </w:r>
      <w:r w:rsidRPr="00AE259B">
        <w:rPr>
          <w:vertAlign w:val="superscript"/>
        </w:rPr>
        <w: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8"/>
        <w:gridCol w:w="1001"/>
        <w:gridCol w:w="1152"/>
        <w:gridCol w:w="1001"/>
        <w:gridCol w:w="1001"/>
        <w:gridCol w:w="942"/>
        <w:gridCol w:w="945"/>
        <w:gridCol w:w="999"/>
      </w:tblGrid>
      <w:tr w:rsidR="008A185A" w:rsidRPr="00AE259B" w:rsidTr="008A185A">
        <w:tc>
          <w:tcPr>
            <w:tcW w:w="1321" w:type="pct"/>
            <w:vMerge w:val="restart"/>
            <w:shd w:val="clear" w:color="auto" w:fill="auto"/>
            <w:tcMar>
              <w:top w:w="57" w:type="dxa"/>
              <w:left w:w="113" w:type="dxa"/>
              <w:bottom w:w="85" w:type="dxa"/>
              <w:right w:w="113" w:type="dxa"/>
            </w:tcMar>
            <w:vAlign w:val="bottom"/>
          </w:tcPr>
          <w:p w:rsidR="008A185A" w:rsidRPr="00AE259B" w:rsidRDefault="008A185A" w:rsidP="008A185A">
            <w:pPr>
              <w:pStyle w:val="TableHeading"/>
              <w:jc w:val="left"/>
              <w:rPr>
                <w:rFonts w:ascii="Arial" w:hAnsi="Arial" w:cs="Arial"/>
              </w:rPr>
            </w:pPr>
          </w:p>
        </w:tc>
        <w:tc>
          <w:tcPr>
            <w:tcW w:w="523" w:type="pct"/>
            <w:vMerge w:val="restar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Carrying amount</w:t>
            </w:r>
          </w:p>
          <w:p w:rsidR="008A185A" w:rsidRPr="00AE259B" w:rsidRDefault="008A185A" w:rsidP="008A185A">
            <w:pPr>
              <w:pStyle w:val="TableHeading"/>
              <w:rPr>
                <w:rFonts w:ascii="Arial" w:hAnsi="Arial" w:cs="Arial"/>
              </w:rPr>
            </w:pPr>
            <w:r w:rsidRPr="00AE259B">
              <w:rPr>
                <w:rFonts w:ascii="Arial" w:hAnsi="Arial" w:cs="Arial"/>
              </w:rPr>
              <w:t>$’000</w:t>
            </w:r>
          </w:p>
        </w:tc>
        <w:tc>
          <w:tcPr>
            <w:tcW w:w="602" w:type="pct"/>
            <w:vMerge w:val="restar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Not past due and not impaired</w:t>
            </w:r>
          </w:p>
          <w:p w:rsidR="008A185A" w:rsidRPr="00AE259B" w:rsidRDefault="008A185A" w:rsidP="008A185A">
            <w:pPr>
              <w:pStyle w:val="TableHeading"/>
              <w:rPr>
                <w:rFonts w:ascii="Arial" w:hAnsi="Arial" w:cs="Arial"/>
              </w:rPr>
            </w:pPr>
            <w:r w:rsidRPr="00AE259B">
              <w:rPr>
                <w:rFonts w:ascii="Arial" w:hAnsi="Arial" w:cs="Arial"/>
              </w:rPr>
              <w:t>$’000</w:t>
            </w:r>
          </w:p>
        </w:tc>
        <w:tc>
          <w:tcPr>
            <w:tcW w:w="2032" w:type="pct"/>
            <w:gridSpan w:val="4"/>
            <w:shd w:val="clear" w:color="auto" w:fill="auto"/>
            <w:tcMar>
              <w:top w:w="57" w:type="dxa"/>
              <w:left w:w="113" w:type="dxa"/>
              <w:bottom w:w="85" w:type="dxa"/>
              <w:right w:w="113" w:type="dxa"/>
            </w:tcMar>
            <w:vAlign w:val="bottom"/>
          </w:tcPr>
          <w:p w:rsidR="008A185A" w:rsidRPr="00AE259B" w:rsidRDefault="008A185A" w:rsidP="008A185A">
            <w:pPr>
              <w:pStyle w:val="TableHeading"/>
              <w:jc w:val="center"/>
              <w:rPr>
                <w:rFonts w:ascii="Arial" w:hAnsi="Arial" w:cs="Arial"/>
              </w:rPr>
            </w:pPr>
            <w:r w:rsidRPr="00AE259B">
              <w:rPr>
                <w:rFonts w:ascii="Arial" w:hAnsi="Arial" w:cs="Arial"/>
              </w:rPr>
              <w:t>Maturity dates</w:t>
            </w:r>
          </w:p>
        </w:tc>
        <w:tc>
          <w:tcPr>
            <w:tcW w:w="522" w:type="pct"/>
            <w:vMerge w:val="restar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Impaired financial assets</w:t>
            </w:r>
          </w:p>
          <w:p w:rsidR="008A185A" w:rsidRPr="00AE259B" w:rsidRDefault="008A185A" w:rsidP="008A185A">
            <w:pPr>
              <w:pStyle w:val="TableHeading"/>
              <w:rPr>
                <w:rFonts w:ascii="Arial" w:hAnsi="Arial" w:cs="Arial"/>
              </w:rPr>
            </w:pPr>
            <w:r w:rsidRPr="00AE259B">
              <w:rPr>
                <w:rFonts w:ascii="Arial" w:hAnsi="Arial" w:cs="Arial"/>
              </w:rPr>
              <w:t>$’000</w:t>
            </w:r>
          </w:p>
        </w:tc>
      </w:tr>
      <w:tr w:rsidR="008A185A" w:rsidRPr="00AE259B" w:rsidTr="008A185A">
        <w:tc>
          <w:tcPr>
            <w:tcW w:w="1321" w:type="pct"/>
            <w:vMerge/>
            <w:shd w:val="clear" w:color="auto" w:fill="auto"/>
          </w:tcPr>
          <w:p w:rsidR="008A185A" w:rsidRPr="00AE259B" w:rsidRDefault="008A185A" w:rsidP="008A185A">
            <w:pPr>
              <w:pStyle w:val="TableHeading"/>
              <w:rPr>
                <w:rFonts w:ascii="Arial" w:hAnsi="Arial" w:cs="Arial"/>
              </w:rPr>
            </w:pPr>
          </w:p>
        </w:tc>
        <w:tc>
          <w:tcPr>
            <w:tcW w:w="523" w:type="pct"/>
            <w:vMerge/>
            <w:tcBorders>
              <w:bottom w:val="single" w:sz="6" w:space="0" w:color="auto"/>
            </w:tcBorders>
            <w:shd w:val="clear" w:color="auto" w:fill="auto"/>
          </w:tcPr>
          <w:p w:rsidR="008A185A" w:rsidRPr="00AE259B" w:rsidRDefault="008A185A" w:rsidP="008A185A">
            <w:pPr>
              <w:pStyle w:val="TableHeading"/>
              <w:rPr>
                <w:rFonts w:ascii="Arial" w:hAnsi="Arial" w:cs="Arial"/>
              </w:rPr>
            </w:pPr>
          </w:p>
        </w:tc>
        <w:tc>
          <w:tcPr>
            <w:tcW w:w="602" w:type="pct"/>
            <w:vMerge/>
            <w:tcBorders>
              <w:bottom w:val="single" w:sz="6" w:space="0" w:color="auto"/>
            </w:tcBorders>
            <w:shd w:val="clear" w:color="auto" w:fill="auto"/>
          </w:tcPr>
          <w:p w:rsidR="008A185A" w:rsidRPr="00AE259B" w:rsidRDefault="008A185A" w:rsidP="008A185A">
            <w:pPr>
              <w:pStyle w:val="TableHeading"/>
              <w:rPr>
                <w:rFonts w:ascii="Arial" w:hAnsi="Arial" w:cs="Arial"/>
              </w:rPr>
            </w:pPr>
          </w:p>
        </w:tc>
        <w:tc>
          <w:tcPr>
            <w:tcW w:w="523"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Less than 1 month</w:t>
            </w:r>
          </w:p>
          <w:p w:rsidR="008A185A" w:rsidRPr="00AE259B" w:rsidRDefault="008A185A" w:rsidP="008A185A">
            <w:pPr>
              <w:pStyle w:val="TableHeading"/>
              <w:rPr>
                <w:rFonts w:ascii="Arial" w:hAnsi="Arial" w:cs="Arial"/>
              </w:rPr>
            </w:pPr>
            <w:r w:rsidRPr="00AE259B">
              <w:rPr>
                <w:rFonts w:ascii="Arial" w:hAnsi="Arial" w:cs="Arial"/>
              </w:rPr>
              <w:t>$’000</w:t>
            </w:r>
          </w:p>
        </w:tc>
        <w:tc>
          <w:tcPr>
            <w:tcW w:w="523"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1 – 3 months</w:t>
            </w:r>
          </w:p>
          <w:p w:rsidR="008A185A" w:rsidRPr="00AE259B" w:rsidRDefault="008A185A" w:rsidP="008A185A">
            <w:pPr>
              <w:pStyle w:val="TableHeading"/>
              <w:rPr>
                <w:rFonts w:ascii="Arial" w:hAnsi="Arial" w:cs="Arial"/>
              </w:rPr>
            </w:pPr>
            <w:r w:rsidRPr="00AE259B">
              <w:rPr>
                <w:rFonts w:ascii="Arial" w:hAnsi="Arial" w:cs="Arial"/>
              </w:rPr>
              <w:t>$’000</w:t>
            </w:r>
          </w:p>
        </w:tc>
        <w:tc>
          <w:tcPr>
            <w:tcW w:w="492"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3 months – 1 year</w:t>
            </w:r>
          </w:p>
          <w:p w:rsidR="008A185A" w:rsidRPr="00AE259B" w:rsidRDefault="008A185A" w:rsidP="008A185A">
            <w:pPr>
              <w:pStyle w:val="TableHeading"/>
              <w:rPr>
                <w:rFonts w:ascii="Arial" w:hAnsi="Arial" w:cs="Arial"/>
              </w:rPr>
            </w:pPr>
            <w:r w:rsidRPr="00AE259B">
              <w:rPr>
                <w:rFonts w:ascii="Arial" w:hAnsi="Arial" w:cs="Arial"/>
              </w:rPr>
              <w:t>$’000</w:t>
            </w:r>
          </w:p>
        </w:tc>
        <w:tc>
          <w:tcPr>
            <w:tcW w:w="494" w:type="pct"/>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1 – 5 years</w:t>
            </w:r>
          </w:p>
          <w:p w:rsidR="008A185A" w:rsidRPr="00AE259B" w:rsidRDefault="008A185A" w:rsidP="008A185A">
            <w:pPr>
              <w:pStyle w:val="TableHeading"/>
              <w:rPr>
                <w:rFonts w:ascii="Arial" w:hAnsi="Arial" w:cs="Arial"/>
              </w:rPr>
            </w:pPr>
            <w:r w:rsidRPr="00AE259B">
              <w:rPr>
                <w:rFonts w:ascii="Arial" w:hAnsi="Arial" w:cs="Arial"/>
              </w:rPr>
              <w:t>$’000</w:t>
            </w:r>
          </w:p>
        </w:tc>
        <w:tc>
          <w:tcPr>
            <w:tcW w:w="522" w:type="pct"/>
            <w:vMerge/>
            <w:tcBorders>
              <w:bottom w:val="single" w:sz="6" w:space="0" w:color="auto"/>
            </w:tcBorders>
            <w:shd w:val="clear" w:color="auto" w:fill="auto"/>
          </w:tcPr>
          <w:p w:rsidR="008A185A" w:rsidRPr="00AE259B" w:rsidRDefault="008A185A" w:rsidP="008A185A">
            <w:pPr>
              <w:pStyle w:val="TableHeading"/>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2013</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Contractual financial assets</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Cash and deposits</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45,827 </w:t>
            </w:r>
          </w:p>
        </w:tc>
        <w:tc>
          <w:tcPr>
            <w:tcW w:w="60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45,827 </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2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Receivables</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owing from government and agencies</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1,604 </w:t>
            </w:r>
          </w:p>
        </w:tc>
        <w:tc>
          <w:tcPr>
            <w:tcW w:w="60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1,431 </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94</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79 </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2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Receivables - current</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14,457 </w:t>
            </w:r>
          </w:p>
        </w:tc>
        <w:tc>
          <w:tcPr>
            <w:tcW w:w="60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12,933 </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6 </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1,189 </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329 </w:t>
            </w:r>
          </w:p>
        </w:tc>
        <w:tc>
          <w:tcPr>
            <w:tcW w:w="49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52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Receivables – non-current</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1,000</w:t>
            </w:r>
          </w:p>
        </w:tc>
        <w:tc>
          <w:tcPr>
            <w:tcW w:w="60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1,000</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49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52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62,888 </w:t>
            </w:r>
          </w:p>
        </w:tc>
        <w:tc>
          <w:tcPr>
            <w:tcW w:w="60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61,191 </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100 </w:t>
            </w:r>
          </w:p>
        </w:tc>
        <w:tc>
          <w:tcPr>
            <w:tcW w:w="523"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1,268 </w:t>
            </w:r>
          </w:p>
        </w:tc>
        <w:tc>
          <w:tcPr>
            <w:tcW w:w="49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329</w:t>
            </w:r>
          </w:p>
        </w:tc>
        <w:tc>
          <w:tcPr>
            <w:tcW w:w="494"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w:t>
            </w:r>
          </w:p>
        </w:tc>
        <w:tc>
          <w:tcPr>
            <w:tcW w:w="522"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Consolidated 2012</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Contractual financial assets</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Cash and deposits</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56,299 </w:t>
            </w: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56,299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Receivables</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owing from government and agencies</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3,452 </w:t>
            </w: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2,754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459</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239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Receivables - current</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2,060 </w:t>
            </w: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1,459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26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575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61,811 </w:t>
            </w: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60,512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485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814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w:t>
            </w: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w:t>
            </w: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Parent 2012</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Contractual financial assets</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Cash and deposits</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56,299 </w:t>
            </w: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56,299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Receivables</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owing from government and agencies</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3,452 </w:t>
            </w: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2,754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459</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239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Receivables - current</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2,060 </w:t>
            </w: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1,459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26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575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1321"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61,811 </w:t>
            </w:r>
          </w:p>
        </w:tc>
        <w:tc>
          <w:tcPr>
            <w:tcW w:w="60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60,512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485 </w:t>
            </w:r>
          </w:p>
        </w:tc>
        <w:tc>
          <w:tcPr>
            <w:tcW w:w="523"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814 </w:t>
            </w:r>
          </w:p>
        </w:tc>
        <w:tc>
          <w:tcPr>
            <w:tcW w:w="49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w:t>
            </w:r>
          </w:p>
        </w:tc>
        <w:tc>
          <w:tcPr>
            <w:tcW w:w="494"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w:t>
            </w:r>
          </w:p>
        </w:tc>
        <w:tc>
          <w:tcPr>
            <w:tcW w:w="522"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5000" w:type="pct"/>
            <w:gridSpan w:val="8"/>
            <w:shd w:val="clear" w:color="auto" w:fill="auto"/>
            <w:tcMar>
              <w:top w:w="113" w:type="dxa"/>
              <w:left w:w="113" w:type="dxa"/>
              <w:bottom w:w="113"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(i) The carrying amounts disclosed here exclude statutory amounts (e.g. amount owing from Victorian Government and GST input tax credit recoverable).</w:t>
            </w:r>
          </w:p>
        </w:tc>
      </w:tr>
    </w:tbl>
    <w:p w:rsidR="00B11D08" w:rsidRDefault="00B11D08" w:rsidP="008A185A">
      <w:pPr>
        <w:pStyle w:val="Heading3"/>
        <w:rPr>
          <w:rFonts w:ascii="Arial" w:hAnsi="Arial" w:cs="Arial"/>
        </w:rPr>
      </w:pPr>
    </w:p>
    <w:p w:rsidR="00B11D08" w:rsidRPr="00AD22A8" w:rsidRDefault="00B11D08">
      <w:pPr>
        <w:rPr>
          <w:rFonts w:ascii="Arial" w:hAnsi="Arial" w:cs="Arial"/>
          <w:b/>
          <w:bCs/>
          <w:color w:val="4F81BD"/>
        </w:rPr>
      </w:pPr>
      <w:r>
        <w:rPr>
          <w:rFonts w:ascii="Arial" w:hAnsi="Arial" w:cs="Arial"/>
        </w:rPr>
        <w:br w:type="page"/>
      </w:r>
    </w:p>
    <w:p w:rsidR="008A185A" w:rsidRPr="00AE259B" w:rsidRDefault="008A185A" w:rsidP="00B11D08">
      <w:pPr>
        <w:pStyle w:val="Heading20"/>
      </w:pPr>
      <w:r w:rsidRPr="00AE259B">
        <w:t>(c)</w:t>
      </w:r>
      <w:r w:rsidRPr="00AE259B">
        <w:tab/>
        <w:t xml:space="preserve">Liquidity risk </w:t>
      </w:r>
    </w:p>
    <w:p w:rsidR="008A185A" w:rsidRDefault="008A185A" w:rsidP="008A185A">
      <w:pPr>
        <w:rPr>
          <w:rFonts w:ascii="Arial" w:hAnsi="Arial" w:cs="Arial"/>
        </w:rPr>
      </w:pPr>
      <w:r w:rsidRPr="00AE259B">
        <w:rPr>
          <w:rFonts w:ascii="Arial" w:hAnsi="Arial" w:cs="Arial"/>
        </w:rPr>
        <w:t>Liquidity risk is the risk that PTV would be unable to meet its financial obligations as and when they fall due.  PTV operates under the Government fair payments policy of settling financial obligations within 30 days and in the event of a dispute, making payments within 30 days from the date of resolution.</w:t>
      </w:r>
    </w:p>
    <w:p w:rsidR="00B11D08" w:rsidRPr="00AE259B" w:rsidRDefault="00B11D08" w:rsidP="008A185A">
      <w:pPr>
        <w:rPr>
          <w:rFonts w:ascii="Arial" w:hAnsi="Arial" w:cs="Arial"/>
        </w:rPr>
      </w:pPr>
    </w:p>
    <w:p w:rsidR="00B11D08" w:rsidRDefault="008A185A" w:rsidP="00B11D08">
      <w:pPr>
        <w:rPr>
          <w:rFonts w:ascii="Arial" w:hAnsi="Arial" w:cs="Arial"/>
        </w:rPr>
      </w:pPr>
      <w:r w:rsidRPr="00AE259B">
        <w:rPr>
          <w:rFonts w:ascii="Arial" w:hAnsi="Arial" w:cs="Arial"/>
        </w:rPr>
        <w:t>PTV’s maximum exposure to liquidity risk is the carrying amount of financial liabilities as disclosed in the face of the balance sheet.  PTV continuously manages its liquidity risk through monitoring future cash flows.</w:t>
      </w:r>
      <w:r w:rsidR="00B11D08">
        <w:rPr>
          <w:rFonts w:ascii="Arial" w:hAnsi="Arial" w:cs="Arial"/>
        </w:rPr>
        <w:t xml:space="preserve"> </w:t>
      </w:r>
      <w:r w:rsidRPr="00AE259B">
        <w:rPr>
          <w:rFonts w:ascii="Arial" w:hAnsi="Arial" w:cs="Arial"/>
        </w:rPr>
        <w:t>PTV’s exposure to liquidity risk is deemed insignificant based on prior periods’ data and current assessment of risk.</w:t>
      </w:r>
      <w:r w:rsidR="00B11D08">
        <w:rPr>
          <w:rFonts w:ascii="Arial" w:hAnsi="Arial" w:cs="Arial"/>
        </w:rPr>
        <w:t xml:space="preserve"> </w:t>
      </w:r>
      <w:r w:rsidRPr="00AE259B">
        <w:rPr>
          <w:rFonts w:ascii="Arial" w:hAnsi="Arial" w:cs="Arial"/>
        </w:rPr>
        <w:t xml:space="preserve">The following table discloses the contractual maturity analysis for PTV’s contractual financial liabilities. </w:t>
      </w:r>
    </w:p>
    <w:p w:rsidR="006B7F1A" w:rsidRDefault="006B7F1A">
      <w:pPr>
        <w:rPr>
          <w:rFonts w:ascii="Arial" w:hAnsi="Arial" w:cs="Arial"/>
          <w:b/>
          <w:bCs/>
          <w:sz w:val="26"/>
        </w:rPr>
      </w:pPr>
      <w:r>
        <w:br w:type="page"/>
      </w:r>
    </w:p>
    <w:p w:rsidR="008A185A" w:rsidRPr="00AE259B" w:rsidRDefault="008A185A" w:rsidP="00B11D08">
      <w:pPr>
        <w:pStyle w:val="Heading30"/>
      </w:pPr>
      <w:r w:rsidRPr="00AE259B">
        <w:t>Maturity analysis of contractual financial liabilities</w:t>
      </w:r>
      <w:r w:rsidRPr="00AE259B">
        <w:rPr>
          <w:vertAlign w:val="superscript"/>
        </w:rPr>
        <w:t>(i)</w:t>
      </w:r>
    </w:p>
    <w:tbl>
      <w:tblPr>
        <w:tblW w:w="0" w:type="auto"/>
        <w:tblInd w:w="113" w:type="dxa"/>
        <w:tblLayout w:type="fixed"/>
        <w:tblCellMar>
          <w:left w:w="0" w:type="dxa"/>
          <w:right w:w="0" w:type="dxa"/>
        </w:tblCellMar>
        <w:tblLook w:val="0000" w:firstRow="0" w:lastRow="0" w:firstColumn="0" w:lastColumn="0" w:noHBand="0" w:noVBand="0"/>
      </w:tblPr>
      <w:tblGrid>
        <w:gridCol w:w="3002"/>
        <w:gridCol w:w="905"/>
        <w:gridCol w:w="906"/>
        <w:gridCol w:w="878"/>
        <w:gridCol w:w="827"/>
        <w:gridCol w:w="828"/>
        <w:gridCol w:w="827"/>
        <w:gridCol w:w="828"/>
      </w:tblGrid>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p>
        </w:tc>
        <w:tc>
          <w:tcPr>
            <w:tcW w:w="905"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p>
        </w:tc>
        <w:tc>
          <w:tcPr>
            <w:tcW w:w="4188" w:type="dxa"/>
            <w:gridSpan w:val="5"/>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jc w:val="center"/>
              <w:rPr>
                <w:rFonts w:ascii="Arial" w:hAnsi="Arial" w:cs="Arial"/>
              </w:rPr>
            </w:pPr>
            <w:r w:rsidRPr="00AE259B">
              <w:rPr>
                <w:rFonts w:ascii="Arial" w:hAnsi="Arial" w:cs="Arial"/>
              </w:rPr>
              <w:t>Maturity dates</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jc w:val="left"/>
              <w:rPr>
                <w:rFonts w:ascii="Arial" w:hAnsi="Arial" w:cs="Arial"/>
              </w:rPr>
            </w:pPr>
          </w:p>
        </w:tc>
        <w:tc>
          <w:tcPr>
            <w:tcW w:w="9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Carrying amount</w:t>
            </w:r>
          </w:p>
          <w:p w:rsidR="008A185A" w:rsidRPr="00AE259B" w:rsidRDefault="008A185A" w:rsidP="008A185A">
            <w:pPr>
              <w:pStyle w:val="TableHeading"/>
              <w:rPr>
                <w:rFonts w:ascii="Arial" w:hAnsi="Arial" w:cs="Arial"/>
              </w:rPr>
            </w:pPr>
            <w:r w:rsidRPr="00AE259B">
              <w:rPr>
                <w:rFonts w:ascii="Arial" w:hAnsi="Arial" w:cs="Arial"/>
              </w:rPr>
              <w:t>$’000</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Nominal</w:t>
            </w:r>
            <w:r w:rsidRPr="00AE259B">
              <w:rPr>
                <w:rFonts w:ascii="Arial" w:hAnsi="Arial" w:cs="Arial"/>
              </w:rPr>
              <w:br/>
              <w:t>amount</w:t>
            </w:r>
          </w:p>
          <w:p w:rsidR="008A185A" w:rsidRPr="00AE259B" w:rsidRDefault="008A185A" w:rsidP="008A185A">
            <w:pPr>
              <w:pStyle w:val="TableHeading"/>
              <w:rPr>
                <w:rFonts w:ascii="Arial" w:hAnsi="Arial" w:cs="Arial"/>
              </w:rPr>
            </w:pPr>
            <w:r w:rsidRPr="00AE259B">
              <w:rPr>
                <w:rFonts w:ascii="Arial" w:hAnsi="Arial" w:cs="Arial"/>
              </w:rPr>
              <w:t>$’000</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Less than 1 month</w:t>
            </w:r>
          </w:p>
          <w:p w:rsidR="008A185A" w:rsidRPr="00AE259B" w:rsidRDefault="008A185A" w:rsidP="008A185A">
            <w:pPr>
              <w:pStyle w:val="TableHeading"/>
              <w:rPr>
                <w:rFonts w:ascii="Arial" w:hAnsi="Arial" w:cs="Arial"/>
              </w:rPr>
            </w:pPr>
            <w:r w:rsidRPr="00AE259B">
              <w:rPr>
                <w:rFonts w:ascii="Arial" w:hAnsi="Arial" w:cs="Arial"/>
              </w:rPr>
              <w:t>$’000</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1 – 3 months</w:t>
            </w:r>
          </w:p>
          <w:p w:rsidR="008A185A" w:rsidRPr="00AE259B" w:rsidRDefault="008A185A" w:rsidP="008A185A">
            <w:pPr>
              <w:pStyle w:val="TableHeading"/>
              <w:rPr>
                <w:rFonts w:ascii="Arial" w:hAnsi="Arial" w:cs="Arial"/>
              </w:rPr>
            </w:pPr>
            <w:r w:rsidRPr="00AE259B">
              <w:rPr>
                <w:rFonts w:ascii="Arial" w:hAnsi="Arial" w:cs="Arial"/>
              </w:rPr>
              <w:t>$’000</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3 months – 1 year</w:t>
            </w:r>
          </w:p>
          <w:p w:rsidR="008A185A" w:rsidRPr="00AE259B" w:rsidRDefault="008A185A" w:rsidP="008A185A">
            <w:pPr>
              <w:pStyle w:val="TableHeading"/>
              <w:rPr>
                <w:rFonts w:ascii="Arial" w:hAnsi="Arial" w:cs="Arial"/>
              </w:rPr>
            </w:pPr>
            <w:r w:rsidRPr="00AE259B">
              <w:rPr>
                <w:rFonts w:ascii="Arial" w:hAnsi="Arial" w:cs="Arial"/>
              </w:rPr>
              <w:t>$’000</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1 – 5 years</w:t>
            </w:r>
          </w:p>
          <w:p w:rsidR="008A185A" w:rsidRPr="00AE259B" w:rsidRDefault="008A185A" w:rsidP="008A185A">
            <w:pPr>
              <w:pStyle w:val="TableHeading"/>
              <w:rPr>
                <w:rFonts w:ascii="Arial" w:hAnsi="Arial" w:cs="Arial"/>
              </w:rPr>
            </w:pPr>
            <w:r w:rsidRPr="00AE259B">
              <w:rPr>
                <w:rFonts w:ascii="Arial" w:hAnsi="Arial" w:cs="Arial"/>
              </w:rPr>
              <w:t>$’000</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5+ years</w:t>
            </w:r>
            <w:r w:rsidRPr="00AE259B">
              <w:rPr>
                <w:rFonts w:ascii="Arial" w:hAnsi="Arial" w:cs="Arial"/>
              </w:rPr>
              <w:br/>
              <w:t>$’000</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2013</w:t>
            </w:r>
          </w:p>
        </w:tc>
        <w:tc>
          <w:tcPr>
            <w:tcW w:w="905"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Contractual financial liabilities</w:t>
            </w:r>
          </w:p>
        </w:tc>
        <w:tc>
          <w:tcPr>
            <w:tcW w:w="905"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 xml:space="preserve">Payables </w:t>
            </w:r>
            <w:r w:rsidRPr="00AE259B">
              <w:rPr>
                <w:rFonts w:ascii="Arial" w:hAnsi="Arial" w:cs="Arial"/>
                <w:b/>
                <w:vertAlign w:val="superscript"/>
              </w:rPr>
              <w:t>(ii)</w:t>
            </w:r>
          </w:p>
        </w:tc>
        <w:tc>
          <w:tcPr>
            <w:tcW w:w="905"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Supplies and services</w:t>
            </w:r>
          </w:p>
        </w:tc>
        <w:tc>
          <w:tcPr>
            <w:tcW w:w="905"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404,422 </w:t>
            </w:r>
          </w:p>
        </w:tc>
        <w:tc>
          <w:tcPr>
            <w:tcW w:w="906"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404,422</w:t>
            </w:r>
          </w:p>
        </w:tc>
        <w:tc>
          <w:tcPr>
            <w:tcW w:w="87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404,422 </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payable to government and agencies</w:t>
            </w:r>
          </w:p>
        </w:tc>
        <w:tc>
          <w:tcPr>
            <w:tcW w:w="905"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119,987 </w:t>
            </w:r>
          </w:p>
        </w:tc>
        <w:tc>
          <w:tcPr>
            <w:tcW w:w="906"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119,987 </w:t>
            </w:r>
          </w:p>
        </w:tc>
        <w:tc>
          <w:tcPr>
            <w:tcW w:w="87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119,987 </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Borrowings</w:t>
            </w:r>
          </w:p>
        </w:tc>
        <w:tc>
          <w:tcPr>
            <w:tcW w:w="905"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motor vehicle</w:t>
            </w:r>
          </w:p>
        </w:tc>
        <w:tc>
          <w:tcPr>
            <w:tcW w:w="905"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607 </w:t>
            </w:r>
          </w:p>
        </w:tc>
        <w:tc>
          <w:tcPr>
            <w:tcW w:w="906"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655 </w:t>
            </w:r>
          </w:p>
        </w:tc>
        <w:tc>
          <w:tcPr>
            <w:tcW w:w="87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93</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43</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156</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363</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Southern Cross Station Transport Interchange Facility</w:t>
            </w:r>
          </w:p>
        </w:tc>
        <w:tc>
          <w:tcPr>
            <w:tcW w:w="905"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376,822</w:t>
            </w:r>
          </w:p>
        </w:tc>
        <w:tc>
          <w:tcPr>
            <w:tcW w:w="906"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918,210 </w:t>
            </w:r>
          </w:p>
        </w:tc>
        <w:tc>
          <w:tcPr>
            <w:tcW w:w="87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7,880 </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23,933 </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135,407 </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750,990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905"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901,838</w:t>
            </w:r>
          </w:p>
        </w:tc>
        <w:tc>
          <w:tcPr>
            <w:tcW w:w="906"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1,443,274 </w:t>
            </w:r>
          </w:p>
        </w:tc>
        <w:tc>
          <w:tcPr>
            <w:tcW w:w="87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524,502 </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7,923 </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24,089 </w:t>
            </w:r>
          </w:p>
        </w:tc>
        <w:tc>
          <w:tcPr>
            <w:tcW w:w="827"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135,770 </w:t>
            </w:r>
          </w:p>
        </w:tc>
        <w:tc>
          <w:tcPr>
            <w:tcW w:w="828" w:type="dxa"/>
            <w:tcBorders>
              <w:top w:val="single" w:sz="6" w:space="0" w:color="auto"/>
              <w:left w:val="single" w:sz="6" w:space="0" w:color="auto"/>
              <w:bottom w:val="single" w:sz="6" w:space="0" w:color="auto"/>
              <w:right w:val="single" w:sz="6" w:space="0" w:color="auto"/>
            </w:tcBorders>
            <w:shd w:val="pct10"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750,990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Consolidated 2012</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Contractual financial liabilities</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 xml:space="preserve">Payables </w:t>
            </w:r>
            <w:r w:rsidRPr="00AE259B">
              <w:rPr>
                <w:rFonts w:ascii="Arial" w:hAnsi="Arial" w:cs="Arial"/>
                <w:b/>
                <w:vertAlign w:val="superscript"/>
              </w:rPr>
              <w:t>(ii)</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Supplies and services</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340,636 </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340,636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340,632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payable to government and agencies</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103,102 </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103,102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102,726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44</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22</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310</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Borrowings</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motor vehicle</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851 </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912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91</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72</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362</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387</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Southern Cross Station Transport Interchange Facility</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375,340 </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949,247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7,687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23,350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132,105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786,105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819,929</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1,393,897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443,449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7,807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23,734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132,802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786,105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Parent 2012</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Contractual financial liabilities</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 xml:space="preserve">Payables </w:t>
            </w:r>
            <w:r w:rsidRPr="00AE259B">
              <w:rPr>
                <w:rFonts w:ascii="Arial" w:hAnsi="Arial" w:cs="Arial"/>
                <w:b/>
                <w:vertAlign w:val="superscript"/>
              </w:rPr>
              <w:t>(ii)</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Supplies and services</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340,636 </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340,636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340,632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payable to government and agencies</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103,102 </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103,102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102,726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44</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22</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310</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Borrowings</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motor vehicle</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851 </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912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91</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72</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362</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387</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Southern Cross Station Transport Interchange Facility</w:t>
            </w: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375,340 </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949,247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7,687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23,350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132,105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786,105 </w:t>
            </w:r>
          </w:p>
        </w:tc>
      </w:tr>
      <w:tr w:rsidR="008A185A" w:rsidRPr="00AE259B" w:rsidTr="008A185A">
        <w:tc>
          <w:tcPr>
            <w:tcW w:w="3002"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905"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819,929</w:t>
            </w:r>
          </w:p>
        </w:tc>
        <w:tc>
          <w:tcPr>
            <w:tcW w:w="90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1,393,897 </w:t>
            </w:r>
          </w:p>
        </w:tc>
        <w:tc>
          <w:tcPr>
            <w:tcW w:w="87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443,449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7,807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23,734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132,802 </w:t>
            </w:r>
          </w:p>
        </w:tc>
        <w:tc>
          <w:tcPr>
            <w:tcW w:w="828"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786,105 </w:t>
            </w:r>
          </w:p>
        </w:tc>
      </w:tr>
      <w:tr w:rsidR="008A185A" w:rsidRPr="00AE259B" w:rsidTr="008A185A">
        <w:tc>
          <w:tcPr>
            <w:tcW w:w="9001" w:type="dxa"/>
            <w:gridSpan w:val="8"/>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(i) Maturity analysis is presented using the contractual undiscounted cash flows.</w:t>
            </w:r>
          </w:p>
          <w:p w:rsidR="008A185A" w:rsidRPr="00AE259B" w:rsidRDefault="008A185A" w:rsidP="008A185A">
            <w:pPr>
              <w:pStyle w:val="Tablecopy"/>
              <w:rPr>
                <w:rFonts w:ascii="Arial" w:hAnsi="Arial" w:cs="Arial"/>
              </w:rPr>
            </w:pPr>
            <w:r w:rsidRPr="00AE259B">
              <w:rPr>
                <w:rFonts w:ascii="Arial" w:hAnsi="Arial" w:cs="Arial"/>
              </w:rPr>
              <w:t>(ii) The amount in payables disclosed excludes statutory payables (i.e. GST output tax payable).</w:t>
            </w:r>
          </w:p>
        </w:tc>
      </w:tr>
    </w:tbl>
    <w:p w:rsidR="00B11D08" w:rsidRDefault="00B11D08" w:rsidP="008A185A">
      <w:pPr>
        <w:pStyle w:val="Heading2"/>
        <w:rPr>
          <w:rFonts w:ascii="Arial" w:hAnsi="Arial" w:cs="Arial"/>
          <w:sz w:val="24"/>
          <w:szCs w:val="24"/>
        </w:rPr>
      </w:pPr>
      <w:bookmarkStart w:id="211" w:name="_Toc337537721"/>
    </w:p>
    <w:p w:rsidR="00B11D08" w:rsidRPr="00AD22A8" w:rsidRDefault="00B11D08">
      <w:pPr>
        <w:rPr>
          <w:rFonts w:ascii="Arial" w:hAnsi="Arial" w:cs="Arial"/>
          <w:b/>
          <w:bCs/>
          <w:color w:val="4F81BD"/>
        </w:rPr>
      </w:pPr>
      <w:r>
        <w:rPr>
          <w:rFonts w:ascii="Arial" w:hAnsi="Arial" w:cs="Arial"/>
        </w:rPr>
        <w:br w:type="page"/>
      </w:r>
    </w:p>
    <w:p w:rsidR="008A185A" w:rsidRPr="00AE259B" w:rsidRDefault="008A185A" w:rsidP="00B11D08">
      <w:pPr>
        <w:pStyle w:val="Heading20"/>
      </w:pPr>
      <w:r w:rsidRPr="00AE259B">
        <w:t>(d)</w:t>
      </w:r>
      <w:r w:rsidRPr="00AE259B">
        <w:tab/>
        <w:t>Market risk</w:t>
      </w:r>
      <w:bookmarkEnd w:id="211"/>
    </w:p>
    <w:p w:rsidR="008A185A" w:rsidRDefault="008A185A" w:rsidP="008A185A">
      <w:pPr>
        <w:rPr>
          <w:rFonts w:ascii="Arial" w:hAnsi="Arial" w:cs="Arial"/>
        </w:rPr>
      </w:pPr>
      <w:r w:rsidRPr="00AE259B">
        <w:rPr>
          <w:rFonts w:ascii="Arial" w:hAnsi="Arial" w:cs="Arial"/>
        </w:rPr>
        <w:t>PTV’s exposures to market risk are primarily through interest rate risk.  PTV has no exposure to foreign currency risk.  Objectives, policies and processes used to manage each of these risks are disclosed in the paragraphs below.</w:t>
      </w:r>
    </w:p>
    <w:p w:rsidR="00B11D08" w:rsidRPr="00AE259B" w:rsidRDefault="00B11D08" w:rsidP="008A185A">
      <w:pPr>
        <w:rPr>
          <w:rFonts w:ascii="Arial" w:hAnsi="Arial" w:cs="Arial"/>
        </w:rPr>
      </w:pPr>
    </w:p>
    <w:p w:rsidR="008A185A" w:rsidRPr="00AE259B" w:rsidRDefault="008A185A" w:rsidP="00B11D08">
      <w:pPr>
        <w:pStyle w:val="Heading30"/>
      </w:pPr>
      <w:r w:rsidRPr="00AE259B">
        <w:t>Interest rate risk</w:t>
      </w:r>
    </w:p>
    <w:p w:rsidR="008A185A" w:rsidRDefault="008A185A" w:rsidP="008A185A">
      <w:pPr>
        <w:rPr>
          <w:rFonts w:ascii="Arial" w:hAnsi="Arial" w:cs="Arial"/>
        </w:rPr>
      </w:pPr>
      <w:r w:rsidRPr="00AE259B">
        <w:rPr>
          <w:rFonts w:ascii="Arial" w:hAnsi="Arial" w:cs="Arial"/>
        </w:rPr>
        <w:t>Fair value interest rate risk is the risk that the fair value of a financial instrument will fluctuate because of changes in market interest rates.  PTV does not hold any interest bearing financial instruments that are measured at fair value, therefore has nil exposure to fair value interest rate risk.</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Cash flow interest rate risk is the risk that the future cash flows of a financial instrument will fluctuate because of changes in market interest rates.</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PTV has minimal exposure to cash flow interest rate risks through its cash and deposits, term deposits and bank overdrafts that are at floating rate.</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PTV manages this risk by mainly undertaking fixed rate or non-interest bearing financial instruments with relatively even maturity profiles, with only insignificant amounts of financial instruments at floating rate. Management has concluded for cash at bank and bank overdraft, as financial assets that can be left at floating rate without necessarily exposing PTV to significant bad risk, management monitors movement in interest rates on a daily basis.</w:t>
      </w:r>
    </w:p>
    <w:p w:rsidR="00B11D08" w:rsidRDefault="00B11D08">
      <w:pPr>
        <w:rPr>
          <w:rFonts w:ascii="Arial" w:hAnsi="Arial" w:cs="Arial"/>
        </w:rPr>
      </w:pPr>
      <w:r>
        <w:rPr>
          <w:rFonts w:ascii="Arial" w:hAnsi="Arial" w:cs="Arial"/>
        </w:rPr>
        <w:br w:type="page"/>
      </w:r>
    </w:p>
    <w:p w:rsidR="008A185A" w:rsidRDefault="008A185A" w:rsidP="008A185A">
      <w:pPr>
        <w:rPr>
          <w:rFonts w:ascii="Arial" w:hAnsi="Arial" w:cs="Arial"/>
        </w:rPr>
      </w:pPr>
      <w:r w:rsidRPr="00AE259B">
        <w:rPr>
          <w:rFonts w:ascii="Arial" w:hAnsi="Arial" w:cs="Arial"/>
        </w:rPr>
        <w:t>The carrying amounts of financial assets and financial liabilities that are exposed to interest rates are set out in the following table.</w:t>
      </w:r>
    </w:p>
    <w:p w:rsidR="00E72670" w:rsidRPr="00AE259B" w:rsidRDefault="00E72670" w:rsidP="008A185A">
      <w:pPr>
        <w:rPr>
          <w:rFonts w:ascii="Arial" w:hAnsi="Arial" w:cs="Arial"/>
        </w:rPr>
      </w:pPr>
    </w:p>
    <w:p w:rsidR="008A185A" w:rsidRPr="00AE259B" w:rsidRDefault="008A185A" w:rsidP="00E72670">
      <w:pPr>
        <w:pStyle w:val="Heading30"/>
      </w:pPr>
      <w:r w:rsidRPr="00AE259B">
        <w:t>Interest rate exposure of financial instruments</w:t>
      </w:r>
    </w:p>
    <w:tbl>
      <w:tblPr>
        <w:tblW w:w="9010"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089"/>
        <w:gridCol w:w="984"/>
        <w:gridCol w:w="984"/>
        <w:gridCol w:w="984"/>
        <w:gridCol w:w="984"/>
        <w:gridCol w:w="985"/>
      </w:tblGrid>
      <w:tr w:rsidR="008A185A" w:rsidRPr="00AE259B" w:rsidTr="008A185A">
        <w:tc>
          <w:tcPr>
            <w:tcW w:w="4089" w:type="dxa"/>
            <w:vMerge w:val="restart"/>
            <w:shd w:val="clear" w:color="auto" w:fill="auto"/>
            <w:tcMar>
              <w:top w:w="57" w:type="dxa"/>
              <w:left w:w="113" w:type="dxa"/>
              <w:bottom w:w="85" w:type="dxa"/>
              <w:right w:w="113" w:type="dxa"/>
            </w:tcMar>
            <w:vAlign w:val="bottom"/>
          </w:tcPr>
          <w:p w:rsidR="008A185A" w:rsidRPr="00AE259B" w:rsidRDefault="008A185A" w:rsidP="008A185A">
            <w:pPr>
              <w:pStyle w:val="TableHeading"/>
              <w:jc w:val="left"/>
              <w:rPr>
                <w:rFonts w:ascii="Arial" w:hAnsi="Arial" w:cs="Arial"/>
              </w:rPr>
            </w:pPr>
          </w:p>
        </w:tc>
        <w:tc>
          <w:tcPr>
            <w:tcW w:w="984" w:type="dxa"/>
            <w:vMerge w:val="restar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Weighted average effective interest rate %</w:t>
            </w:r>
          </w:p>
        </w:tc>
        <w:tc>
          <w:tcPr>
            <w:tcW w:w="984" w:type="dxa"/>
            <w:vMerge w:val="restart"/>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Carrying amount</w:t>
            </w:r>
          </w:p>
          <w:p w:rsidR="008A185A" w:rsidRPr="00AE259B" w:rsidRDefault="008A185A" w:rsidP="008A185A">
            <w:pPr>
              <w:pStyle w:val="TableHeading"/>
              <w:rPr>
                <w:rFonts w:ascii="Arial" w:hAnsi="Arial" w:cs="Arial"/>
              </w:rPr>
            </w:pPr>
            <w:r w:rsidRPr="00AE259B">
              <w:rPr>
                <w:rFonts w:ascii="Arial" w:hAnsi="Arial" w:cs="Arial"/>
              </w:rPr>
              <w:t>$’000</w:t>
            </w:r>
          </w:p>
        </w:tc>
        <w:tc>
          <w:tcPr>
            <w:tcW w:w="2953" w:type="dxa"/>
            <w:gridSpan w:val="3"/>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Interest rate exposure</w:t>
            </w:r>
          </w:p>
        </w:tc>
      </w:tr>
      <w:tr w:rsidR="008A185A" w:rsidRPr="00AE259B" w:rsidTr="008A185A">
        <w:tc>
          <w:tcPr>
            <w:tcW w:w="4089" w:type="dxa"/>
            <w:vMerge/>
            <w:shd w:val="clear" w:color="auto" w:fill="auto"/>
          </w:tcPr>
          <w:p w:rsidR="008A185A" w:rsidRPr="00AE259B" w:rsidRDefault="008A185A" w:rsidP="008A185A">
            <w:pPr>
              <w:pStyle w:val="TableHeading"/>
              <w:rPr>
                <w:rFonts w:ascii="Arial" w:hAnsi="Arial" w:cs="Arial"/>
              </w:rPr>
            </w:pPr>
          </w:p>
        </w:tc>
        <w:tc>
          <w:tcPr>
            <w:tcW w:w="984" w:type="dxa"/>
            <w:vMerge/>
            <w:tcBorders>
              <w:bottom w:val="single" w:sz="2" w:space="0" w:color="auto"/>
            </w:tcBorders>
            <w:shd w:val="clear" w:color="auto" w:fill="auto"/>
          </w:tcPr>
          <w:p w:rsidR="008A185A" w:rsidRPr="00AE259B" w:rsidRDefault="008A185A" w:rsidP="008A185A">
            <w:pPr>
              <w:pStyle w:val="TableHeading"/>
              <w:rPr>
                <w:rFonts w:ascii="Arial" w:hAnsi="Arial" w:cs="Arial"/>
              </w:rPr>
            </w:pPr>
          </w:p>
        </w:tc>
        <w:tc>
          <w:tcPr>
            <w:tcW w:w="984" w:type="dxa"/>
            <w:vMerge/>
            <w:tcBorders>
              <w:bottom w:val="single" w:sz="2" w:space="0" w:color="auto"/>
            </w:tcBorders>
            <w:shd w:val="clear" w:color="auto" w:fill="auto"/>
          </w:tcPr>
          <w:p w:rsidR="008A185A" w:rsidRPr="00AE259B" w:rsidRDefault="008A185A" w:rsidP="008A185A">
            <w:pPr>
              <w:pStyle w:val="TableHeading"/>
              <w:rPr>
                <w:rFonts w:ascii="Arial" w:hAnsi="Arial" w:cs="Arial"/>
              </w:rPr>
            </w:pPr>
          </w:p>
        </w:tc>
        <w:tc>
          <w:tcPr>
            <w:tcW w:w="984"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Fixed interest rate</w:t>
            </w:r>
          </w:p>
          <w:p w:rsidR="008A185A" w:rsidRPr="00AE259B" w:rsidRDefault="008A185A" w:rsidP="008A185A">
            <w:pPr>
              <w:pStyle w:val="TableHeading"/>
              <w:rPr>
                <w:rFonts w:ascii="Arial" w:hAnsi="Arial" w:cs="Arial"/>
              </w:rPr>
            </w:pPr>
            <w:r w:rsidRPr="00AE259B">
              <w:rPr>
                <w:rFonts w:ascii="Arial" w:hAnsi="Arial" w:cs="Arial"/>
              </w:rPr>
              <w:t>$’000</w:t>
            </w:r>
          </w:p>
        </w:tc>
        <w:tc>
          <w:tcPr>
            <w:tcW w:w="984"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Variable interest rate</w:t>
            </w:r>
          </w:p>
          <w:p w:rsidR="008A185A" w:rsidRPr="00AE259B" w:rsidRDefault="008A185A" w:rsidP="008A185A">
            <w:pPr>
              <w:pStyle w:val="TableHeading"/>
              <w:rPr>
                <w:rFonts w:ascii="Arial" w:hAnsi="Arial" w:cs="Arial"/>
              </w:rPr>
            </w:pPr>
            <w:r w:rsidRPr="00AE259B">
              <w:rPr>
                <w:rFonts w:ascii="Arial" w:hAnsi="Arial" w:cs="Arial"/>
              </w:rPr>
              <w:t>$’000</w:t>
            </w:r>
          </w:p>
        </w:tc>
        <w:tc>
          <w:tcPr>
            <w:tcW w:w="985"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 xml:space="preserve">Non-interest bearing </w:t>
            </w:r>
          </w:p>
          <w:p w:rsidR="008A185A" w:rsidRPr="00AE259B" w:rsidRDefault="008A185A" w:rsidP="008A185A">
            <w:pPr>
              <w:pStyle w:val="TableHeading"/>
              <w:rPr>
                <w:rFonts w:ascii="Arial" w:hAnsi="Arial" w:cs="Arial"/>
              </w:rPr>
            </w:pPr>
            <w:r w:rsidRPr="00AE259B">
              <w:rPr>
                <w:rFonts w:ascii="Arial" w:hAnsi="Arial" w:cs="Arial"/>
              </w:rPr>
              <w:t>$’000</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2013</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Contractual financial assets</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Cash and deposits</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3.18%</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45,827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10,057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35,765</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5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Receivable</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owing from government and agencies</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1,604</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1,604</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Receivables - current</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14,457</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14,457</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Receivables – non-current</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1,000</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1,000</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62,888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10,057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35,765 </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17,066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Contractual financial liabilities</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Payables</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Supplies and services</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404,422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404,422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payable to government and agencies</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119,987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119,987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Borrowings</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motor vehicle</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6.55%</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607</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607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Southern Cross Station Transport Interchange Facility</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8.65%</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376,822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376,822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901,838</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377,429 </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985"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524,409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Consolidated 2012</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Contractual financial assets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Cash and deposits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3.98%</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56,299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56,295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Receivable</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owing from government and agencies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3,452</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3,452</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Receivables - current</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2,060</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2,060</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61,811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56,295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5,517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Contractual financial liabilities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Payables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Supplies and services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340,636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340,636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payable to government and agencies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103,102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103,102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Borrowings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motor vehicle</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6.58%</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851</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851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Southern Cross Station Transport Interchange Facility</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8.65%</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375,340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375,340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819,929</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376,191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443,738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Parent 2012</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Contractual financial assets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Cash and deposits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3.98%</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56,299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56,295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Receivable</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owing from government and agencies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3,452</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3,452</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Receivables - current</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2,060</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2,060</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61,811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56,295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5,517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Contractual financial liabilities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Payables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Supplies and services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340,636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340,636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Amounts payable to government and agencies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103,102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103,102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Borrowings</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motor vehicle</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6.58%</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851</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851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Finance lease liabilities – Southern Cross Station Transport Interchange Facility</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8.65%</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375,340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375,340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089"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819,929</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376,191 </w:t>
            </w:r>
          </w:p>
        </w:tc>
        <w:tc>
          <w:tcPr>
            <w:tcW w:w="984"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443,738 </w:t>
            </w:r>
          </w:p>
        </w:tc>
      </w:tr>
    </w:tbl>
    <w:p w:rsidR="008A185A" w:rsidRDefault="008A185A" w:rsidP="008A185A">
      <w:pPr>
        <w:rPr>
          <w:rFonts w:ascii="Arial" w:hAnsi="Arial" w:cs="Arial"/>
        </w:rPr>
      </w:pPr>
    </w:p>
    <w:p w:rsidR="00B11D08" w:rsidRDefault="00B11D08" w:rsidP="008A185A">
      <w:pPr>
        <w:rPr>
          <w:rFonts w:ascii="Arial" w:hAnsi="Arial" w:cs="Arial"/>
        </w:rPr>
      </w:pPr>
    </w:p>
    <w:p w:rsidR="00B11D08" w:rsidRPr="00AE259B" w:rsidRDefault="00B11D08" w:rsidP="008A185A">
      <w:pPr>
        <w:rPr>
          <w:rFonts w:ascii="Arial" w:hAnsi="Arial" w:cs="Arial"/>
        </w:rPr>
      </w:pPr>
    </w:p>
    <w:p w:rsidR="008A185A" w:rsidRPr="00AE259B" w:rsidRDefault="008A185A" w:rsidP="00B11D08">
      <w:pPr>
        <w:pStyle w:val="Heading30"/>
      </w:pPr>
      <w:r w:rsidRPr="00AE259B">
        <w:t>Sensitivity disclosure analysis</w:t>
      </w:r>
    </w:p>
    <w:p w:rsidR="008A185A" w:rsidRPr="00AE259B" w:rsidRDefault="008A185A" w:rsidP="008A185A">
      <w:pPr>
        <w:rPr>
          <w:rFonts w:ascii="Arial" w:hAnsi="Arial" w:cs="Arial"/>
        </w:rPr>
      </w:pPr>
      <w:r w:rsidRPr="00AE259B">
        <w:rPr>
          <w:rFonts w:ascii="Arial" w:hAnsi="Arial" w:cs="Arial"/>
        </w:rPr>
        <w:t>Taking into account past performance, future expectations and economic forecasts,   PTV believes that interest rate movements, a parallel shift of +2.0 per cent and -2.0 per cent in market interest rates from year-end rates, will not have a material impact on its financial position.   PTV's management cannot be expected to predict movement in market rates and prices; sensitivity analysis shown is for illustrative purposes only.</w:t>
      </w:r>
    </w:p>
    <w:p w:rsidR="008A185A" w:rsidRDefault="008A185A" w:rsidP="008A185A">
      <w:pPr>
        <w:rPr>
          <w:rFonts w:ascii="Arial" w:hAnsi="Arial" w:cs="Arial"/>
        </w:rPr>
      </w:pPr>
      <w:r w:rsidRPr="00AE259B">
        <w:rPr>
          <w:rFonts w:ascii="Arial" w:hAnsi="Arial" w:cs="Arial"/>
        </w:rPr>
        <w:t>The following table discloses the impact on PTV's net result and equity for each category of financial instrument  held by PTV at year-end as presented to key management personnel, if the above movements were to occur.</w:t>
      </w:r>
    </w:p>
    <w:p w:rsidR="00B11D08" w:rsidRPr="00AE259B" w:rsidRDefault="00B11D08" w:rsidP="008A185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376"/>
        <w:gridCol w:w="1585"/>
        <w:gridCol w:w="1467"/>
        <w:gridCol w:w="1123"/>
        <w:gridCol w:w="1245"/>
        <w:gridCol w:w="1397"/>
      </w:tblGrid>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color w:val="auto"/>
                <w:sz w:val="16"/>
                <w:szCs w:val="16"/>
                <w:lang w:eastAsia="en-US"/>
              </w:rPr>
            </w:pPr>
          </w:p>
        </w:tc>
        <w:tc>
          <w:tcPr>
            <w:tcW w:w="1585" w:type="dxa"/>
            <w:vAlign w:val="bottom"/>
          </w:tcPr>
          <w:p w:rsidR="008A185A" w:rsidRPr="00AE259B" w:rsidRDefault="008A185A" w:rsidP="008A185A">
            <w:pPr>
              <w:pStyle w:val="Style11ptSkyBlueBefore12ptAfter3pt"/>
              <w:spacing w:before="0" w:after="0"/>
              <w:jc w:val="center"/>
              <w:rPr>
                <w:rFonts w:cs="Arial"/>
                <w:color w:val="auto"/>
                <w:sz w:val="16"/>
                <w:szCs w:val="16"/>
                <w:lang w:eastAsia="en-US"/>
              </w:rPr>
            </w:pPr>
          </w:p>
        </w:tc>
        <w:tc>
          <w:tcPr>
            <w:tcW w:w="5232" w:type="dxa"/>
            <w:gridSpan w:val="4"/>
            <w:vAlign w:val="bottom"/>
          </w:tcPr>
          <w:p w:rsidR="008A185A" w:rsidRPr="00AE259B" w:rsidRDefault="008A185A" w:rsidP="008A185A">
            <w:pPr>
              <w:pStyle w:val="Style11ptSkyBlueBefore12ptAfter3pt"/>
              <w:spacing w:before="0" w:after="0"/>
              <w:jc w:val="center"/>
              <w:rPr>
                <w:rFonts w:cs="Arial"/>
                <w:b/>
                <w:color w:val="auto"/>
                <w:sz w:val="16"/>
                <w:szCs w:val="16"/>
                <w:lang w:eastAsia="en-US"/>
              </w:rPr>
            </w:pPr>
            <w:r w:rsidRPr="00AE259B">
              <w:rPr>
                <w:rFonts w:cs="Arial"/>
                <w:b/>
                <w:color w:val="auto"/>
                <w:sz w:val="16"/>
                <w:szCs w:val="16"/>
                <w:lang w:eastAsia="en-US"/>
              </w:rPr>
              <w:t>Interest rate</w:t>
            </w: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color w:val="auto"/>
                <w:sz w:val="16"/>
                <w:szCs w:val="16"/>
                <w:lang w:eastAsia="en-US"/>
              </w:rPr>
            </w:pPr>
          </w:p>
        </w:tc>
        <w:tc>
          <w:tcPr>
            <w:tcW w:w="1585" w:type="dxa"/>
            <w:vAlign w:val="bottom"/>
          </w:tcPr>
          <w:p w:rsidR="008A185A" w:rsidRPr="00AE259B" w:rsidRDefault="008A185A" w:rsidP="008A185A">
            <w:pPr>
              <w:pStyle w:val="Style11ptSkyBlueBefore12ptAfter3pt"/>
              <w:spacing w:before="0" w:after="0"/>
              <w:rPr>
                <w:rFonts w:cs="Arial"/>
                <w:color w:val="auto"/>
                <w:sz w:val="16"/>
                <w:szCs w:val="16"/>
                <w:lang w:eastAsia="en-US"/>
              </w:rPr>
            </w:pPr>
          </w:p>
        </w:tc>
        <w:tc>
          <w:tcPr>
            <w:tcW w:w="2590" w:type="dxa"/>
            <w:gridSpan w:val="2"/>
            <w:vAlign w:val="bottom"/>
          </w:tcPr>
          <w:p w:rsidR="008A185A" w:rsidRPr="00AE259B" w:rsidRDefault="008A185A" w:rsidP="008A185A">
            <w:pPr>
              <w:pStyle w:val="Style11ptSkyBlueBefore12ptAfter3pt"/>
              <w:spacing w:before="0" w:after="0"/>
              <w:jc w:val="center"/>
              <w:rPr>
                <w:rFonts w:cs="Arial"/>
                <w:b/>
                <w:color w:val="auto"/>
                <w:sz w:val="16"/>
                <w:szCs w:val="16"/>
                <w:lang w:eastAsia="en-US"/>
              </w:rPr>
            </w:pPr>
            <w:r w:rsidRPr="00AE259B">
              <w:rPr>
                <w:rFonts w:cs="Arial"/>
                <w:b/>
                <w:color w:val="auto"/>
                <w:sz w:val="16"/>
                <w:szCs w:val="16"/>
                <w:lang w:eastAsia="en-US"/>
              </w:rPr>
              <w:t>-200 basis points</w:t>
            </w:r>
          </w:p>
        </w:tc>
        <w:tc>
          <w:tcPr>
            <w:tcW w:w="2642" w:type="dxa"/>
            <w:gridSpan w:val="2"/>
            <w:vAlign w:val="bottom"/>
          </w:tcPr>
          <w:p w:rsidR="008A185A" w:rsidRPr="00AE259B" w:rsidRDefault="008A185A" w:rsidP="008A185A">
            <w:pPr>
              <w:pStyle w:val="Style11ptSkyBlueBefore12ptAfter3pt"/>
              <w:spacing w:before="0" w:after="0"/>
              <w:jc w:val="center"/>
              <w:rPr>
                <w:rFonts w:cs="Arial"/>
                <w:b/>
                <w:color w:val="auto"/>
                <w:sz w:val="16"/>
                <w:szCs w:val="16"/>
                <w:lang w:eastAsia="en-US"/>
              </w:rPr>
            </w:pPr>
            <w:r w:rsidRPr="00AE259B">
              <w:rPr>
                <w:rFonts w:cs="Arial"/>
                <w:b/>
                <w:color w:val="auto"/>
                <w:sz w:val="16"/>
                <w:szCs w:val="16"/>
                <w:lang w:eastAsia="en-US"/>
              </w:rPr>
              <w:t>+200 basis points</w:t>
            </w: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p>
        </w:tc>
        <w:tc>
          <w:tcPr>
            <w:tcW w:w="1585"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Carrying amount</w:t>
            </w:r>
            <w:r w:rsidRPr="00AE259B">
              <w:rPr>
                <w:rFonts w:cs="Arial"/>
                <w:b/>
                <w:color w:val="auto"/>
                <w:sz w:val="16"/>
                <w:szCs w:val="16"/>
                <w:lang w:eastAsia="en-US"/>
              </w:rPr>
              <w:br/>
              <w:t>$’000</w:t>
            </w:r>
          </w:p>
        </w:tc>
        <w:tc>
          <w:tcPr>
            <w:tcW w:w="1467"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Net result</w:t>
            </w:r>
            <w:r w:rsidRPr="00AE259B">
              <w:rPr>
                <w:rFonts w:cs="Arial"/>
                <w:b/>
                <w:color w:val="auto"/>
                <w:sz w:val="16"/>
                <w:szCs w:val="16"/>
                <w:lang w:eastAsia="en-US"/>
              </w:rPr>
              <w:br/>
              <w:t>$’000</w:t>
            </w:r>
          </w:p>
        </w:tc>
        <w:tc>
          <w:tcPr>
            <w:tcW w:w="1123"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Equity</w:t>
            </w:r>
            <w:r w:rsidRPr="00AE259B">
              <w:rPr>
                <w:rFonts w:cs="Arial"/>
                <w:b/>
                <w:color w:val="auto"/>
                <w:sz w:val="16"/>
                <w:szCs w:val="16"/>
                <w:lang w:eastAsia="en-US"/>
              </w:rPr>
              <w:br/>
              <w:t>$’000</w:t>
            </w:r>
          </w:p>
        </w:tc>
        <w:tc>
          <w:tcPr>
            <w:tcW w:w="1245"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Net result</w:t>
            </w:r>
            <w:r w:rsidRPr="00AE259B">
              <w:rPr>
                <w:rFonts w:cs="Arial"/>
                <w:b/>
                <w:color w:val="auto"/>
                <w:sz w:val="16"/>
                <w:szCs w:val="16"/>
                <w:lang w:eastAsia="en-US"/>
              </w:rPr>
              <w:br/>
              <w:t>$’000</w:t>
            </w:r>
          </w:p>
        </w:tc>
        <w:tc>
          <w:tcPr>
            <w:tcW w:w="1397"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Equity</w:t>
            </w:r>
            <w:r w:rsidRPr="00AE259B">
              <w:rPr>
                <w:rFonts w:cs="Arial"/>
                <w:b/>
                <w:color w:val="auto"/>
                <w:sz w:val="16"/>
                <w:szCs w:val="16"/>
                <w:lang w:eastAsia="en-US"/>
              </w:rPr>
              <w:br/>
              <w:t>$’000</w:t>
            </w: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r w:rsidRPr="00AE259B">
              <w:rPr>
                <w:rFonts w:cs="Arial"/>
                <w:b/>
                <w:color w:val="auto"/>
                <w:sz w:val="16"/>
                <w:szCs w:val="16"/>
                <w:lang w:eastAsia="en-US"/>
              </w:rPr>
              <w:t>2013</w:t>
            </w:r>
          </w:p>
        </w:tc>
        <w:tc>
          <w:tcPr>
            <w:tcW w:w="1585"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123"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245"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397"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r w:rsidRPr="00AE259B">
              <w:rPr>
                <w:rFonts w:cs="Arial"/>
                <w:b/>
                <w:color w:val="auto"/>
                <w:sz w:val="16"/>
                <w:szCs w:val="16"/>
                <w:lang w:eastAsia="en-US"/>
              </w:rPr>
              <w:t>Contractual financial assets</w:t>
            </w:r>
          </w:p>
        </w:tc>
        <w:tc>
          <w:tcPr>
            <w:tcW w:w="1585"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123"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245"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397"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color w:val="auto"/>
                <w:sz w:val="16"/>
                <w:szCs w:val="16"/>
                <w:lang w:eastAsia="en-US"/>
              </w:rPr>
            </w:pPr>
            <w:r w:rsidRPr="00AE259B">
              <w:rPr>
                <w:rFonts w:cs="Arial"/>
                <w:color w:val="auto"/>
                <w:sz w:val="16"/>
                <w:szCs w:val="16"/>
                <w:lang w:eastAsia="en-US"/>
              </w:rPr>
              <w:t xml:space="preserve">Cash and deposits </w:t>
            </w:r>
            <w:r w:rsidRPr="00AE259B">
              <w:rPr>
                <w:rFonts w:cs="Arial"/>
                <w:color w:val="auto"/>
                <w:sz w:val="16"/>
                <w:szCs w:val="16"/>
                <w:vertAlign w:val="superscript"/>
                <w:lang w:eastAsia="en-US"/>
              </w:rPr>
              <w:t>(i)</w:t>
            </w:r>
          </w:p>
        </w:tc>
        <w:tc>
          <w:tcPr>
            <w:tcW w:w="1585"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45,822</w:t>
            </w:r>
          </w:p>
        </w:tc>
        <w:tc>
          <w:tcPr>
            <w:tcW w:w="1467"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(916)</w:t>
            </w:r>
          </w:p>
        </w:tc>
        <w:tc>
          <w:tcPr>
            <w:tcW w:w="1123"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(916)</w:t>
            </w:r>
          </w:p>
        </w:tc>
        <w:tc>
          <w:tcPr>
            <w:tcW w:w="1245"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916</w:t>
            </w:r>
          </w:p>
        </w:tc>
        <w:tc>
          <w:tcPr>
            <w:tcW w:w="1397"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916</w:t>
            </w: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r w:rsidRPr="00AE259B">
              <w:rPr>
                <w:rFonts w:cs="Arial"/>
                <w:b/>
                <w:color w:val="auto"/>
                <w:sz w:val="16"/>
                <w:szCs w:val="16"/>
                <w:lang w:eastAsia="en-US"/>
              </w:rPr>
              <w:t>Total impact</w:t>
            </w:r>
          </w:p>
        </w:tc>
        <w:tc>
          <w:tcPr>
            <w:tcW w:w="1585"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(916)</w:t>
            </w:r>
          </w:p>
        </w:tc>
        <w:tc>
          <w:tcPr>
            <w:tcW w:w="1123"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(916)</w:t>
            </w:r>
          </w:p>
        </w:tc>
        <w:tc>
          <w:tcPr>
            <w:tcW w:w="1245"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916</w:t>
            </w:r>
          </w:p>
        </w:tc>
        <w:tc>
          <w:tcPr>
            <w:tcW w:w="1397" w:type="dxa"/>
            <w:tcBorders>
              <w:top w:val="single" w:sz="6" w:space="0" w:color="auto"/>
              <w:bottom w:val="single" w:sz="6" w:space="0" w:color="auto"/>
            </w:tcBorders>
            <w:shd w:val="pct10" w:color="auto" w:fill="auto"/>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916</w:t>
            </w: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p>
        </w:tc>
        <w:tc>
          <w:tcPr>
            <w:tcW w:w="1585" w:type="dxa"/>
            <w:tcBorders>
              <w:top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tcBorders>
              <w:top w:val="single" w:sz="6" w:space="0" w:color="auto"/>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123" w:type="dxa"/>
            <w:tcBorders>
              <w:top w:val="single" w:sz="6" w:space="0" w:color="auto"/>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245" w:type="dxa"/>
            <w:tcBorders>
              <w:top w:val="single" w:sz="6" w:space="0" w:color="auto"/>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397" w:type="dxa"/>
            <w:tcBorders>
              <w:top w:val="single" w:sz="6" w:space="0" w:color="auto"/>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p>
        </w:tc>
        <w:tc>
          <w:tcPr>
            <w:tcW w:w="1585"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123"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245"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397"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r w:rsidRPr="00AE259B">
              <w:rPr>
                <w:rFonts w:cs="Arial"/>
                <w:b/>
                <w:color w:val="auto"/>
                <w:sz w:val="16"/>
                <w:szCs w:val="16"/>
                <w:lang w:eastAsia="en-US"/>
              </w:rPr>
              <w:t>Parent 2012</w:t>
            </w:r>
          </w:p>
        </w:tc>
        <w:tc>
          <w:tcPr>
            <w:tcW w:w="1585"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123"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245"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397"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r w:rsidRPr="00AE259B">
              <w:rPr>
                <w:rFonts w:cs="Arial"/>
                <w:b/>
                <w:color w:val="auto"/>
                <w:sz w:val="16"/>
                <w:szCs w:val="16"/>
                <w:lang w:eastAsia="en-US"/>
              </w:rPr>
              <w:t>Contractual financial assets</w:t>
            </w:r>
          </w:p>
        </w:tc>
        <w:tc>
          <w:tcPr>
            <w:tcW w:w="1585"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123"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245"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397" w:type="dxa"/>
            <w:tcBorders>
              <w:bottom w:val="single" w:sz="6" w:space="0" w:color="auto"/>
            </w:tcBorders>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color w:val="auto"/>
                <w:sz w:val="16"/>
                <w:szCs w:val="16"/>
                <w:lang w:eastAsia="en-US"/>
              </w:rPr>
            </w:pPr>
            <w:r w:rsidRPr="00AE259B">
              <w:rPr>
                <w:rFonts w:cs="Arial"/>
                <w:color w:val="auto"/>
                <w:sz w:val="16"/>
                <w:szCs w:val="16"/>
                <w:lang w:eastAsia="en-US"/>
              </w:rPr>
              <w:t xml:space="preserve">Cash and deposits </w:t>
            </w:r>
            <w:r w:rsidRPr="00AE259B">
              <w:rPr>
                <w:rFonts w:cs="Arial"/>
                <w:color w:val="auto"/>
                <w:sz w:val="16"/>
                <w:szCs w:val="16"/>
                <w:vertAlign w:val="superscript"/>
                <w:lang w:eastAsia="en-US"/>
              </w:rPr>
              <w:t>(i)</w:t>
            </w:r>
          </w:p>
        </w:tc>
        <w:tc>
          <w:tcPr>
            <w:tcW w:w="1585" w:type="dxa"/>
            <w:shd w:val="clear"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56,295</w:t>
            </w:r>
          </w:p>
        </w:tc>
        <w:tc>
          <w:tcPr>
            <w:tcW w:w="1467" w:type="dxa"/>
            <w:tcBorders>
              <w:top w:val="single" w:sz="6" w:space="0" w:color="auto"/>
              <w:bottom w:val="single" w:sz="6" w:space="0" w:color="auto"/>
            </w:tcBorders>
            <w:shd w:val="clear"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(1,126)</w:t>
            </w:r>
          </w:p>
        </w:tc>
        <w:tc>
          <w:tcPr>
            <w:tcW w:w="1123" w:type="dxa"/>
            <w:tcBorders>
              <w:top w:val="single" w:sz="6" w:space="0" w:color="auto"/>
              <w:bottom w:val="single" w:sz="6" w:space="0" w:color="auto"/>
            </w:tcBorders>
            <w:shd w:val="clear"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(1,126)</w:t>
            </w:r>
          </w:p>
        </w:tc>
        <w:tc>
          <w:tcPr>
            <w:tcW w:w="1245" w:type="dxa"/>
            <w:tcBorders>
              <w:top w:val="single" w:sz="6" w:space="0" w:color="auto"/>
              <w:bottom w:val="single" w:sz="6" w:space="0" w:color="auto"/>
            </w:tcBorders>
            <w:shd w:val="clear"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1,126</w:t>
            </w:r>
          </w:p>
        </w:tc>
        <w:tc>
          <w:tcPr>
            <w:tcW w:w="1397" w:type="dxa"/>
            <w:tcBorders>
              <w:top w:val="single" w:sz="6" w:space="0" w:color="auto"/>
              <w:bottom w:val="single" w:sz="6" w:space="0" w:color="auto"/>
            </w:tcBorders>
            <w:shd w:val="clear" w:color="auto" w:fill="auto"/>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1,126</w:t>
            </w: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r w:rsidRPr="00AE259B">
              <w:rPr>
                <w:rFonts w:cs="Arial"/>
                <w:b/>
                <w:color w:val="auto"/>
                <w:sz w:val="16"/>
                <w:szCs w:val="16"/>
                <w:lang w:eastAsia="en-US"/>
              </w:rPr>
              <w:t>Total impact</w:t>
            </w:r>
          </w:p>
        </w:tc>
        <w:tc>
          <w:tcPr>
            <w:tcW w:w="1585"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tcBorders>
              <w:top w:val="single" w:sz="6" w:space="0" w:color="auto"/>
              <w:bottom w:val="single" w:sz="6" w:space="0" w:color="auto"/>
            </w:tcBorders>
            <w:shd w:val="clear" w:color="auto" w:fill="auto"/>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(1,126)</w:t>
            </w:r>
          </w:p>
        </w:tc>
        <w:tc>
          <w:tcPr>
            <w:tcW w:w="1123" w:type="dxa"/>
            <w:tcBorders>
              <w:top w:val="single" w:sz="6" w:space="0" w:color="auto"/>
              <w:bottom w:val="single" w:sz="6" w:space="0" w:color="auto"/>
            </w:tcBorders>
            <w:shd w:val="clear" w:color="auto" w:fill="auto"/>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(1,126)</w:t>
            </w:r>
          </w:p>
        </w:tc>
        <w:tc>
          <w:tcPr>
            <w:tcW w:w="1245" w:type="dxa"/>
            <w:tcBorders>
              <w:top w:val="single" w:sz="6" w:space="0" w:color="auto"/>
              <w:bottom w:val="single" w:sz="6" w:space="0" w:color="auto"/>
            </w:tcBorders>
            <w:shd w:val="clear" w:color="auto" w:fill="auto"/>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1,126</w:t>
            </w:r>
          </w:p>
        </w:tc>
        <w:tc>
          <w:tcPr>
            <w:tcW w:w="1397" w:type="dxa"/>
            <w:tcBorders>
              <w:top w:val="single" w:sz="6" w:space="0" w:color="auto"/>
              <w:bottom w:val="single" w:sz="6" w:space="0" w:color="auto"/>
            </w:tcBorders>
            <w:shd w:val="clear" w:color="auto" w:fill="auto"/>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1,126</w:t>
            </w: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i/>
                <w:color w:val="auto"/>
                <w:sz w:val="16"/>
                <w:szCs w:val="16"/>
                <w:lang w:eastAsia="en-US"/>
              </w:rPr>
            </w:pPr>
          </w:p>
        </w:tc>
        <w:tc>
          <w:tcPr>
            <w:tcW w:w="1585" w:type="dxa"/>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c>
          <w:tcPr>
            <w:tcW w:w="1467" w:type="dxa"/>
            <w:tcBorders>
              <w:top w:val="single" w:sz="6" w:space="0" w:color="auto"/>
            </w:tcBorders>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c>
          <w:tcPr>
            <w:tcW w:w="1123" w:type="dxa"/>
            <w:tcBorders>
              <w:top w:val="single" w:sz="6" w:space="0" w:color="auto"/>
            </w:tcBorders>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c>
          <w:tcPr>
            <w:tcW w:w="1245" w:type="dxa"/>
            <w:tcBorders>
              <w:top w:val="single" w:sz="6" w:space="0" w:color="auto"/>
            </w:tcBorders>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c>
          <w:tcPr>
            <w:tcW w:w="1397" w:type="dxa"/>
            <w:tcBorders>
              <w:top w:val="single" w:sz="6" w:space="0" w:color="auto"/>
            </w:tcBorders>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r w:rsidRPr="00AE259B">
              <w:rPr>
                <w:rFonts w:cs="Arial"/>
                <w:b/>
                <w:color w:val="auto"/>
                <w:sz w:val="16"/>
                <w:szCs w:val="16"/>
                <w:lang w:eastAsia="en-US"/>
              </w:rPr>
              <w:t>Consolidated 2012</w:t>
            </w:r>
          </w:p>
        </w:tc>
        <w:tc>
          <w:tcPr>
            <w:tcW w:w="1585" w:type="dxa"/>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c>
          <w:tcPr>
            <w:tcW w:w="1467" w:type="dxa"/>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c>
          <w:tcPr>
            <w:tcW w:w="1123" w:type="dxa"/>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c>
          <w:tcPr>
            <w:tcW w:w="1245" w:type="dxa"/>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c>
          <w:tcPr>
            <w:tcW w:w="1397" w:type="dxa"/>
            <w:vAlign w:val="bottom"/>
          </w:tcPr>
          <w:p w:rsidR="008A185A" w:rsidRPr="00AE259B" w:rsidRDefault="008A185A" w:rsidP="008A185A">
            <w:pPr>
              <w:pStyle w:val="Style11ptSkyBlueBefore12ptAfter3pt"/>
              <w:spacing w:before="0" w:after="0"/>
              <w:jc w:val="center"/>
              <w:rPr>
                <w:rFonts w:cs="Arial"/>
                <w:i/>
                <w:color w:val="auto"/>
                <w:sz w:val="16"/>
                <w:szCs w:val="16"/>
                <w:lang w:eastAsia="en-US"/>
              </w:rPr>
            </w:pP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r w:rsidRPr="00AE259B">
              <w:rPr>
                <w:rFonts w:cs="Arial"/>
                <w:b/>
                <w:color w:val="auto"/>
                <w:sz w:val="16"/>
                <w:szCs w:val="16"/>
                <w:lang w:eastAsia="en-US"/>
              </w:rPr>
              <w:t>Contractual financial assets</w:t>
            </w:r>
          </w:p>
        </w:tc>
        <w:tc>
          <w:tcPr>
            <w:tcW w:w="1585"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123"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245"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397"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color w:val="auto"/>
                <w:sz w:val="16"/>
                <w:szCs w:val="16"/>
                <w:lang w:eastAsia="en-US"/>
              </w:rPr>
            </w:pPr>
            <w:r w:rsidRPr="00AE259B">
              <w:rPr>
                <w:rFonts w:cs="Arial"/>
                <w:color w:val="auto"/>
                <w:sz w:val="16"/>
                <w:szCs w:val="16"/>
                <w:lang w:eastAsia="en-US"/>
              </w:rPr>
              <w:t xml:space="preserve">Cash and deposits </w:t>
            </w:r>
            <w:r w:rsidRPr="00AE259B">
              <w:rPr>
                <w:rFonts w:cs="Arial"/>
                <w:color w:val="auto"/>
                <w:sz w:val="16"/>
                <w:szCs w:val="16"/>
                <w:vertAlign w:val="superscript"/>
                <w:lang w:eastAsia="en-US"/>
              </w:rPr>
              <w:t>(i)</w:t>
            </w:r>
          </w:p>
        </w:tc>
        <w:tc>
          <w:tcPr>
            <w:tcW w:w="1585"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56,295</w:t>
            </w:r>
          </w:p>
        </w:tc>
        <w:tc>
          <w:tcPr>
            <w:tcW w:w="1467"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(1,126)</w:t>
            </w:r>
          </w:p>
        </w:tc>
        <w:tc>
          <w:tcPr>
            <w:tcW w:w="1123"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(1,126)</w:t>
            </w:r>
          </w:p>
        </w:tc>
        <w:tc>
          <w:tcPr>
            <w:tcW w:w="1245"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1,126</w:t>
            </w:r>
          </w:p>
        </w:tc>
        <w:tc>
          <w:tcPr>
            <w:tcW w:w="1397"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r w:rsidRPr="00AE259B">
              <w:rPr>
                <w:rFonts w:cs="Arial"/>
                <w:color w:val="auto"/>
                <w:sz w:val="16"/>
                <w:szCs w:val="16"/>
                <w:lang w:eastAsia="en-US"/>
              </w:rPr>
              <w:t>1,126</w:t>
            </w:r>
          </w:p>
        </w:tc>
      </w:tr>
      <w:tr w:rsidR="008A185A" w:rsidRPr="00AE259B" w:rsidTr="008A185A">
        <w:trPr>
          <w:trHeight w:val="20"/>
        </w:trPr>
        <w:tc>
          <w:tcPr>
            <w:tcW w:w="2376" w:type="dxa"/>
            <w:vAlign w:val="bottom"/>
          </w:tcPr>
          <w:p w:rsidR="008A185A" w:rsidRPr="00AE259B" w:rsidRDefault="008A185A" w:rsidP="008A185A">
            <w:pPr>
              <w:pStyle w:val="Style11ptSkyBlueBefore12ptAfter3pt"/>
              <w:spacing w:before="0" w:after="0"/>
              <w:rPr>
                <w:rFonts w:cs="Arial"/>
                <w:b/>
                <w:color w:val="auto"/>
                <w:sz w:val="16"/>
                <w:szCs w:val="16"/>
                <w:lang w:eastAsia="en-US"/>
              </w:rPr>
            </w:pPr>
            <w:r w:rsidRPr="00AE259B">
              <w:rPr>
                <w:rFonts w:cs="Arial"/>
                <w:b/>
                <w:color w:val="auto"/>
                <w:sz w:val="16"/>
                <w:szCs w:val="16"/>
                <w:lang w:eastAsia="en-US"/>
              </w:rPr>
              <w:t>Total impact</w:t>
            </w:r>
          </w:p>
        </w:tc>
        <w:tc>
          <w:tcPr>
            <w:tcW w:w="1585" w:type="dxa"/>
            <w:vAlign w:val="bottom"/>
          </w:tcPr>
          <w:p w:rsidR="008A185A" w:rsidRPr="00AE259B" w:rsidRDefault="008A185A" w:rsidP="008A185A">
            <w:pPr>
              <w:pStyle w:val="Style11ptSkyBlueBefore12ptAfter3pt"/>
              <w:spacing w:before="0" w:after="0"/>
              <w:jc w:val="right"/>
              <w:rPr>
                <w:rFonts w:cs="Arial"/>
                <w:color w:val="auto"/>
                <w:sz w:val="16"/>
                <w:szCs w:val="16"/>
                <w:lang w:eastAsia="en-US"/>
              </w:rPr>
            </w:pPr>
          </w:p>
        </w:tc>
        <w:tc>
          <w:tcPr>
            <w:tcW w:w="1467" w:type="dxa"/>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(1,126)</w:t>
            </w:r>
          </w:p>
        </w:tc>
        <w:tc>
          <w:tcPr>
            <w:tcW w:w="1123" w:type="dxa"/>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(1,126)</w:t>
            </w:r>
          </w:p>
        </w:tc>
        <w:tc>
          <w:tcPr>
            <w:tcW w:w="1245" w:type="dxa"/>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1,126</w:t>
            </w:r>
          </w:p>
        </w:tc>
        <w:tc>
          <w:tcPr>
            <w:tcW w:w="1397" w:type="dxa"/>
            <w:vAlign w:val="bottom"/>
          </w:tcPr>
          <w:p w:rsidR="008A185A" w:rsidRPr="00AE259B" w:rsidRDefault="008A185A" w:rsidP="008A185A">
            <w:pPr>
              <w:pStyle w:val="Style11ptSkyBlueBefore12ptAfter3pt"/>
              <w:spacing w:before="0" w:after="0"/>
              <w:jc w:val="right"/>
              <w:rPr>
                <w:rFonts w:cs="Arial"/>
                <w:b/>
                <w:color w:val="auto"/>
                <w:sz w:val="16"/>
                <w:szCs w:val="16"/>
                <w:lang w:eastAsia="en-US"/>
              </w:rPr>
            </w:pPr>
            <w:r w:rsidRPr="00AE259B">
              <w:rPr>
                <w:rFonts w:cs="Arial"/>
                <w:b/>
                <w:color w:val="auto"/>
                <w:sz w:val="16"/>
                <w:szCs w:val="16"/>
                <w:lang w:eastAsia="en-US"/>
              </w:rPr>
              <w:t>1,126</w:t>
            </w:r>
          </w:p>
        </w:tc>
      </w:tr>
      <w:tr w:rsidR="008A185A" w:rsidRPr="00AE259B" w:rsidTr="008A185A">
        <w:trPr>
          <w:trHeight w:val="20"/>
        </w:trPr>
        <w:tc>
          <w:tcPr>
            <w:tcW w:w="9193" w:type="dxa"/>
            <w:gridSpan w:val="6"/>
            <w:vAlign w:val="bottom"/>
          </w:tcPr>
          <w:p w:rsidR="008A185A" w:rsidRPr="00AE259B" w:rsidRDefault="008A185A" w:rsidP="008A185A">
            <w:pPr>
              <w:pStyle w:val="Style11ptSkyBlueBefore12ptAfter3pt"/>
              <w:spacing w:before="0" w:after="0"/>
              <w:rPr>
                <w:rFonts w:cs="Arial"/>
                <w:color w:val="auto"/>
                <w:sz w:val="16"/>
                <w:szCs w:val="16"/>
                <w:lang w:eastAsia="en-US"/>
              </w:rPr>
            </w:pPr>
            <w:r w:rsidRPr="00AE259B">
              <w:rPr>
                <w:rFonts w:cs="Arial"/>
                <w:color w:val="auto"/>
                <w:sz w:val="16"/>
                <w:szCs w:val="16"/>
                <w:lang w:eastAsia="en-US"/>
              </w:rPr>
              <w:t>(i) Cash and deposits include deposits of $ 45,822 thousand (2012: $56,295 thousand) that is exposed to floating rate movements.  Sensitivities to these movements are calculated as follows:</w:t>
            </w:r>
            <w:r w:rsidRPr="00AE259B">
              <w:rPr>
                <w:rFonts w:cs="Arial"/>
                <w:color w:val="auto"/>
                <w:sz w:val="16"/>
                <w:szCs w:val="16"/>
                <w:lang w:eastAsia="en-US"/>
              </w:rPr>
              <w:br/>
              <w:t>- 2013: $45,822 thousand x -0.02 = -$916 thousand; and $45,822 thousand x 0.02 = $916 thousand</w:t>
            </w:r>
            <w:r w:rsidRPr="00AE259B">
              <w:rPr>
                <w:rFonts w:cs="Arial"/>
                <w:color w:val="auto"/>
                <w:sz w:val="16"/>
                <w:szCs w:val="16"/>
                <w:lang w:eastAsia="en-US"/>
              </w:rPr>
              <w:br/>
              <w:t>- 2012: $56,295 thousand x -0.02 = -$1,126 thousand; and $56,295 thousand x 0.02 = $1,126 thousand</w:t>
            </w:r>
          </w:p>
        </w:tc>
      </w:tr>
    </w:tbl>
    <w:p w:rsidR="008A185A" w:rsidRPr="00AE259B" w:rsidRDefault="008A185A" w:rsidP="008A185A">
      <w:pPr>
        <w:rPr>
          <w:rFonts w:ascii="Arial" w:hAnsi="Arial" w:cs="Arial"/>
        </w:rPr>
      </w:pPr>
    </w:p>
    <w:p w:rsidR="008A185A" w:rsidRPr="00AE259B" w:rsidRDefault="008A185A" w:rsidP="00B11D08">
      <w:pPr>
        <w:pStyle w:val="Heading20"/>
      </w:pPr>
      <w:bookmarkStart w:id="212" w:name="_Toc337537722"/>
      <w:r w:rsidRPr="00AE259B">
        <w:t>(e)</w:t>
      </w:r>
      <w:r w:rsidRPr="00AE259B">
        <w:tab/>
        <w:t>Fair value of financial assets and liabilities</w:t>
      </w:r>
      <w:bookmarkEnd w:id="212"/>
      <w:r w:rsidRPr="00AE259B">
        <w:t xml:space="preserve"> </w:t>
      </w:r>
    </w:p>
    <w:p w:rsidR="008A185A" w:rsidRPr="00AE259B" w:rsidRDefault="008A185A" w:rsidP="008A185A">
      <w:pPr>
        <w:rPr>
          <w:rFonts w:ascii="Arial" w:hAnsi="Arial" w:cs="Arial"/>
        </w:rPr>
      </w:pPr>
      <w:r w:rsidRPr="00AE259B">
        <w:rPr>
          <w:rFonts w:ascii="Arial" w:hAnsi="Arial" w:cs="Arial"/>
        </w:rPr>
        <w:t>PTV considers that the carrying amount of financial assets and financial liabilities recorded in the financial statements approximates their fair values.</w:t>
      </w:r>
    </w:p>
    <w:p w:rsidR="00B11D08" w:rsidRDefault="00B11D08" w:rsidP="00B11D08">
      <w:pPr>
        <w:pStyle w:val="Heading30"/>
      </w:pPr>
    </w:p>
    <w:p w:rsidR="008A185A" w:rsidRPr="00AE259B" w:rsidRDefault="008A185A" w:rsidP="00B11D08">
      <w:pPr>
        <w:pStyle w:val="Heading30"/>
        <w:rPr>
          <w:i/>
        </w:rPr>
      </w:pPr>
      <w:r w:rsidRPr="00AE259B">
        <w:t>On-statement of balance sheet</w:t>
      </w:r>
    </w:p>
    <w:p w:rsidR="008A185A" w:rsidRPr="00AE259B" w:rsidRDefault="008A185A" w:rsidP="008A185A">
      <w:pPr>
        <w:rPr>
          <w:rFonts w:ascii="Arial" w:hAnsi="Arial" w:cs="Arial"/>
        </w:rPr>
      </w:pPr>
      <w:r w:rsidRPr="00AE259B">
        <w:rPr>
          <w:rFonts w:ascii="Arial" w:hAnsi="Arial" w:cs="Arial"/>
        </w:rPr>
        <w:t>The net fair value of cash and cash equivalents and non-interest bearing monetary financial assets and financial liabilities of PTV equals their carrying amounts.</w:t>
      </w:r>
    </w:p>
    <w:p w:rsidR="00B11D08" w:rsidRDefault="00B11D08" w:rsidP="00B11D08">
      <w:pPr>
        <w:pStyle w:val="Heading30"/>
      </w:pPr>
    </w:p>
    <w:p w:rsidR="008A185A" w:rsidRPr="00AE259B" w:rsidRDefault="008A185A" w:rsidP="00B11D08">
      <w:pPr>
        <w:pStyle w:val="Heading30"/>
        <w:rPr>
          <w:i/>
        </w:rPr>
      </w:pPr>
      <w:r w:rsidRPr="00AE259B">
        <w:t>Off-statement of balance sheet</w:t>
      </w:r>
    </w:p>
    <w:p w:rsidR="008A185A" w:rsidRPr="00AE259B" w:rsidRDefault="008A185A" w:rsidP="008A185A">
      <w:pPr>
        <w:rPr>
          <w:rFonts w:ascii="Arial" w:hAnsi="Arial" w:cs="Arial"/>
        </w:rPr>
      </w:pPr>
      <w:r w:rsidRPr="00AE259B">
        <w:rPr>
          <w:rFonts w:ascii="Arial" w:hAnsi="Arial" w:cs="Arial"/>
        </w:rPr>
        <w:t>PTV has potential financial assets and liabilities which may arise from certain contingencies disclosed in Note 15. As explained in Note 15, contingent liabilities by definition are similar to a liability, the distinguishing feature being the uncertainty over the government agencies’ obligation.</w:t>
      </w:r>
    </w:p>
    <w:p w:rsidR="008A185A" w:rsidRPr="00AE259B" w:rsidRDefault="008A185A" w:rsidP="008A185A">
      <w:pPr>
        <w:pStyle w:val="Heading1"/>
        <w:rPr>
          <w:rFonts w:ascii="Arial" w:hAnsi="Arial" w:cs="Arial"/>
        </w:rPr>
        <w:sectPr w:rsidR="008A185A" w:rsidRPr="00AE259B" w:rsidSect="008A185A">
          <w:pgSz w:w="11906" w:h="16838"/>
          <w:pgMar w:top="1276" w:right="720" w:bottom="1134" w:left="1843" w:header="720" w:footer="720" w:gutter="0"/>
          <w:cols w:space="720"/>
          <w:noEndnote/>
        </w:sectPr>
      </w:pPr>
      <w:bookmarkStart w:id="213" w:name="_Note_15._Commitments"/>
      <w:bookmarkStart w:id="214" w:name="_Toc337471047"/>
      <w:bookmarkStart w:id="215" w:name="_Toc337537813"/>
      <w:bookmarkStart w:id="216" w:name="_Toc337539739"/>
      <w:bookmarkStart w:id="217" w:name="_Toc337707156"/>
      <w:bookmarkStart w:id="218" w:name="_Toc337711264"/>
      <w:bookmarkEnd w:id="213"/>
    </w:p>
    <w:p w:rsidR="008A185A" w:rsidRPr="00AE259B" w:rsidRDefault="008A185A" w:rsidP="006B7F1A">
      <w:pPr>
        <w:pStyle w:val="Heading10"/>
        <w:outlineLvl w:val="0"/>
      </w:pPr>
      <w:bookmarkStart w:id="219" w:name="_Toc366672105"/>
      <w:r w:rsidRPr="00AE259B">
        <w:t>Note 14. Commitments for expenditure</w:t>
      </w:r>
      <w:bookmarkEnd w:id="214"/>
      <w:bookmarkEnd w:id="215"/>
      <w:bookmarkEnd w:id="216"/>
      <w:bookmarkEnd w:id="217"/>
      <w:bookmarkEnd w:id="218"/>
      <w:bookmarkEnd w:id="219"/>
    </w:p>
    <w:p w:rsidR="008A185A" w:rsidRPr="00AE259B" w:rsidRDefault="008A185A" w:rsidP="00B11D08">
      <w:pPr>
        <w:pStyle w:val="Heading20"/>
      </w:pPr>
      <w:r w:rsidRPr="00AE259B">
        <w:t xml:space="preserve">(a) Commitments other than public private partnership </w:t>
      </w:r>
      <w:r w:rsidRPr="00AE259B">
        <w:rPr>
          <w:vertAlign w:val="superscript"/>
        </w:rPr>
        <w:t>(i)</w:t>
      </w:r>
    </w:p>
    <w:tbl>
      <w:tblPr>
        <w:tblW w:w="4306" w:type="pct"/>
        <w:tblCellMar>
          <w:left w:w="0" w:type="dxa"/>
          <w:right w:w="0" w:type="dxa"/>
        </w:tblCellMar>
        <w:tblLook w:val="0000" w:firstRow="0" w:lastRow="0" w:firstColumn="0" w:lastColumn="0" w:noHBand="0" w:noVBand="0"/>
      </w:tblPr>
      <w:tblGrid>
        <w:gridCol w:w="4978"/>
        <w:gridCol w:w="1184"/>
        <w:gridCol w:w="1186"/>
      </w:tblGrid>
      <w:tr w:rsidR="008A185A" w:rsidRPr="00AE259B" w:rsidTr="008A185A">
        <w:trPr>
          <w:trHeight w:val="786"/>
        </w:trPr>
        <w:tc>
          <w:tcPr>
            <w:tcW w:w="3387" w:type="pct"/>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806" w:type="pct"/>
            <w:tcBorders>
              <w:top w:val="single" w:sz="2" w:space="0" w:color="auto"/>
              <w:left w:val="single" w:sz="2" w:space="0" w:color="auto"/>
              <w:bottom w:val="single" w:sz="2" w:space="0" w:color="auto"/>
              <w:right w:val="single" w:sz="2" w:space="0" w:color="auto"/>
            </w:tcBorders>
            <w:vAlign w:val="bottom"/>
          </w:tcPr>
          <w:p w:rsidR="008A185A" w:rsidRPr="00AE259B" w:rsidRDefault="008A185A" w:rsidP="008A185A">
            <w:pPr>
              <w:pStyle w:val="TableHeading"/>
              <w:spacing w:before="0" w:after="0" w:line="240" w:lineRule="auto"/>
              <w:ind w:right="135"/>
              <w:rPr>
                <w:rFonts w:ascii="Arial" w:hAnsi="Arial" w:cs="Arial"/>
              </w:rPr>
            </w:pPr>
            <w:r w:rsidRPr="00AE259B">
              <w:rPr>
                <w:rFonts w:ascii="Arial" w:hAnsi="Arial" w:cs="Arial"/>
              </w:rPr>
              <w:t>2013</w:t>
            </w:r>
            <w:r w:rsidRPr="00AE259B">
              <w:rPr>
                <w:rFonts w:ascii="Arial" w:hAnsi="Arial" w:cs="Arial"/>
              </w:rPr>
              <w:br/>
              <w:t>$’000</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Rail service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Transport service provided by rail operators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5,288,110</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6,380,626</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rail service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b/>
              </w:rPr>
            </w:pPr>
            <w:r w:rsidRPr="00AE259B">
              <w:rPr>
                <w:rFonts w:ascii="Arial" w:hAnsi="Arial" w:cs="Arial"/>
                <w:b/>
              </w:rPr>
              <w:t>5,288,110</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6,380,626</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Bus service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Transport service provided by bus operators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4,781,358</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4,434,042</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bus service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b/>
              </w:rPr>
            </w:pPr>
            <w:r w:rsidRPr="00AE259B">
              <w:rPr>
                <w:rFonts w:ascii="Arial" w:hAnsi="Arial" w:cs="Arial"/>
                <w:b/>
              </w:rPr>
              <w:t>4,781,358</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4,434,042</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Ticketing service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Ticketing service provided by ticketing operators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222,429</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ticketing service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b/>
              </w:rPr>
            </w:pPr>
            <w:r w:rsidRPr="00AE259B">
              <w:rPr>
                <w:rFonts w:ascii="Arial" w:hAnsi="Arial" w:cs="Arial"/>
                <w:b/>
              </w:rPr>
              <w:t>222,429</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Operating lease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Office &amp; Retail</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53,891</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operating lease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b/>
              </w:rPr>
            </w:pPr>
            <w:r w:rsidRPr="00AE259B">
              <w:rPr>
                <w:rFonts w:ascii="Arial" w:hAnsi="Arial" w:cs="Arial"/>
                <w:b/>
              </w:rPr>
              <w:t>53,891</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Capital expenditure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Plant, equipment and vehicles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r w:rsidRPr="00AE259B">
              <w:rPr>
                <w:rFonts w:ascii="Arial" w:hAnsi="Arial" w:cs="Arial"/>
              </w:rPr>
              <w:t>417,583</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477,261</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capital expenditure commitments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b/>
              </w:rPr>
            </w:pPr>
            <w:r w:rsidRPr="00AE259B">
              <w:rPr>
                <w:rFonts w:ascii="Arial" w:hAnsi="Arial" w:cs="Arial"/>
                <w:b/>
              </w:rPr>
              <w:t>417,583</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477,261</w:t>
            </w: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rPr>
            </w:pP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38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commitments other than public private partnerships</w:t>
            </w:r>
          </w:p>
        </w:tc>
        <w:tc>
          <w:tcPr>
            <w:tcW w:w="806" w:type="pct"/>
            <w:tcBorders>
              <w:top w:val="single" w:sz="2" w:space="0" w:color="auto"/>
              <w:left w:val="single" w:sz="2" w:space="0" w:color="auto"/>
              <w:bottom w:val="single" w:sz="2" w:space="0" w:color="auto"/>
              <w:right w:val="single" w:sz="2" w:space="0" w:color="auto"/>
            </w:tcBorders>
            <w:shd w:val="pct10" w:color="auto" w:fill="auto"/>
          </w:tcPr>
          <w:p w:rsidR="008A185A" w:rsidRPr="00AE259B" w:rsidRDefault="008A185A" w:rsidP="008A185A">
            <w:pPr>
              <w:pStyle w:val="Tablecopy"/>
              <w:spacing w:line="240" w:lineRule="auto"/>
              <w:ind w:right="135"/>
              <w:jc w:val="right"/>
              <w:rPr>
                <w:rFonts w:ascii="Arial" w:hAnsi="Arial" w:cs="Arial"/>
                <w:b/>
              </w:rPr>
            </w:pPr>
            <w:r w:rsidRPr="00AE259B">
              <w:rPr>
                <w:rFonts w:ascii="Arial" w:hAnsi="Arial" w:cs="Arial"/>
                <w:b/>
              </w:rPr>
              <w:t>10,763,371</w:t>
            </w:r>
          </w:p>
        </w:tc>
        <w:tc>
          <w:tcPr>
            <w:tcW w:w="807" w:type="pct"/>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11,291,929</w:t>
            </w:r>
          </w:p>
        </w:tc>
      </w:tr>
      <w:tr w:rsidR="008A185A" w:rsidRPr="00AE259B" w:rsidTr="008A185A">
        <w:tc>
          <w:tcPr>
            <w:tcW w:w="5000" w:type="pct"/>
            <w:gridSpan w:val="3"/>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 Figures presented are inclusive of GST.</w:t>
            </w:r>
          </w:p>
        </w:tc>
      </w:tr>
    </w:tbl>
    <w:p w:rsidR="00B11D08" w:rsidRDefault="00B11D08" w:rsidP="008A185A">
      <w:pPr>
        <w:rPr>
          <w:rFonts w:ascii="Arial" w:hAnsi="Arial" w:cs="Arial"/>
        </w:rPr>
      </w:pPr>
    </w:p>
    <w:p w:rsidR="00B11D08" w:rsidRDefault="00B11D08">
      <w:pPr>
        <w:rPr>
          <w:rFonts w:ascii="Arial" w:hAnsi="Arial" w:cs="Arial"/>
        </w:rPr>
      </w:pPr>
      <w:r>
        <w:rPr>
          <w:rFonts w:ascii="Arial" w:hAnsi="Arial" w:cs="Arial"/>
        </w:rPr>
        <w:br w:type="page"/>
      </w:r>
    </w:p>
    <w:p w:rsidR="008A185A" w:rsidRPr="00AE259B" w:rsidRDefault="008A185A" w:rsidP="00B11D08">
      <w:pPr>
        <w:pStyle w:val="Heading20"/>
      </w:pPr>
      <w:r w:rsidRPr="00AE259B">
        <w:t xml:space="preserve"> (b) Southern Cross Station public private partnership commitments </w:t>
      </w:r>
      <w:r w:rsidRPr="00AE259B">
        <w:rPr>
          <w:vertAlign w:val="superscript"/>
        </w:rPr>
        <w:t>(i)</w:t>
      </w:r>
    </w:p>
    <w:p w:rsidR="008A185A" w:rsidRDefault="008A185A" w:rsidP="008A185A">
      <w:pPr>
        <w:rPr>
          <w:rFonts w:ascii="Arial" w:hAnsi="Arial" w:cs="Arial"/>
        </w:rPr>
      </w:pPr>
      <w:r w:rsidRPr="00AE259B">
        <w:rPr>
          <w:rFonts w:ascii="Arial" w:hAnsi="Arial" w:cs="Arial"/>
        </w:rPr>
        <w:t>On 2 July 2002 the Southern Cross Station Authority and Civic Nexus Pty Ltd (CNPL) entered into a Services and Development Agreement (SDA) for the redevelopment of Southern Cross Station (Station). Under the SDA, CNPL had to design, construct and commission the Station.  Construction commenced in September 2002 and on 1 August 2006, CNPL was granted a 30 year lease over the Station and has an obligation to operate and maintain the Station, until the end of the 30 year period, of which time these rights and obligations will transfer back to the State.</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Upon formation of PTV, the contract commitments to CNPL, as part of the Public Private Partnership (PPP) arrangement, were transferred from the Director of Public Transport to PTV.  These commitments include operating and finance lease interest costs that extend until 30 June 2036.</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PTV makes quarterly payments over a 30 year operating period which commenced on 27 April 2005.  These future payments are subject to abatement in accordance with the terms and conditions of the SDA.  The quarterly payments reimburse CNPL for the annual operating, maintenance and insurance costs.  The Net Present Value (NPV) is calculated using a discount rate of 8.65 per cent (2012: 8.65 per cent) per annum and an inflation rate of 2.5 per cent per annum or actual inflation, whichever is higher.</w:t>
      </w:r>
    </w:p>
    <w:p w:rsidR="00B11D08" w:rsidRPr="00AE259B" w:rsidRDefault="00B11D08" w:rsidP="008A185A">
      <w:pPr>
        <w:rPr>
          <w:rFonts w:ascii="Arial" w:hAnsi="Arial" w:cs="Arial"/>
        </w:rPr>
      </w:pPr>
    </w:p>
    <w:tbl>
      <w:tblPr>
        <w:tblW w:w="9489"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678"/>
        <w:gridCol w:w="1276"/>
        <w:gridCol w:w="982"/>
        <w:gridCol w:w="1201"/>
        <w:gridCol w:w="1352"/>
      </w:tblGrid>
      <w:tr w:rsidR="008A185A" w:rsidRPr="00AE259B" w:rsidTr="008A185A">
        <w:trPr>
          <w:trHeight w:val="436"/>
        </w:trPr>
        <w:tc>
          <w:tcPr>
            <w:tcW w:w="4678" w:type="dxa"/>
            <w:shd w:val="clear" w:color="auto" w:fill="auto"/>
            <w:tcMar>
              <w:top w:w="57" w:type="dxa"/>
              <w:left w:w="113" w:type="dxa"/>
              <w:bottom w:w="85" w:type="dxa"/>
              <w:right w:w="113" w:type="dxa"/>
            </w:tcMar>
            <w:vAlign w:val="bottom"/>
          </w:tcPr>
          <w:p w:rsidR="008A185A" w:rsidRPr="00AE259B" w:rsidRDefault="008A185A" w:rsidP="008A185A">
            <w:pPr>
              <w:pStyle w:val="TableHeading"/>
              <w:jc w:val="left"/>
              <w:rPr>
                <w:rFonts w:ascii="Arial" w:hAnsi="Arial" w:cs="Arial"/>
              </w:rPr>
            </w:pPr>
            <w:r w:rsidRPr="00AE259B">
              <w:rPr>
                <w:rFonts w:ascii="Arial" w:hAnsi="Arial" w:cs="Arial"/>
              </w:rPr>
              <w:t>The nominal amounts for the operation and maintenance commitment below represents the charges payable under the SDA at the end of the reporting period.</w:t>
            </w:r>
          </w:p>
        </w:tc>
        <w:tc>
          <w:tcPr>
            <w:tcW w:w="2258" w:type="dxa"/>
            <w:gridSpan w:val="2"/>
            <w:shd w:val="clear" w:color="auto" w:fill="auto"/>
            <w:tcMar>
              <w:top w:w="57" w:type="dxa"/>
              <w:left w:w="113" w:type="dxa"/>
              <w:bottom w:w="85" w:type="dxa"/>
              <w:right w:w="113" w:type="dxa"/>
            </w:tcMar>
            <w:vAlign w:val="bottom"/>
          </w:tcPr>
          <w:p w:rsidR="008A185A" w:rsidRPr="00AE259B" w:rsidRDefault="008A185A" w:rsidP="008A185A">
            <w:pPr>
              <w:pStyle w:val="TableHeading"/>
              <w:jc w:val="center"/>
              <w:rPr>
                <w:rFonts w:ascii="Arial" w:hAnsi="Arial" w:cs="Arial"/>
              </w:rPr>
            </w:pPr>
            <w:r w:rsidRPr="00AE259B">
              <w:rPr>
                <w:rFonts w:ascii="Arial" w:hAnsi="Arial" w:cs="Arial"/>
              </w:rPr>
              <w:t>2013</w:t>
            </w:r>
          </w:p>
        </w:tc>
        <w:tc>
          <w:tcPr>
            <w:tcW w:w="2553" w:type="dxa"/>
            <w:gridSpan w:val="2"/>
            <w:shd w:val="clear" w:color="auto" w:fill="auto"/>
            <w:tcMar>
              <w:top w:w="57" w:type="dxa"/>
              <w:left w:w="113" w:type="dxa"/>
              <w:bottom w:w="85" w:type="dxa"/>
              <w:right w:w="113" w:type="dxa"/>
            </w:tcMar>
            <w:vAlign w:val="bottom"/>
          </w:tcPr>
          <w:p w:rsidR="008A185A" w:rsidRPr="00AE259B" w:rsidRDefault="008A185A" w:rsidP="008A185A">
            <w:pPr>
              <w:pStyle w:val="TableHeading"/>
              <w:jc w:val="center"/>
              <w:rPr>
                <w:rFonts w:ascii="Arial" w:hAnsi="Arial" w:cs="Arial"/>
              </w:rPr>
            </w:pPr>
            <w:r w:rsidRPr="00AE259B">
              <w:rPr>
                <w:rFonts w:ascii="Arial" w:hAnsi="Arial" w:cs="Arial"/>
              </w:rPr>
              <w:t>Parent</w:t>
            </w:r>
            <w:r w:rsidRPr="00AE259B">
              <w:rPr>
                <w:rFonts w:ascii="Arial" w:hAnsi="Arial" w:cs="Arial"/>
              </w:rPr>
              <w:br/>
              <w:t>2012</w:t>
            </w:r>
          </w:p>
        </w:tc>
      </w:tr>
      <w:tr w:rsidR="008A185A" w:rsidRPr="00AE259B" w:rsidTr="008A185A">
        <w:trPr>
          <w:trHeight w:val="843"/>
        </w:trPr>
        <w:tc>
          <w:tcPr>
            <w:tcW w:w="4678" w:type="dxa"/>
            <w:shd w:val="clear" w:color="auto" w:fill="auto"/>
            <w:tcMar>
              <w:top w:w="57" w:type="dxa"/>
              <w:left w:w="113" w:type="dxa"/>
              <w:bottom w:w="85" w:type="dxa"/>
              <w:right w:w="113" w:type="dxa"/>
            </w:tcMar>
            <w:vAlign w:val="bottom"/>
          </w:tcPr>
          <w:p w:rsidR="008A185A" w:rsidRPr="00AE259B" w:rsidRDefault="008A185A" w:rsidP="008A185A">
            <w:pPr>
              <w:pStyle w:val="TableHeading"/>
              <w:jc w:val="left"/>
              <w:rPr>
                <w:rFonts w:ascii="Arial" w:hAnsi="Arial" w:cs="Arial"/>
              </w:rPr>
            </w:pPr>
            <w:r w:rsidRPr="00AE259B">
              <w:rPr>
                <w:rFonts w:ascii="Arial" w:hAnsi="Arial" w:cs="Arial"/>
              </w:rPr>
              <w:t>Commissioned public private partnership (ii) (iii)</w:t>
            </w:r>
          </w:p>
        </w:tc>
        <w:tc>
          <w:tcPr>
            <w:tcW w:w="1276"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Net  Present Value</w:t>
            </w:r>
            <w:r w:rsidRPr="00AE259B">
              <w:rPr>
                <w:rFonts w:ascii="Arial" w:hAnsi="Arial" w:cs="Arial"/>
              </w:rPr>
              <w:br/>
              <w:t>$’000</w:t>
            </w:r>
          </w:p>
        </w:tc>
        <w:tc>
          <w:tcPr>
            <w:tcW w:w="982"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Nominal</w:t>
            </w:r>
            <w:r w:rsidRPr="00AE259B">
              <w:rPr>
                <w:rFonts w:ascii="Arial" w:hAnsi="Arial" w:cs="Arial"/>
              </w:rPr>
              <w:br/>
              <w:t>Value</w:t>
            </w:r>
            <w:r w:rsidRPr="00AE259B">
              <w:rPr>
                <w:rFonts w:ascii="Arial" w:hAnsi="Arial" w:cs="Arial"/>
              </w:rPr>
              <w:br/>
              <w:t>$’000</w:t>
            </w:r>
          </w:p>
        </w:tc>
        <w:tc>
          <w:tcPr>
            <w:tcW w:w="1201" w:type="dxa"/>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Net Present Value</w:t>
            </w:r>
            <w:r w:rsidRPr="00AE259B">
              <w:rPr>
                <w:rFonts w:ascii="Arial" w:hAnsi="Arial" w:cs="Arial"/>
              </w:rPr>
              <w:br/>
              <w:t>$’000</w:t>
            </w:r>
          </w:p>
        </w:tc>
        <w:tc>
          <w:tcPr>
            <w:tcW w:w="1352" w:type="dxa"/>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Nominal</w:t>
            </w:r>
            <w:r w:rsidRPr="00AE259B">
              <w:rPr>
                <w:rFonts w:ascii="Arial" w:hAnsi="Arial" w:cs="Arial"/>
              </w:rPr>
              <w:br/>
              <w:t>Value</w:t>
            </w:r>
            <w:r w:rsidRPr="00AE259B">
              <w:rPr>
                <w:rFonts w:ascii="Arial" w:hAnsi="Arial" w:cs="Arial"/>
              </w:rPr>
              <w:br/>
              <w:t>$’000</w:t>
            </w:r>
          </w:p>
        </w:tc>
      </w:tr>
      <w:tr w:rsidR="008A185A" w:rsidRPr="00AE259B" w:rsidTr="008A185A">
        <w:tc>
          <w:tcPr>
            <w:tcW w:w="4678" w:type="dxa"/>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rPr>
            </w:pPr>
            <w:r w:rsidRPr="00AE259B">
              <w:rPr>
                <w:rFonts w:ascii="Arial" w:hAnsi="Arial" w:cs="Arial"/>
              </w:rPr>
              <w:t>Southern Cross Station operation and maintenance commitments</w:t>
            </w:r>
          </w:p>
        </w:tc>
        <w:tc>
          <w:tcPr>
            <w:tcW w:w="1276" w:type="dxa"/>
            <w:shd w:val="pct10"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rPr>
            </w:pPr>
            <w:r w:rsidRPr="00AE259B">
              <w:rPr>
                <w:rFonts w:ascii="Arial" w:hAnsi="Arial" w:cs="Arial"/>
              </w:rPr>
              <w:t xml:space="preserve"> 231,708 </w:t>
            </w:r>
          </w:p>
        </w:tc>
        <w:tc>
          <w:tcPr>
            <w:tcW w:w="982" w:type="dxa"/>
            <w:shd w:val="pct10"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rPr>
            </w:pPr>
            <w:r w:rsidRPr="00AE259B">
              <w:rPr>
                <w:rFonts w:ascii="Arial" w:hAnsi="Arial" w:cs="Arial"/>
              </w:rPr>
              <w:t xml:space="preserve"> 596,293 </w:t>
            </w:r>
          </w:p>
        </w:tc>
        <w:tc>
          <w:tcPr>
            <w:tcW w:w="1201" w:type="dxa"/>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rPr>
            </w:pPr>
            <w:r w:rsidRPr="00AE259B">
              <w:rPr>
                <w:rFonts w:ascii="Arial" w:hAnsi="Arial" w:cs="Arial"/>
              </w:rPr>
              <w:t xml:space="preserve"> 195,890 </w:t>
            </w:r>
          </w:p>
        </w:tc>
        <w:tc>
          <w:tcPr>
            <w:tcW w:w="1352" w:type="dxa"/>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rPr>
            </w:pPr>
            <w:r w:rsidRPr="00AE259B">
              <w:rPr>
                <w:rFonts w:ascii="Arial" w:hAnsi="Arial" w:cs="Arial"/>
              </w:rPr>
              <w:t xml:space="preserve"> 515,463 </w:t>
            </w:r>
          </w:p>
        </w:tc>
      </w:tr>
      <w:tr w:rsidR="008A185A" w:rsidRPr="00AE259B" w:rsidTr="008A185A">
        <w:tc>
          <w:tcPr>
            <w:tcW w:w="4678"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PPP operation and maintenance commitment</w:t>
            </w:r>
          </w:p>
        </w:tc>
        <w:tc>
          <w:tcPr>
            <w:tcW w:w="1276" w:type="dxa"/>
            <w:shd w:val="pct10"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231,708 </w:t>
            </w:r>
          </w:p>
        </w:tc>
        <w:tc>
          <w:tcPr>
            <w:tcW w:w="982" w:type="dxa"/>
            <w:shd w:val="pct10"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596,293 </w:t>
            </w:r>
          </w:p>
        </w:tc>
        <w:tc>
          <w:tcPr>
            <w:tcW w:w="1201" w:type="dxa"/>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195,890 </w:t>
            </w:r>
          </w:p>
        </w:tc>
        <w:tc>
          <w:tcPr>
            <w:tcW w:w="1352" w:type="dxa"/>
            <w:shd w:val="clear" w:color="auto" w:fill="auto"/>
            <w:tcMar>
              <w:top w:w="0" w:type="dxa"/>
              <w:left w:w="113" w:type="dxa"/>
              <w:bottom w:w="0" w:type="dxa"/>
              <w:right w:w="113" w:type="dxa"/>
            </w:tcMar>
            <w:vAlign w:val="bottom"/>
          </w:tcPr>
          <w:p w:rsidR="008A185A" w:rsidRPr="00AE259B" w:rsidRDefault="008A185A" w:rsidP="008A185A">
            <w:pPr>
              <w:pStyle w:val="Tablecopy"/>
              <w:jc w:val="right"/>
              <w:rPr>
                <w:rFonts w:ascii="Arial" w:hAnsi="Arial" w:cs="Arial"/>
                <w:b/>
              </w:rPr>
            </w:pPr>
            <w:r w:rsidRPr="00AE259B">
              <w:rPr>
                <w:rFonts w:ascii="Arial" w:hAnsi="Arial" w:cs="Arial"/>
                <w:b/>
              </w:rPr>
              <w:t xml:space="preserve"> 515,463</w:t>
            </w:r>
          </w:p>
        </w:tc>
      </w:tr>
      <w:tr w:rsidR="008A185A" w:rsidRPr="00AE259B" w:rsidTr="008A185A">
        <w:tc>
          <w:tcPr>
            <w:tcW w:w="9489" w:type="dxa"/>
            <w:gridSpan w:val="5"/>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(i) The present values of the minimum lease payments for commissioned PPP are recognised on the balance sheet and are not disclosed as commitments.</w:t>
            </w:r>
            <w:r w:rsidRPr="00AE259B">
              <w:rPr>
                <w:rFonts w:ascii="Arial" w:hAnsi="Arial" w:cs="Arial"/>
              </w:rPr>
              <w:br/>
              <w:t>(ii) The year on year reduction in the nominal amounts of the commitments reflects the payments made.</w:t>
            </w:r>
            <w:r w:rsidRPr="00AE259B">
              <w:rPr>
                <w:rFonts w:ascii="Arial" w:hAnsi="Arial" w:cs="Arial"/>
              </w:rPr>
              <w:br/>
              <w:t>(iii) The year on year reduction in the present values of the commitments mainly reflects the payments made, offset by the impact of the discounting period being one reporting period shorter.</w:t>
            </w:r>
          </w:p>
        </w:tc>
      </w:tr>
    </w:tbl>
    <w:p w:rsidR="00B11D08" w:rsidRDefault="00B11D08" w:rsidP="008A185A">
      <w:pPr>
        <w:pStyle w:val="Heading3"/>
        <w:rPr>
          <w:rFonts w:ascii="Arial" w:hAnsi="Arial" w:cs="Arial"/>
        </w:rPr>
      </w:pPr>
    </w:p>
    <w:p w:rsidR="00B11D08" w:rsidRPr="00AD22A8" w:rsidRDefault="00B11D08">
      <w:pPr>
        <w:rPr>
          <w:rFonts w:ascii="Arial" w:hAnsi="Arial" w:cs="Arial"/>
          <w:b/>
          <w:bCs/>
          <w:color w:val="4F81BD"/>
        </w:rPr>
      </w:pPr>
      <w:r>
        <w:rPr>
          <w:rFonts w:ascii="Arial" w:hAnsi="Arial" w:cs="Arial"/>
        </w:rPr>
        <w:br w:type="page"/>
      </w:r>
    </w:p>
    <w:p w:rsidR="008A185A" w:rsidRPr="00AE259B" w:rsidRDefault="008A185A" w:rsidP="00B11D08">
      <w:pPr>
        <w:pStyle w:val="Heading20"/>
      </w:pPr>
      <w:r w:rsidRPr="00AE259B">
        <w:t>(c) Commitments Payable</w:t>
      </w:r>
      <w:r w:rsidRPr="00AE259B">
        <w:rPr>
          <w:vertAlign w:val="superscript"/>
        </w:rPr>
        <w:t>(i)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30"/>
        <w:gridCol w:w="1206"/>
        <w:gridCol w:w="1196"/>
      </w:tblGrid>
      <w:tr w:rsidR="008A185A" w:rsidRPr="00AE259B" w:rsidTr="008A185A">
        <w:tc>
          <w:tcPr>
            <w:tcW w:w="3592"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jc w:val="left"/>
              <w:rPr>
                <w:rFonts w:ascii="Arial" w:hAnsi="Arial" w:cs="Arial"/>
              </w:rPr>
            </w:pPr>
          </w:p>
        </w:tc>
        <w:tc>
          <w:tcPr>
            <w:tcW w:w="707"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$’000</w:t>
            </w:r>
          </w:p>
        </w:tc>
        <w:tc>
          <w:tcPr>
            <w:tcW w:w="701" w:type="pct"/>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3592" w:type="pct"/>
            <w:shd w:val="clear" w:color="auto" w:fill="auto"/>
            <w:tcMar>
              <w:top w:w="0" w:type="dxa"/>
              <w:left w:w="113" w:type="dxa"/>
              <w:bottom w:w="57"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Rail service commitments payable</w:t>
            </w:r>
          </w:p>
        </w:tc>
        <w:tc>
          <w:tcPr>
            <w:tcW w:w="707" w:type="pct"/>
            <w:shd w:val="pct10" w:color="auto" w:fill="auto"/>
            <w:tcMar>
              <w:top w:w="0" w:type="dxa"/>
              <w:left w:w="113" w:type="dxa"/>
              <w:bottom w:w="57" w:type="dxa"/>
              <w:right w:w="113" w:type="dxa"/>
            </w:tcMar>
            <w:vAlign w:val="bottom"/>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57" w:type="dxa"/>
              <w:right w:w="113" w:type="dxa"/>
            </w:tcMar>
            <w:vAlign w:val="bottom"/>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Less than 1 year</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1,545,903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2,074,587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Longer than 1 year but not longer than 5 years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3,485,497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3,680,763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5 years or more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256,710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625,276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rail service commitments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5,288,110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6,380,626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Bus service commitments payable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Less than 1 year</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1,061,544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1,017,145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Longer than 1 year but not longer than 5 years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2,879,866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2,568,728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5 years or more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839,948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848,169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bus service commitments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4,781,358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4,434,042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Ticketing service commitments payable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Less than 1 year</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79,673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Longer than 1 year but not longer than 5 years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142,756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5 years or more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ticketing service commitments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222,429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Operating lease commitments payable</w:t>
            </w:r>
            <w:r w:rsidRPr="00AE259B">
              <w:rPr>
                <w:rFonts w:ascii="Arial" w:hAnsi="Arial" w:cs="Arial"/>
                <w:b/>
                <w:vertAlign w:val="superscript"/>
              </w:rPr>
              <w:t>(ii)</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Less than 1 year</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7,699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Longer than 1 year but not longer than 5 years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42,361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5 years or more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3,831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operating lease commitments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53,891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Capital expenditure commitments payable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Less than 1 year</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231,332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212,353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Longer than 1 year but not longer than 5 years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186,217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264,908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5 years or more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34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capital expenditure commitments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417,583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477,261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PPP operation and maintenance commitments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b/>
              </w:rPr>
              <w:t>Minimum lease payments for non-cancellable leases payable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Less than 1 year</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16,847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16,035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Longer than 1 year but not longer than 5 years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80,159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68,249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5 years or more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499,287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431,179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lease commitments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596,293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515,463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Future minimum lease payments expected to be received in relation to non-cancellable sub-leases of operating leases</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p>
        </w:tc>
      </w:tr>
      <w:tr w:rsidR="008A185A" w:rsidRPr="00AE259B" w:rsidTr="008A185A">
        <w:tc>
          <w:tcPr>
            <w:tcW w:w="3592"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commitments</w:t>
            </w:r>
          </w:p>
        </w:tc>
        <w:tc>
          <w:tcPr>
            <w:tcW w:w="707" w:type="pct"/>
            <w:shd w:val="pct10"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701" w:type="pct"/>
            <w:shd w:val="clear" w:color="auto" w:fill="auto"/>
            <w:tcMar>
              <w:top w:w="0" w:type="dxa"/>
              <w:left w:w="113" w:type="dxa"/>
              <w:bottom w:w="0"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commitments (inclusive of GST)</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11,359,664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11,807,392 </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Less: GST recoverable from the Australian Tax Office</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(1,032,697)</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(1,073,399)</w:t>
            </w:r>
          </w:p>
        </w:tc>
      </w:tr>
      <w:tr w:rsidR="008A185A" w:rsidRPr="00AE259B" w:rsidTr="008A185A">
        <w:tc>
          <w:tcPr>
            <w:tcW w:w="3592"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commitments (exclusive of GST)</w:t>
            </w:r>
          </w:p>
        </w:tc>
        <w:tc>
          <w:tcPr>
            <w:tcW w:w="707" w:type="pct"/>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10,326,967 </w:t>
            </w:r>
          </w:p>
        </w:tc>
        <w:tc>
          <w:tcPr>
            <w:tcW w:w="701" w:type="pct"/>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10,733,993 </w:t>
            </w:r>
          </w:p>
        </w:tc>
      </w:tr>
      <w:tr w:rsidR="008A185A" w:rsidRPr="00AE259B" w:rsidTr="008A185A">
        <w:tc>
          <w:tcPr>
            <w:tcW w:w="5000" w:type="pct"/>
            <w:gridSpan w:val="3"/>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rPr>
              <w:t>(i) For future finance lease and non-cancellable operating lease payments that are recognised on the balance sheet, refer to Note 18 Leases.</w:t>
            </w:r>
            <w:r w:rsidRPr="00AE259B">
              <w:rPr>
                <w:rFonts w:ascii="Arial" w:hAnsi="Arial" w:cs="Arial"/>
              </w:rPr>
              <w:br/>
              <w:t>(ii) Operating lease commitments relate to office and retail facilities with lease terms between three months and seven years. These contracts do not allow PTV to purchase the facilities after the lease ends.</w:t>
            </w:r>
          </w:p>
        </w:tc>
      </w:tr>
    </w:tbl>
    <w:p w:rsidR="008A185A" w:rsidRPr="00AE259B" w:rsidRDefault="008A185A" w:rsidP="008A185A">
      <w:pPr>
        <w:rPr>
          <w:rFonts w:ascii="Arial" w:hAnsi="Arial" w:cs="Arial"/>
        </w:rPr>
      </w:pPr>
      <w:r w:rsidRPr="00AE259B">
        <w:rPr>
          <w:rFonts w:ascii="Arial" w:hAnsi="Arial" w:cs="Arial"/>
        </w:rPr>
        <w:br w:type="page"/>
      </w:r>
    </w:p>
    <w:p w:rsidR="008A185A" w:rsidRPr="00AE259B" w:rsidRDefault="008A185A" w:rsidP="00B11D08">
      <w:pPr>
        <w:pStyle w:val="Heading30"/>
      </w:pPr>
      <w:r w:rsidRPr="00AE259B">
        <w:t>Rail and bus commitments</w:t>
      </w:r>
    </w:p>
    <w:p w:rsidR="008A185A" w:rsidRDefault="008A185A" w:rsidP="008A185A">
      <w:pPr>
        <w:rPr>
          <w:rFonts w:ascii="Arial" w:hAnsi="Arial" w:cs="Arial"/>
        </w:rPr>
      </w:pPr>
      <w:r w:rsidRPr="00AE259B">
        <w:rPr>
          <w:rFonts w:ascii="Arial" w:hAnsi="Arial" w:cs="Arial"/>
        </w:rPr>
        <w:t>The Director of Public Transport and/or Secretary of DTPLI entered into a number of contracts with private operators to provide Victoria’s train, tram and bus services. The current contracts with Metro Trains Melbourne (MTM) and Yarra Trams commenced on 30 November 2009 and have an initial franchise period of eight years (with the possibility of a seven-year extension). Under the terms of these franchise contracts, the subsidies are provided for transport services and capital commitments. All of the contracts were transferred from the Director of Public Transport and/or Secretary to PTV on 2 April 2012.</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The commitments with MTM and Yarra Trams have been calculated up to the end of the initial franchise period with the exception of the rolling stock lease payments for which PTV is legally committed beyond the initial franchise period.</w:t>
      </w:r>
    </w:p>
    <w:p w:rsidR="00B11D08" w:rsidRPr="00AE259B" w:rsidRDefault="00B11D08" w:rsidP="008A185A">
      <w:pPr>
        <w:rPr>
          <w:rFonts w:ascii="Arial" w:hAnsi="Arial" w:cs="Arial"/>
        </w:rPr>
      </w:pPr>
    </w:p>
    <w:p w:rsidR="008A185A" w:rsidRDefault="008A185A" w:rsidP="008A185A">
      <w:pPr>
        <w:rPr>
          <w:rFonts w:ascii="Arial" w:hAnsi="Arial" w:cs="Arial"/>
        </w:rPr>
      </w:pPr>
      <w:r w:rsidRPr="00AE259B">
        <w:rPr>
          <w:rFonts w:ascii="Arial" w:hAnsi="Arial" w:cs="Arial"/>
        </w:rPr>
        <w:t>As per the franchise contracts the train and tram franchisees are entitled to a New Ticketing Revenue Guarantee Payment (in lieu of farebox revenue) which will continue to be paid until approximately one year after the last Metcard ticket is sold. The farebox revenue is currently being received in its entirety by PTV and will be distributed to franchisees from the date after the New Ticketing Revenue Guarantee Payment ceases to be paid.</w:t>
      </w:r>
    </w:p>
    <w:p w:rsidR="00B11D08" w:rsidRPr="00AE259B" w:rsidRDefault="00B11D08"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Bus services are covered by long term contracts established in recent years and this is reflected in the bus commitment calculation. The exception is the metropolitan bus service contracts for the orbital, National Bus Company and Melbourne Bus Link services which are contracted until the end of July 2013.</w:t>
      </w:r>
    </w:p>
    <w:p w:rsidR="00B11D08" w:rsidRDefault="00B11D08" w:rsidP="00B11D08">
      <w:pPr>
        <w:pStyle w:val="Heading30"/>
      </w:pPr>
    </w:p>
    <w:p w:rsidR="008A185A" w:rsidRPr="00AE259B" w:rsidRDefault="008A185A" w:rsidP="00B11D08">
      <w:pPr>
        <w:pStyle w:val="Heading30"/>
      </w:pPr>
      <w:r w:rsidRPr="00AE259B">
        <w:t>V/Line rail services</w:t>
      </w:r>
    </w:p>
    <w:p w:rsidR="008A185A" w:rsidRPr="00AE259B" w:rsidRDefault="008A185A" w:rsidP="008A185A">
      <w:pPr>
        <w:rPr>
          <w:rFonts w:ascii="Arial" w:hAnsi="Arial" w:cs="Arial"/>
        </w:rPr>
      </w:pPr>
      <w:r w:rsidRPr="00AE259B">
        <w:rPr>
          <w:rFonts w:ascii="Arial" w:hAnsi="Arial" w:cs="Arial"/>
        </w:rPr>
        <w:t xml:space="preserve">V/Line rail services reverted to government control with a partnership arrangement established from 1 October 2003.  A new service agreement between PTV and V/Line will apply for the period from 1 July 2013 to 30 June 2016. </w:t>
      </w:r>
    </w:p>
    <w:p w:rsidR="00B11D08" w:rsidRDefault="00B11D08" w:rsidP="00B11D08">
      <w:pPr>
        <w:pStyle w:val="Heading30"/>
      </w:pPr>
    </w:p>
    <w:p w:rsidR="008A185A" w:rsidRPr="00AE259B" w:rsidRDefault="008A185A" w:rsidP="00B11D08">
      <w:pPr>
        <w:pStyle w:val="Heading30"/>
      </w:pPr>
      <w:r w:rsidRPr="00AE259B">
        <w:t>Capital expenditure commitments</w:t>
      </w:r>
    </w:p>
    <w:p w:rsidR="008A185A" w:rsidRPr="00AE259B" w:rsidRDefault="008A185A" w:rsidP="008A185A">
      <w:pPr>
        <w:rPr>
          <w:rFonts w:ascii="Arial" w:hAnsi="Arial" w:cs="Arial"/>
        </w:rPr>
      </w:pPr>
      <w:r w:rsidRPr="00AE259B">
        <w:rPr>
          <w:rFonts w:ascii="Arial" w:hAnsi="Arial" w:cs="Arial"/>
        </w:rPr>
        <w:t xml:space="preserve">Capital expenditure commitments include contracts for capital projects relating to infrastructure and transport related projects separate and in addition to the commitments entered into through the partnership agreements (which include rolling stock and branding projects). These commitments have been signed prior to 30 June 2013 and have established a legal and binding obligation on PTV to make future payments. </w:t>
      </w:r>
    </w:p>
    <w:p w:rsidR="00B11D08" w:rsidRDefault="00B11D08" w:rsidP="00B11D08">
      <w:pPr>
        <w:pStyle w:val="Heading30"/>
      </w:pPr>
    </w:p>
    <w:p w:rsidR="008A185A" w:rsidRPr="00AE259B" w:rsidRDefault="008A185A" w:rsidP="00B11D08">
      <w:pPr>
        <w:pStyle w:val="Heading30"/>
      </w:pPr>
      <w:r w:rsidRPr="00AE259B">
        <w:t>Lease commitments</w:t>
      </w:r>
    </w:p>
    <w:p w:rsidR="008A185A" w:rsidRPr="00AE259B" w:rsidRDefault="008A185A" w:rsidP="008A185A">
      <w:pPr>
        <w:rPr>
          <w:rFonts w:ascii="Arial" w:hAnsi="Arial" w:cs="Arial"/>
        </w:rPr>
      </w:pPr>
      <w:r w:rsidRPr="00AE259B">
        <w:rPr>
          <w:rFonts w:ascii="Arial" w:hAnsi="Arial" w:cs="Arial"/>
        </w:rPr>
        <w:t>Lease commitments include contracts for office and retail accommodation.</w:t>
      </w:r>
    </w:p>
    <w:p w:rsidR="00E72670" w:rsidRDefault="00E72670">
      <w:pPr>
        <w:rPr>
          <w:rFonts w:ascii="Arial" w:hAnsi="Arial" w:cs="Arial"/>
          <w:b/>
          <w:sz w:val="36"/>
          <w:szCs w:val="28"/>
        </w:rPr>
      </w:pPr>
      <w:bookmarkStart w:id="220" w:name="_Note_16._Contingent"/>
      <w:bookmarkStart w:id="221" w:name="_Toc337471048"/>
      <w:bookmarkStart w:id="222" w:name="_Toc337537814"/>
      <w:bookmarkStart w:id="223" w:name="_Toc337539740"/>
      <w:bookmarkStart w:id="224" w:name="_Toc337707157"/>
      <w:bookmarkStart w:id="225" w:name="_Toc337711265"/>
      <w:bookmarkEnd w:id="220"/>
      <w:r>
        <w:br w:type="page"/>
      </w:r>
    </w:p>
    <w:p w:rsidR="008A185A" w:rsidRPr="00AE259B" w:rsidRDefault="008A185A" w:rsidP="006B7F1A">
      <w:pPr>
        <w:pStyle w:val="Heading10"/>
        <w:outlineLvl w:val="0"/>
      </w:pPr>
      <w:bookmarkStart w:id="226" w:name="_Toc366672106"/>
      <w:r w:rsidRPr="00AE259B">
        <w:t>Note 15. Contingent assets and liabilities</w:t>
      </w:r>
      <w:bookmarkEnd w:id="221"/>
      <w:bookmarkEnd w:id="222"/>
      <w:bookmarkEnd w:id="223"/>
      <w:bookmarkEnd w:id="224"/>
      <w:bookmarkEnd w:id="225"/>
      <w:bookmarkEnd w:id="226"/>
    </w:p>
    <w:p w:rsidR="008A185A" w:rsidRPr="00AE259B" w:rsidRDefault="008A185A" w:rsidP="00A17713">
      <w:pPr>
        <w:pStyle w:val="Heading20"/>
        <w:numPr>
          <w:ilvl w:val="0"/>
          <w:numId w:val="15"/>
        </w:numPr>
      </w:pPr>
      <w:bookmarkStart w:id="227" w:name="_Toc337537723"/>
      <w:r w:rsidRPr="00AE259B">
        <w:t>Contingent assets</w:t>
      </w:r>
      <w:bookmarkEnd w:id="227"/>
    </w:p>
    <w:p w:rsidR="008A185A" w:rsidRDefault="008A185A" w:rsidP="008A185A">
      <w:pPr>
        <w:rPr>
          <w:rFonts w:ascii="Arial" w:hAnsi="Arial" w:cs="Arial"/>
        </w:rPr>
      </w:pPr>
      <w:r w:rsidRPr="00AE259B">
        <w:rPr>
          <w:rFonts w:ascii="Arial" w:hAnsi="Arial" w:cs="Arial"/>
        </w:rPr>
        <w:t>Contingent assets arise from guarantees, indemnities and other forms of support provided to PTV and from legal disputes and other claims by PTV arising from a past event. Contingent assets by definition are similar to an asset with the distinguishing feature being the uncertainty over PTV’s entitlement.  PTV has no contingent assets.</w:t>
      </w:r>
    </w:p>
    <w:p w:rsidR="002E75AC" w:rsidRPr="00AE259B" w:rsidRDefault="002E75AC" w:rsidP="008A185A">
      <w:pPr>
        <w:rPr>
          <w:rFonts w:ascii="Arial" w:hAnsi="Arial" w:cs="Arial"/>
        </w:rPr>
      </w:pPr>
    </w:p>
    <w:p w:rsidR="008A185A" w:rsidRPr="00AE259B" w:rsidRDefault="008A185A" w:rsidP="00A17713">
      <w:pPr>
        <w:pStyle w:val="Heading20"/>
        <w:numPr>
          <w:ilvl w:val="0"/>
          <w:numId w:val="15"/>
        </w:numPr>
      </w:pPr>
      <w:bookmarkStart w:id="228" w:name="_Toc337537724"/>
      <w:r w:rsidRPr="00AE259B">
        <w:t>Contingent liabilities</w:t>
      </w:r>
      <w:bookmarkEnd w:id="228"/>
      <w:r w:rsidRPr="00AE259B">
        <w:t xml:space="preserve"> </w:t>
      </w:r>
    </w:p>
    <w:p w:rsidR="008A185A" w:rsidRPr="00AE259B" w:rsidRDefault="008A185A" w:rsidP="008A185A">
      <w:pPr>
        <w:rPr>
          <w:rFonts w:ascii="Arial" w:hAnsi="Arial" w:cs="Arial"/>
        </w:rPr>
      </w:pPr>
      <w:r w:rsidRPr="00AE259B">
        <w:rPr>
          <w:rFonts w:ascii="Arial" w:hAnsi="Arial" w:cs="Arial"/>
        </w:rPr>
        <w:t>Contingent liabilities arise from guarantees, indemnities and other forms of support provided by PTV and from legal disputes and other claims against PTV arising from a past event. Contingent liabilities by definition are similar to a liability with the distinguishing feature being the uncertainty over PTV’s obligation.</w:t>
      </w:r>
    </w:p>
    <w:p w:rsidR="002E75AC" w:rsidRDefault="002E75AC" w:rsidP="002E75AC">
      <w:pPr>
        <w:pStyle w:val="Heading30"/>
      </w:pPr>
    </w:p>
    <w:p w:rsidR="008A185A" w:rsidRPr="00AE259B" w:rsidRDefault="008A185A" w:rsidP="002E75AC">
      <w:pPr>
        <w:pStyle w:val="Heading30"/>
      </w:pPr>
      <w:r w:rsidRPr="00AE259B">
        <w:t>Unquantifiable contingent liabilities</w:t>
      </w:r>
    </w:p>
    <w:p w:rsidR="008A185A" w:rsidRPr="002E75AC" w:rsidRDefault="008A185A" w:rsidP="002E75AC">
      <w:pPr>
        <w:pStyle w:val="Heading40"/>
      </w:pPr>
      <w:r w:rsidRPr="002E75AC">
        <w:t>Public transport rail partnership agreements</w:t>
      </w:r>
    </w:p>
    <w:p w:rsidR="008A185A" w:rsidRPr="00AE259B" w:rsidRDefault="008A185A" w:rsidP="008A185A">
      <w:pPr>
        <w:rPr>
          <w:rFonts w:ascii="Arial" w:hAnsi="Arial" w:cs="Arial"/>
        </w:rPr>
      </w:pPr>
      <w:r w:rsidRPr="00AE259B">
        <w:rPr>
          <w:rFonts w:ascii="Arial" w:hAnsi="Arial" w:cs="Arial"/>
        </w:rPr>
        <w:t xml:space="preserve">PTV is party to partnership contractual arrangements with franchisees to operate metropolitan rail transport services in the State, operative from 30 November 2009 until 30 November 2017.  The following summarises the major contingent liabilities arising from the contractual arrangements in the event of early termination or expiry of the partnership contractual agreement, which are: </w:t>
      </w:r>
    </w:p>
    <w:p w:rsidR="002E75AC" w:rsidRDefault="002E75AC" w:rsidP="002E75AC">
      <w:pPr>
        <w:pStyle w:val="Heading40"/>
      </w:pPr>
    </w:p>
    <w:p w:rsidR="008A185A" w:rsidRPr="002E75AC" w:rsidRDefault="002E75AC" w:rsidP="002E75AC">
      <w:pPr>
        <w:pStyle w:val="Heading50"/>
        <w:rPr>
          <w:i w:val="0"/>
        </w:rPr>
      </w:pPr>
      <w:r w:rsidRPr="002E75AC">
        <w:rPr>
          <w:i w:val="0"/>
        </w:rPr>
        <w:t>&gt;</w:t>
      </w:r>
      <w:r w:rsidR="008A185A" w:rsidRPr="002E75AC">
        <w:rPr>
          <w:rStyle w:val="Heading5Char0"/>
          <w:i/>
        </w:rPr>
        <w:t>Partnership assets</w:t>
      </w:r>
    </w:p>
    <w:p w:rsidR="008A185A" w:rsidRPr="002E75AC" w:rsidRDefault="008A185A" w:rsidP="008A185A">
      <w:pPr>
        <w:pStyle w:val="Bullets"/>
        <w:numPr>
          <w:ilvl w:val="0"/>
          <w:numId w:val="0"/>
        </w:numPr>
        <w:rPr>
          <w:rFonts w:ascii="Arial" w:hAnsi="Arial" w:cs="Arial"/>
          <w:sz w:val="24"/>
          <w:szCs w:val="24"/>
        </w:rPr>
      </w:pPr>
      <w:r w:rsidRPr="002E75AC">
        <w:rPr>
          <w:rFonts w:ascii="Arial" w:hAnsi="Arial" w:cs="Arial"/>
          <w:sz w:val="24"/>
          <w:szCs w:val="24"/>
        </w:rPr>
        <w:t>To maintain continuity of services, at early termination or expiry of the franchise contract, assets will revert to PTV or a successor. In the case of some assets, a reversion back to PTV would entail those assets being purchased.</w:t>
      </w:r>
    </w:p>
    <w:p w:rsidR="008A185A" w:rsidRPr="00AE259B" w:rsidRDefault="002E75AC" w:rsidP="002E75AC">
      <w:pPr>
        <w:pStyle w:val="Heading50"/>
      </w:pPr>
      <w:r>
        <w:t>&gt;</w:t>
      </w:r>
      <w:r w:rsidR="008A185A" w:rsidRPr="00AE259B">
        <w:t>Unfunded Superannuation</w:t>
      </w:r>
    </w:p>
    <w:p w:rsidR="008A185A" w:rsidRPr="002E75AC" w:rsidRDefault="008A185A" w:rsidP="008A185A">
      <w:pPr>
        <w:pStyle w:val="Bullets"/>
        <w:numPr>
          <w:ilvl w:val="0"/>
          <w:numId w:val="0"/>
        </w:numPr>
        <w:rPr>
          <w:rFonts w:ascii="Arial" w:hAnsi="Arial" w:cs="Arial"/>
          <w:sz w:val="24"/>
          <w:szCs w:val="24"/>
        </w:rPr>
      </w:pPr>
      <w:r w:rsidRPr="002E75AC">
        <w:rPr>
          <w:rFonts w:ascii="Arial" w:hAnsi="Arial" w:cs="Arial"/>
          <w:sz w:val="24"/>
          <w:szCs w:val="24"/>
        </w:rPr>
        <w:t>At the early termination or expiry of the contract, PTV will assume any unfunded superannuation amounts (apart from contributions the operator is required to pay over the contract term) to the extent that the State becomes the successor operator.</w:t>
      </w:r>
    </w:p>
    <w:p w:rsidR="008A185A" w:rsidRPr="00AE259B" w:rsidRDefault="002E75AC" w:rsidP="002E75AC">
      <w:pPr>
        <w:pStyle w:val="Heading50"/>
      </w:pPr>
      <w:r>
        <w:t>&gt;</w:t>
      </w:r>
      <w:r w:rsidR="008A185A" w:rsidRPr="00AE259B">
        <w:t>Compulsory property acquisition to deliver transport projects</w:t>
      </w:r>
    </w:p>
    <w:p w:rsidR="008A185A" w:rsidRPr="00AE259B" w:rsidRDefault="008A185A" w:rsidP="008A185A">
      <w:pPr>
        <w:rPr>
          <w:rFonts w:ascii="Arial" w:hAnsi="Arial" w:cs="Arial"/>
        </w:rPr>
      </w:pPr>
      <w:r w:rsidRPr="00AE259B">
        <w:rPr>
          <w:rFonts w:ascii="Arial" w:hAnsi="Arial" w:cs="Arial"/>
        </w:rPr>
        <w:t xml:space="preserve">The State has compulsorily acquired a number of properties (residential and commercial) through the </w:t>
      </w:r>
      <w:r w:rsidRPr="00AE259B">
        <w:rPr>
          <w:rFonts w:ascii="Arial" w:hAnsi="Arial" w:cs="Arial"/>
          <w:i/>
          <w:iCs/>
        </w:rPr>
        <w:t>Land Acquisition and Compensation Act 1986</w:t>
      </w:r>
      <w:r w:rsidRPr="00AE259B">
        <w:rPr>
          <w:rFonts w:ascii="Arial" w:hAnsi="Arial" w:cs="Arial"/>
        </w:rPr>
        <w:t xml:space="preserve"> to facilitate delivery of various transport projects, including the Regional Rail Link Project. Possible future claims for compensation arising from the compulsory acquisition of these properties cannot be quantified at this stage.</w:t>
      </w:r>
    </w:p>
    <w:p w:rsidR="002E75AC" w:rsidRDefault="002E75AC" w:rsidP="002E75AC">
      <w:pPr>
        <w:pStyle w:val="Heading40"/>
      </w:pPr>
    </w:p>
    <w:p w:rsidR="008A185A" w:rsidRPr="00AE259B" w:rsidRDefault="008A185A" w:rsidP="002E75AC">
      <w:pPr>
        <w:pStyle w:val="Heading40"/>
      </w:pPr>
      <w:r w:rsidRPr="00AE259B">
        <w:t>Melbourne Metropolitan Bus Franchise</w:t>
      </w:r>
    </w:p>
    <w:p w:rsidR="008A185A" w:rsidRPr="00AE259B" w:rsidRDefault="008A185A" w:rsidP="008A185A">
      <w:pPr>
        <w:rPr>
          <w:rFonts w:ascii="Arial" w:hAnsi="Arial" w:cs="Arial"/>
        </w:rPr>
      </w:pPr>
      <w:r w:rsidRPr="00AE259B">
        <w:rPr>
          <w:rFonts w:ascii="Arial" w:hAnsi="Arial" w:cs="Arial"/>
        </w:rPr>
        <w:t>PTV is a party to a franchise agreement with Veolia Transdev Melbourne Pty Ltd to operate metropolitan bus services for seven years from 4 August 2013.  Commencement of the Melbourne Metropolitan Bus Franchise may entail bus assets of $110 million being acquired.</w:t>
      </w:r>
    </w:p>
    <w:p w:rsidR="002E75AC" w:rsidRDefault="002E75AC" w:rsidP="002E75AC">
      <w:pPr>
        <w:pStyle w:val="Heading30"/>
      </w:pPr>
    </w:p>
    <w:p w:rsidR="008A185A" w:rsidRPr="00AE259B" w:rsidRDefault="008A185A" w:rsidP="002E75AC">
      <w:pPr>
        <w:pStyle w:val="Heading30"/>
      </w:pPr>
      <w:r w:rsidRPr="00AE259B">
        <w:t>Quantifiable contingent liabilities</w:t>
      </w:r>
    </w:p>
    <w:p w:rsidR="008A185A" w:rsidRPr="00AE259B" w:rsidRDefault="008A185A" w:rsidP="008A185A">
      <w:pPr>
        <w:rPr>
          <w:rFonts w:ascii="Arial" w:hAnsi="Arial" w:cs="Arial"/>
        </w:rPr>
      </w:pPr>
      <w:r w:rsidRPr="00AE259B">
        <w:rPr>
          <w:rFonts w:ascii="Arial" w:hAnsi="Arial" w:cs="Arial"/>
        </w:rPr>
        <w:t>Details and estimates of other contingent liabilities are as follows:</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31"/>
        <w:gridCol w:w="984"/>
        <w:gridCol w:w="985"/>
      </w:tblGrid>
      <w:tr w:rsidR="008A185A" w:rsidRPr="00AE259B" w:rsidTr="008A185A">
        <w:tc>
          <w:tcPr>
            <w:tcW w:w="7031" w:type="dxa"/>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p>
        </w:tc>
        <w:tc>
          <w:tcPr>
            <w:tcW w:w="984"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 xml:space="preserve">2013 </w:t>
            </w:r>
            <w:r w:rsidRPr="00AE259B">
              <w:rPr>
                <w:rFonts w:ascii="Arial" w:hAnsi="Arial" w:cs="Arial"/>
              </w:rPr>
              <w:br/>
              <w:t>$’000</w:t>
            </w:r>
          </w:p>
        </w:tc>
        <w:tc>
          <w:tcPr>
            <w:tcW w:w="985" w:type="dxa"/>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Parent</w:t>
            </w:r>
            <w:r w:rsidRPr="00AE259B">
              <w:rPr>
                <w:rFonts w:ascii="Arial" w:hAnsi="Arial" w:cs="Arial"/>
              </w:rPr>
              <w:br/>
              <w:t>2012</w:t>
            </w:r>
            <w:r w:rsidRPr="00AE259B">
              <w:rPr>
                <w:rFonts w:ascii="Arial" w:hAnsi="Arial" w:cs="Arial"/>
              </w:rPr>
              <w:br/>
              <w:t>$’000</w:t>
            </w:r>
          </w:p>
        </w:tc>
      </w:tr>
      <w:tr w:rsidR="008A185A" w:rsidRPr="00AE259B" w:rsidTr="008A185A">
        <w:tc>
          <w:tcPr>
            <w:tcW w:w="7031"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Legal claim</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3,000</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w:t>
            </w:r>
          </w:p>
        </w:tc>
      </w:tr>
      <w:tr w:rsidR="008A185A" w:rsidRPr="00AE259B" w:rsidTr="008A185A">
        <w:tc>
          <w:tcPr>
            <w:tcW w:w="7031"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w:t>
            </w:r>
          </w:p>
        </w:tc>
        <w:tc>
          <w:tcPr>
            <w:tcW w:w="984"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3,000</w:t>
            </w:r>
          </w:p>
        </w:tc>
        <w:tc>
          <w:tcPr>
            <w:tcW w:w="985"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w:t>
            </w:r>
          </w:p>
        </w:tc>
      </w:tr>
    </w:tbl>
    <w:p w:rsidR="002E75AC" w:rsidRDefault="002E75AC" w:rsidP="008A185A">
      <w:pPr>
        <w:pStyle w:val="Tablecopy"/>
        <w:rPr>
          <w:rFonts w:ascii="Arial" w:hAnsi="Arial" w:cs="Arial"/>
          <w:b/>
        </w:rPr>
      </w:pPr>
    </w:p>
    <w:p w:rsidR="008A185A" w:rsidRPr="00AE259B" w:rsidRDefault="008A185A" w:rsidP="006B7F1A">
      <w:pPr>
        <w:pStyle w:val="Heading10"/>
        <w:outlineLvl w:val="0"/>
      </w:pPr>
      <w:bookmarkStart w:id="229" w:name="_Note_17._Superannuation"/>
      <w:bookmarkStart w:id="230" w:name="_Toc337471049"/>
      <w:bookmarkStart w:id="231" w:name="_Toc337537815"/>
      <w:bookmarkStart w:id="232" w:name="_Toc337539741"/>
      <w:bookmarkStart w:id="233" w:name="_Toc337707158"/>
      <w:bookmarkStart w:id="234" w:name="_Toc337711266"/>
      <w:bookmarkStart w:id="235" w:name="_Toc366672107"/>
      <w:bookmarkEnd w:id="229"/>
      <w:r w:rsidRPr="00AE259B">
        <w:t>Note 16. Superannuation</w:t>
      </w:r>
      <w:bookmarkEnd w:id="230"/>
      <w:bookmarkEnd w:id="231"/>
      <w:bookmarkEnd w:id="232"/>
      <w:bookmarkEnd w:id="233"/>
      <w:bookmarkEnd w:id="234"/>
      <w:bookmarkEnd w:id="235"/>
      <w:r w:rsidRPr="00AE259B">
        <w:t xml:space="preserve"> </w:t>
      </w:r>
    </w:p>
    <w:p w:rsidR="008A185A" w:rsidRPr="00AE259B" w:rsidRDefault="008A185A" w:rsidP="008A185A">
      <w:pPr>
        <w:rPr>
          <w:rFonts w:ascii="Arial" w:hAnsi="Arial" w:cs="Arial"/>
        </w:rPr>
      </w:pPr>
      <w:r w:rsidRPr="00AE259B">
        <w:rPr>
          <w:rFonts w:ascii="Arial" w:hAnsi="Arial" w:cs="Arial"/>
        </w:rPr>
        <w:t>Employees of PTV are entitled to receive superannuation benefits and PTV contributes to both defined benefit and defined contribution plans. The defined benefit plans provides benefits based on years of service and final average salary.</w:t>
      </w:r>
    </w:p>
    <w:p w:rsidR="002E75AC" w:rsidRDefault="002E75AC"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PTV does not recognise any defined benefit liability in respect of the plans because the entity has no legal or constructive obligation to pay future benefits relating to its employees; its only obligation is to pay superannuation contributions as they fall due.  DTF recognises and discloses the State’s defined benefit liabilities in its financial statements.</w:t>
      </w:r>
    </w:p>
    <w:p w:rsidR="002E75AC" w:rsidRDefault="002E75AC"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However, superannuation contributions paid or payable for the reporting period are included as part of employee benefits in the comprehensive operating statement of PTV.</w:t>
      </w:r>
    </w:p>
    <w:p w:rsidR="002E75AC" w:rsidRDefault="002E75AC"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The name and details of the major employee superannuation funds and contributions (including salary sacrifice contributions) made by PTV are as follows:</w:t>
      </w:r>
    </w:p>
    <w:p w:rsidR="008A185A" w:rsidRPr="00AE259B" w:rsidRDefault="008A185A" w:rsidP="008A185A">
      <w:pPr>
        <w:rPr>
          <w:rFonts w:ascii="Arial" w:hAnsi="Arial" w:cs="Arial"/>
        </w:rPr>
      </w:pP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53"/>
        <w:gridCol w:w="1139"/>
        <w:gridCol w:w="1139"/>
        <w:gridCol w:w="1139"/>
        <w:gridCol w:w="1140"/>
      </w:tblGrid>
      <w:tr w:rsidR="008A185A" w:rsidRPr="00AE259B" w:rsidTr="008A185A">
        <w:tc>
          <w:tcPr>
            <w:tcW w:w="4453" w:type="dxa"/>
            <w:shd w:val="clear" w:color="auto" w:fill="auto"/>
            <w:tcMar>
              <w:top w:w="0" w:type="dxa"/>
              <w:left w:w="113" w:type="dxa"/>
              <w:bottom w:w="0" w:type="dxa"/>
              <w:right w:w="113" w:type="dxa"/>
            </w:tcMar>
            <w:vAlign w:val="center"/>
          </w:tcPr>
          <w:p w:rsidR="008A185A" w:rsidRPr="00AE259B" w:rsidRDefault="008A185A" w:rsidP="008A185A">
            <w:pPr>
              <w:pStyle w:val="TableHeading"/>
              <w:rPr>
                <w:rFonts w:ascii="Arial" w:hAnsi="Arial" w:cs="Arial"/>
              </w:rPr>
            </w:pPr>
          </w:p>
        </w:tc>
        <w:tc>
          <w:tcPr>
            <w:tcW w:w="2278" w:type="dxa"/>
            <w:gridSpan w:val="2"/>
            <w:shd w:val="clear" w:color="auto" w:fill="auto"/>
            <w:tcMar>
              <w:top w:w="0" w:type="dxa"/>
              <w:left w:w="113" w:type="dxa"/>
              <w:bottom w:w="0" w:type="dxa"/>
              <w:right w:w="113" w:type="dxa"/>
            </w:tcMar>
            <w:vAlign w:val="center"/>
          </w:tcPr>
          <w:p w:rsidR="008A185A" w:rsidRPr="00AE259B" w:rsidRDefault="008A185A" w:rsidP="008A185A">
            <w:pPr>
              <w:pStyle w:val="TableHeading"/>
              <w:rPr>
                <w:rFonts w:ascii="Arial" w:hAnsi="Arial" w:cs="Arial"/>
              </w:rPr>
            </w:pPr>
            <w:r w:rsidRPr="00AE259B">
              <w:rPr>
                <w:rFonts w:ascii="Arial" w:hAnsi="Arial" w:cs="Arial"/>
              </w:rPr>
              <w:t xml:space="preserve">Paid contribution </w:t>
            </w:r>
            <w:r w:rsidRPr="00AE259B">
              <w:rPr>
                <w:rFonts w:ascii="Arial" w:hAnsi="Arial" w:cs="Arial"/>
              </w:rPr>
              <w:br/>
              <w:t>for the year</w:t>
            </w:r>
          </w:p>
        </w:tc>
        <w:tc>
          <w:tcPr>
            <w:tcW w:w="2279" w:type="dxa"/>
            <w:gridSpan w:val="2"/>
            <w:shd w:val="clear" w:color="auto" w:fill="auto"/>
            <w:tcMar>
              <w:top w:w="0" w:type="dxa"/>
              <w:left w:w="113" w:type="dxa"/>
              <w:bottom w:w="0" w:type="dxa"/>
              <w:right w:w="113" w:type="dxa"/>
            </w:tcMar>
            <w:vAlign w:val="center"/>
          </w:tcPr>
          <w:p w:rsidR="008A185A" w:rsidRPr="00AE259B" w:rsidRDefault="008A185A" w:rsidP="008A185A">
            <w:pPr>
              <w:pStyle w:val="TableHeading"/>
              <w:rPr>
                <w:rFonts w:ascii="Arial" w:hAnsi="Arial" w:cs="Arial"/>
              </w:rPr>
            </w:pPr>
            <w:r w:rsidRPr="00AE259B">
              <w:rPr>
                <w:rFonts w:ascii="Arial" w:hAnsi="Arial" w:cs="Arial"/>
              </w:rPr>
              <w:t xml:space="preserve">Contributions </w:t>
            </w:r>
            <w:r w:rsidRPr="00AE259B">
              <w:rPr>
                <w:rFonts w:ascii="Arial" w:hAnsi="Arial" w:cs="Arial"/>
              </w:rPr>
              <w:br/>
              <w:t>outstanding at year end</w:t>
            </w:r>
          </w:p>
        </w:tc>
      </w:tr>
      <w:tr w:rsidR="008A185A" w:rsidRPr="00AE259B" w:rsidTr="008A185A">
        <w:tc>
          <w:tcPr>
            <w:tcW w:w="4453" w:type="dxa"/>
            <w:shd w:val="clear" w:color="auto" w:fill="auto"/>
            <w:tcMar>
              <w:top w:w="57" w:type="dxa"/>
              <w:left w:w="113" w:type="dxa"/>
              <w:bottom w:w="85" w:type="dxa"/>
              <w:right w:w="113" w:type="dxa"/>
            </w:tcMar>
            <w:vAlign w:val="bottom"/>
          </w:tcPr>
          <w:p w:rsidR="008A185A" w:rsidRPr="00AE259B" w:rsidRDefault="008A185A" w:rsidP="008A185A">
            <w:pPr>
              <w:pStyle w:val="TableHeading"/>
              <w:jc w:val="left"/>
              <w:rPr>
                <w:rFonts w:ascii="Arial" w:hAnsi="Arial" w:cs="Arial"/>
              </w:rPr>
            </w:pPr>
            <w:r w:rsidRPr="00AE259B">
              <w:rPr>
                <w:rFonts w:ascii="Arial" w:hAnsi="Arial" w:cs="Arial"/>
              </w:rPr>
              <w:t>Fund</w:t>
            </w:r>
          </w:p>
        </w:tc>
        <w:tc>
          <w:tcPr>
            <w:tcW w:w="1139" w:type="dxa"/>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2013</w:t>
            </w:r>
            <w:r w:rsidRPr="00AE259B">
              <w:rPr>
                <w:rFonts w:ascii="Arial" w:hAnsi="Arial" w:cs="Arial"/>
              </w:rPr>
              <w:br/>
              <w:t>$’000</w:t>
            </w:r>
          </w:p>
        </w:tc>
        <w:tc>
          <w:tcPr>
            <w:tcW w:w="1139" w:type="dxa"/>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15.12.2011</w:t>
            </w:r>
            <w:r w:rsidRPr="00AE259B">
              <w:rPr>
                <w:rFonts w:ascii="Arial" w:hAnsi="Arial" w:cs="Arial"/>
              </w:rPr>
              <w:br/>
              <w:t>to 30.6.2012</w:t>
            </w:r>
            <w:r w:rsidRPr="00AE259B">
              <w:rPr>
                <w:rFonts w:ascii="Arial" w:hAnsi="Arial" w:cs="Arial"/>
              </w:rPr>
              <w:br/>
              <w:t>$’000</w:t>
            </w:r>
          </w:p>
        </w:tc>
        <w:tc>
          <w:tcPr>
            <w:tcW w:w="1139" w:type="dxa"/>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2013</w:t>
            </w:r>
            <w:r w:rsidRPr="00AE259B">
              <w:rPr>
                <w:rFonts w:ascii="Arial" w:hAnsi="Arial" w:cs="Arial"/>
              </w:rPr>
              <w:br/>
              <w:t>$’000</w:t>
            </w:r>
          </w:p>
        </w:tc>
        <w:tc>
          <w:tcPr>
            <w:tcW w:w="1140" w:type="dxa"/>
            <w:shd w:val="clear" w:color="auto" w:fill="auto"/>
            <w:tcMar>
              <w:top w:w="57" w:type="dxa"/>
              <w:left w:w="113" w:type="dxa"/>
              <w:bottom w:w="85" w:type="dxa"/>
              <w:right w:w="113" w:type="dxa"/>
            </w:tcMar>
            <w:vAlign w:val="bottom"/>
          </w:tcPr>
          <w:p w:rsidR="008A185A" w:rsidRPr="00AE259B" w:rsidRDefault="008A185A" w:rsidP="008A185A">
            <w:pPr>
              <w:pStyle w:val="TableHeading"/>
              <w:rPr>
                <w:rFonts w:ascii="Arial" w:hAnsi="Arial" w:cs="Arial"/>
              </w:rPr>
            </w:pPr>
            <w:r w:rsidRPr="00AE259B">
              <w:rPr>
                <w:rFonts w:ascii="Arial" w:hAnsi="Arial" w:cs="Arial"/>
              </w:rPr>
              <w:t>15.12.2011</w:t>
            </w:r>
            <w:r w:rsidRPr="00AE259B">
              <w:rPr>
                <w:rFonts w:ascii="Arial" w:hAnsi="Arial" w:cs="Arial"/>
              </w:rPr>
              <w:br/>
              <w:t>to 30.6.2012</w:t>
            </w:r>
            <w:r w:rsidRPr="00AE259B">
              <w:rPr>
                <w:rFonts w:ascii="Arial" w:hAnsi="Arial" w:cs="Arial"/>
              </w:rPr>
              <w:br/>
              <w:t>$’000</w:t>
            </w:r>
          </w:p>
        </w:tc>
      </w:tr>
      <w:tr w:rsidR="008A185A" w:rsidRPr="00AE259B" w:rsidTr="008A185A">
        <w:tc>
          <w:tcPr>
            <w:tcW w:w="4453" w:type="dxa"/>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 xml:space="preserve">Defined benefit plans </w:t>
            </w:r>
            <w:r w:rsidRPr="00AE259B">
              <w:rPr>
                <w:rFonts w:ascii="Arial" w:hAnsi="Arial" w:cs="Arial"/>
                <w:b/>
                <w:sz w:val="17"/>
                <w:vertAlign w:val="superscript"/>
              </w:rPr>
              <w:t>(i)</w:t>
            </w:r>
            <w:r w:rsidRPr="00AE259B">
              <w:rPr>
                <w:rFonts w:ascii="Arial" w:hAnsi="Arial" w:cs="Arial"/>
                <w:b/>
              </w:rPr>
              <w:t xml:space="preserve"> </w:t>
            </w:r>
          </w:p>
        </w:tc>
        <w:tc>
          <w:tcPr>
            <w:tcW w:w="1139" w:type="dxa"/>
            <w:shd w:val="pct10"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rPr>
            </w:pPr>
          </w:p>
        </w:tc>
        <w:tc>
          <w:tcPr>
            <w:tcW w:w="1139" w:type="dxa"/>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rPr>
            </w:pPr>
          </w:p>
        </w:tc>
        <w:tc>
          <w:tcPr>
            <w:tcW w:w="1139" w:type="dxa"/>
            <w:shd w:val="pct10"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rPr>
            </w:pPr>
          </w:p>
        </w:tc>
        <w:tc>
          <w:tcPr>
            <w:tcW w:w="1140" w:type="dxa"/>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rPr>
            </w:pPr>
          </w:p>
        </w:tc>
      </w:tr>
      <w:tr w:rsidR="008A185A" w:rsidRPr="00AE259B" w:rsidTr="008A185A">
        <w:tc>
          <w:tcPr>
            <w:tcW w:w="4453"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State Superannuation Fund – revised and new</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379 </w:t>
            </w:r>
          </w:p>
        </w:tc>
        <w:tc>
          <w:tcPr>
            <w:tcW w:w="1139"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138 </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1140"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453"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Transport Superannuation Fund</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203 </w:t>
            </w:r>
          </w:p>
        </w:tc>
        <w:tc>
          <w:tcPr>
            <w:tcW w:w="1139"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52 </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1140"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453"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defined benefit plans</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582 </w:t>
            </w:r>
          </w:p>
        </w:tc>
        <w:tc>
          <w:tcPr>
            <w:tcW w:w="1139"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189 </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1140"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453" w:type="dxa"/>
            <w:shd w:val="clear" w:color="auto" w:fill="auto"/>
            <w:tcMar>
              <w:top w:w="0" w:type="dxa"/>
              <w:left w:w="113" w:type="dxa"/>
              <w:bottom w:w="85" w:type="dxa"/>
              <w:right w:w="113" w:type="dxa"/>
            </w:tcMar>
            <w:vAlign w:val="bottom"/>
          </w:tcPr>
          <w:p w:rsidR="008A185A" w:rsidRPr="00AE259B" w:rsidRDefault="008A185A" w:rsidP="008A185A">
            <w:pPr>
              <w:pStyle w:val="Tablecopy"/>
              <w:rPr>
                <w:rFonts w:ascii="Arial" w:hAnsi="Arial" w:cs="Arial"/>
                <w:b/>
              </w:rPr>
            </w:pPr>
            <w:r w:rsidRPr="00AE259B">
              <w:rPr>
                <w:rFonts w:ascii="Arial" w:hAnsi="Arial" w:cs="Arial"/>
                <w:b/>
              </w:rPr>
              <w:t>Defined contribution plans</w:t>
            </w:r>
          </w:p>
        </w:tc>
        <w:tc>
          <w:tcPr>
            <w:tcW w:w="1139" w:type="dxa"/>
            <w:shd w:val="pct10"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b/>
              </w:rPr>
            </w:pPr>
          </w:p>
        </w:tc>
        <w:tc>
          <w:tcPr>
            <w:tcW w:w="1139" w:type="dxa"/>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b/>
              </w:rPr>
            </w:pPr>
          </w:p>
        </w:tc>
        <w:tc>
          <w:tcPr>
            <w:tcW w:w="1139" w:type="dxa"/>
            <w:shd w:val="pct10"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b/>
              </w:rPr>
            </w:pPr>
          </w:p>
        </w:tc>
        <w:tc>
          <w:tcPr>
            <w:tcW w:w="1140" w:type="dxa"/>
            <w:shd w:val="clear" w:color="auto" w:fill="auto"/>
            <w:tcMar>
              <w:top w:w="0" w:type="dxa"/>
              <w:left w:w="113" w:type="dxa"/>
              <w:bottom w:w="85" w:type="dxa"/>
              <w:right w:w="113" w:type="dxa"/>
            </w:tcMar>
            <w:vAlign w:val="bottom"/>
          </w:tcPr>
          <w:p w:rsidR="008A185A" w:rsidRPr="00AE259B" w:rsidRDefault="008A185A" w:rsidP="008A185A">
            <w:pPr>
              <w:pStyle w:val="Tablecopy"/>
              <w:jc w:val="right"/>
              <w:rPr>
                <w:rFonts w:ascii="Arial" w:hAnsi="Arial" w:cs="Arial"/>
                <w:b/>
              </w:rPr>
            </w:pPr>
          </w:p>
        </w:tc>
      </w:tr>
      <w:tr w:rsidR="008A185A" w:rsidRPr="00AE259B" w:rsidTr="008A185A">
        <w:tc>
          <w:tcPr>
            <w:tcW w:w="4453"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VicSuper</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2,751 </w:t>
            </w:r>
          </w:p>
        </w:tc>
        <w:tc>
          <w:tcPr>
            <w:tcW w:w="1139"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855 </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1140"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453"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Various others</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2,001 </w:t>
            </w:r>
          </w:p>
        </w:tc>
        <w:tc>
          <w:tcPr>
            <w:tcW w:w="1139"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547 </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1140"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453"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defined contribution plans</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4,752 </w:t>
            </w:r>
          </w:p>
        </w:tc>
        <w:tc>
          <w:tcPr>
            <w:tcW w:w="1139"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1,402 </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1140"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4453"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Total superannuation plans</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5,334 </w:t>
            </w:r>
          </w:p>
        </w:tc>
        <w:tc>
          <w:tcPr>
            <w:tcW w:w="1139"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1,591 </w:t>
            </w:r>
          </w:p>
        </w:tc>
        <w:tc>
          <w:tcPr>
            <w:tcW w:w="1139" w:type="dxa"/>
            <w:shd w:val="pct10"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c>
          <w:tcPr>
            <w:tcW w:w="1140"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 </w:t>
            </w:r>
          </w:p>
        </w:tc>
      </w:tr>
      <w:tr w:rsidR="008A185A" w:rsidRPr="00AE259B" w:rsidTr="008A185A">
        <w:tc>
          <w:tcPr>
            <w:tcW w:w="9010" w:type="dxa"/>
            <w:gridSpan w:val="5"/>
            <w:shd w:val="clear" w:color="auto" w:fill="auto"/>
            <w:tcMar>
              <w:top w:w="113" w:type="dxa"/>
              <w:left w:w="113" w:type="dxa"/>
              <w:bottom w:w="113"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 xml:space="preserve">(i) </w:t>
            </w:r>
            <w:r w:rsidRPr="00AE259B">
              <w:rPr>
                <w:rFonts w:ascii="Arial" w:hAnsi="Arial" w:cs="Arial"/>
              </w:rPr>
              <w:tab/>
              <w:t xml:space="preserve">The basis for determining the level of contributions is determined by the various actuaries of the defined benefit superannuation plans. </w:t>
            </w:r>
          </w:p>
        </w:tc>
      </w:tr>
    </w:tbl>
    <w:p w:rsidR="002E75AC" w:rsidRDefault="002E75AC" w:rsidP="008A185A">
      <w:pPr>
        <w:rPr>
          <w:rFonts w:ascii="Arial" w:hAnsi="Arial" w:cs="Arial"/>
        </w:rPr>
      </w:pPr>
    </w:p>
    <w:p w:rsidR="002E75AC" w:rsidRDefault="002E75AC">
      <w:pPr>
        <w:rPr>
          <w:rFonts w:ascii="Arial" w:hAnsi="Arial" w:cs="Arial"/>
        </w:rPr>
      </w:pPr>
      <w:r>
        <w:rPr>
          <w:rFonts w:ascii="Arial" w:hAnsi="Arial" w:cs="Arial"/>
        </w:rPr>
        <w:br w:type="page"/>
      </w:r>
    </w:p>
    <w:p w:rsidR="008A185A" w:rsidRPr="00AE259B" w:rsidRDefault="008A185A" w:rsidP="006B7F1A">
      <w:pPr>
        <w:pStyle w:val="Heading10"/>
        <w:outlineLvl w:val="0"/>
      </w:pPr>
      <w:bookmarkStart w:id="236" w:name="_Note_18._Cash"/>
      <w:bookmarkStart w:id="237" w:name="_Toc337471050"/>
      <w:bookmarkStart w:id="238" w:name="_Toc337537816"/>
      <w:bookmarkStart w:id="239" w:name="_Toc337539742"/>
      <w:bookmarkStart w:id="240" w:name="_Toc337707159"/>
      <w:bookmarkStart w:id="241" w:name="_Toc337711267"/>
      <w:bookmarkStart w:id="242" w:name="_Toc366672108"/>
      <w:bookmarkEnd w:id="236"/>
      <w:r w:rsidRPr="00AE259B">
        <w:t>Note 17. Cash flow information</w:t>
      </w:r>
      <w:bookmarkEnd w:id="237"/>
      <w:bookmarkEnd w:id="238"/>
      <w:bookmarkEnd w:id="239"/>
      <w:bookmarkEnd w:id="240"/>
      <w:bookmarkEnd w:id="241"/>
      <w:bookmarkEnd w:id="242"/>
      <w:r w:rsidRPr="00AE259B">
        <w:t xml:space="preserve"> </w:t>
      </w:r>
    </w:p>
    <w:p w:rsidR="008A185A" w:rsidRPr="00AE259B" w:rsidRDefault="008A185A" w:rsidP="00A17713">
      <w:pPr>
        <w:pStyle w:val="Heading20"/>
        <w:numPr>
          <w:ilvl w:val="0"/>
          <w:numId w:val="16"/>
        </w:numPr>
      </w:pPr>
      <w:bookmarkStart w:id="243" w:name="_Toc337537725"/>
      <w:r w:rsidRPr="00AE259B">
        <w:t>Reconciliation of cash and cash equivalents</w:t>
      </w:r>
      <w:bookmarkEnd w:id="243"/>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77"/>
        <w:gridCol w:w="1077"/>
        <w:gridCol w:w="1192"/>
        <w:gridCol w:w="1249"/>
      </w:tblGrid>
      <w:tr w:rsidR="008A185A" w:rsidRPr="00AE259B" w:rsidTr="008A185A">
        <w:tc>
          <w:tcPr>
            <w:tcW w:w="4677"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1077" w:type="dxa"/>
            <w:tcBorders>
              <w:bottom w:val="single" w:sz="6" w:space="0" w:color="auto"/>
            </w:tcBorders>
            <w:vAlign w:val="bottom"/>
          </w:tcPr>
          <w:p w:rsidR="008A185A" w:rsidRPr="00AE259B" w:rsidRDefault="008A185A" w:rsidP="008A185A">
            <w:pPr>
              <w:pStyle w:val="TableHeading"/>
              <w:spacing w:before="0" w:after="0" w:line="240" w:lineRule="auto"/>
              <w:ind w:right="84"/>
              <w:rPr>
                <w:rFonts w:ascii="Arial" w:hAnsi="Arial" w:cs="Arial"/>
              </w:rPr>
            </w:pPr>
            <w:r w:rsidRPr="00AE259B">
              <w:rPr>
                <w:rFonts w:ascii="Arial" w:hAnsi="Arial" w:cs="Arial"/>
              </w:rPr>
              <w:t>2013</w:t>
            </w:r>
            <w:r w:rsidRPr="00AE259B">
              <w:rPr>
                <w:rFonts w:ascii="Arial" w:hAnsi="Arial" w:cs="Arial"/>
              </w:rPr>
              <w:br/>
              <w:t>$’000</w:t>
            </w:r>
          </w:p>
        </w:tc>
        <w:tc>
          <w:tcPr>
            <w:tcW w:w="1192" w:type="dxa"/>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15.12.2011</w:t>
            </w:r>
            <w:r w:rsidRPr="00AE259B">
              <w:rPr>
                <w:rFonts w:ascii="Arial" w:hAnsi="Arial" w:cs="Arial"/>
              </w:rPr>
              <w:br/>
              <w:t>to 30.6.2012</w:t>
            </w:r>
            <w:r w:rsidRPr="00AE259B">
              <w:rPr>
                <w:rFonts w:ascii="Arial" w:hAnsi="Arial" w:cs="Arial"/>
              </w:rPr>
              <w:br/>
              <w:t xml:space="preserve">$’000 </w:t>
            </w:r>
          </w:p>
        </w:tc>
        <w:tc>
          <w:tcPr>
            <w:tcW w:w="1249"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15.12.2011</w:t>
            </w:r>
            <w:r w:rsidRPr="00AE259B">
              <w:rPr>
                <w:rFonts w:ascii="Arial" w:hAnsi="Arial" w:cs="Arial"/>
              </w:rPr>
              <w:br/>
              <w:t>to 30.6.2012</w:t>
            </w:r>
            <w:r w:rsidRPr="00AE259B">
              <w:rPr>
                <w:rFonts w:ascii="Arial" w:hAnsi="Arial" w:cs="Arial"/>
              </w:rPr>
              <w:br/>
              <w:t>$’000</w:t>
            </w:r>
          </w:p>
        </w:tc>
      </w:tr>
      <w:tr w:rsidR="008A185A" w:rsidRPr="00AE259B" w:rsidTr="008A185A">
        <w:tc>
          <w:tcPr>
            <w:tcW w:w="4677" w:type="dxa"/>
            <w:shd w:val="clear" w:color="auto" w:fill="auto"/>
            <w:tcMar>
              <w:top w:w="0" w:type="dxa"/>
              <w:left w:w="113" w:type="dxa"/>
              <w:bottom w:w="113" w:type="dxa"/>
              <w:right w:w="113" w:type="dxa"/>
            </w:tcMar>
            <w:vAlign w:val="bottom"/>
          </w:tcPr>
          <w:p w:rsidR="008A185A" w:rsidRPr="00AE259B" w:rsidRDefault="008A185A" w:rsidP="008A185A">
            <w:pPr>
              <w:pStyle w:val="Tablecopy"/>
              <w:rPr>
                <w:rFonts w:ascii="Arial" w:hAnsi="Arial" w:cs="Arial"/>
              </w:rPr>
            </w:pPr>
            <w:r w:rsidRPr="00AE259B">
              <w:rPr>
                <w:rFonts w:ascii="Arial" w:hAnsi="Arial" w:cs="Arial"/>
              </w:rPr>
              <w:t>Cash and bank deposits</w:t>
            </w:r>
          </w:p>
        </w:tc>
        <w:tc>
          <w:tcPr>
            <w:tcW w:w="1077" w:type="dxa"/>
            <w:shd w:val="pct10" w:color="auto" w:fill="auto"/>
            <w:vAlign w:val="bottom"/>
          </w:tcPr>
          <w:p w:rsidR="008A185A" w:rsidRPr="00AE259B" w:rsidRDefault="008A185A" w:rsidP="008A185A">
            <w:pPr>
              <w:pStyle w:val="Tablecopy"/>
              <w:ind w:right="84"/>
              <w:jc w:val="right"/>
              <w:rPr>
                <w:rFonts w:ascii="Arial" w:hAnsi="Arial" w:cs="Arial"/>
              </w:rPr>
            </w:pPr>
            <w:r w:rsidRPr="00AE259B">
              <w:rPr>
                <w:rFonts w:ascii="Arial" w:hAnsi="Arial" w:cs="Arial"/>
              </w:rPr>
              <w:t>15,770</w:t>
            </w:r>
          </w:p>
        </w:tc>
        <w:tc>
          <w:tcPr>
            <w:tcW w:w="1192" w:type="dxa"/>
            <w:shd w:val="clear" w:color="auto" w:fill="auto"/>
            <w:tcMar>
              <w:top w:w="0" w:type="dxa"/>
              <w:left w:w="113" w:type="dxa"/>
              <w:bottom w:w="113" w:type="dxa"/>
              <w:right w:w="113" w:type="dxa"/>
            </w:tcMar>
            <w:vAlign w:val="bottom"/>
          </w:tcPr>
          <w:p w:rsidR="008A185A" w:rsidRPr="00AE259B" w:rsidRDefault="008A185A" w:rsidP="008A185A">
            <w:pPr>
              <w:pStyle w:val="Tablecopy"/>
              <w:jc w:val="right"/>
              <w:rPr>
                <w:rFonts w:ascii="Arial" w:hAnsi="Arial" w:cs="Arial"/>
              </w:rPr>
            </w:pPr>
            <w:r w:rsidRPr="00AE259B">
              <w:rPr>
                <w:rFonts w:ascii="Arial" w:hAnsi="Arial" w:cs="Arial"/>
              </w:rPr>
              <w:t xml:space="preserve"> 26,299 </w:t>
            </w:r>
          </w:p>
        </w:tc>
        <w:tc>
          <w:tcPr>
            <w:tcW w:w="1249" w:type="dxa"/>
            <w:shd w:val="clear" w:color="auto" w:fill="auto"/>
            <w:tcMar>
              <w:top w:w="0" w:type="dxa"/>
              <w:left w:w="113" w:type="dxa"/>
              <w:bottom w:w="113" w:type="dxa"/>
              <w:right w:w="113" w:type="dxa"/>
            </w:tcMar>
            <w:vAlign w:val="bottom"/>
          </w:tcPr>
          <w:p w:rsidR="008A185A" w:rsidRPr="00AE259B" w:rsidRDefault="008A185A" w:rsidP="008A185A">
            <w:pPr>
              <w:pStyle w:val="Tablecopy"/>
              <w:jc w:val="right"/>
              <w:rPr>
                <w:rFonts w:ascii="Arial" w:hAnsi="Arial" w:cs="Arial"/>
              </w:rPr>
            </w:pPr>
            <w:r w:rsidRPr="00AE259B">
              <w:rPr>
                <w:rFonts w:ascii="Arial" w:hAnsi="Arial" w:cs="Arial"/>
              </w:rPr>
              <w:t xml:space="preserve"> 26,299 </w:t>
            </w:r>
          </w:p>
        </w:tc>
      </w:tr>
      <w:tr w:rsidR="008A185A" w:rsidRPr="00AE259B" w:rsidTr="008A185A">
        <w:tc>
          <w:tcPr>
            <w:tcW w:w="4677"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rPr>
            </w:pPr>
            <w:r w:rsidRPr="00AE259B">
              <w:rPr>
                <w:rFonts w:ascii="Arial" w:hAnsi="Arial" w:cs="Arial"/>
              </w:rPr>
              <w:t>Deposits with Treasury Corporation of Victoria</w:t>
            </w:r>
          </w:p>
        </w:tc>
        <w:tc>
          <w:tcPr>
            <w:tcW w:w="1077" w:type="dxa"/>
            <w:shd w:val="pct10" w:color="auto" w:fill="auto"/>
          </w:tcPr>
          <w:p w:rsidR="008A185A" w:rsidRPr="00AE259B" w:rsidRDefault="008A185A" w:rsidP="008A185A">
            <w:pPr>
              <w:pStyle w:val="Tablecopy"/>
              <w:ind w:right="84"/>
              <w:jc w:val="right"/>
              <w:rPr>
                <w:rFonts w:ascii="Arial" w:hAnsi="Arial" w:cs="Arial"/>
              </w:rPr>
            </w:pPr>
            <w:r w:rsidRPr="00AE259B">
              <w:rPr>
                <w:rFonts w:ascii="Arial" w:hAnsi="Arial" w:cs="Arial"/>
              </w:rPr>
              <w:t>30,057</w:t>
            </w:r>
          </w:p>
        </w:tc>
        <w:tc>
          <w:tcPr>
            <w:tcW w:w="1192"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30,000 </w:t>
            </w:r>
          </w:p>
        </w:tc>
        <w:tc>
          <w:tcPr>
            <w:tcW w:w="1249"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rPr>
            </w:pPr>
            <w:r w:rsidRPr="00AE259B">
              <w:rPr>
                <w:rFonts w:ascii="Arial" w:hAnsi="Arial" w:cs="Arial"/>
              </w:rPr>
              <w:t xml:space="preserve"> 30,000 </w:t>
            </w:r>
          </w:p>
        </w:tc>
      </w:tr>
      <w:tr w:rsidR="008A185A" w:rsidRPr="00AE259B" w:rsidTr="008A185A">
        <w:tc>
          <w:tcPr>
            <w:tcW w:w="4677" w:type="dxa"/>
            <w:shd w:val="clear" w:color="auto" w:fill="auto"/>
            <w:tcMar>
              <w:top w:w="0" w:type="dxa"/>
              <w:left w:w="113" w:type="dxa"/>
              <w:bottom w:w="0" w:type="dxa"/>
              <w:right w:w="113" w:type="dxa"/>
            </w:tcMar>
            <w:vAlign w:val="center"/>
          </w:tcPr>
          <w:p w:rsidR="008A185A" w:rsidRPr="00AE259B" w:rsidRDefault="008A185A" w:rsidP="008A185A">
            <w:pPr>
              <w:pStyle w:val="Tablecopy"/>
              <w:rPr>
                <w:rFonts w:ascii="Arial" w:hAnsi="Arial" w:cs="Arial"/>
                <w:b/>
              </w:rPr>
            </w:pPr>
            <w:r w:rsidRPr="00AE259B">
              <w:rPr>
                <w:rFonts w:ascii="Arial" w:hAnsi="Arial" w:cs="Arial"/>
                <w:b/>
              </w:rPr>
              <w:t>Balance as per cash flow statement</w:t>
            </w:r>
          </w:p>
        </w:tc>
        <w:tc>
          <w:tcPr>
            <w:tcW w:w="1077" w:type="dxa"/>
            <w:shd w:val="pct10" w:color="auto" w:fill="auto"/>
          </w:tcPr>
          <w:p w:rsidR="008A185A" w:rsidRPr="00AE259B" w:rsidRDefault="008A185A" w:rsidP="008A185A">
            <w:pPr>
              <w:pStyle w:val="Tablecopy"/>
              <w:ind w:right="84"/>
              <w:jc w:val="right"/>
              <w:rPr>
                <w:rFonts w:ascii="Arial" w:hAnsi="Arial" w:cs="Arial"/>
                <w:b/>
              </w:rPr>
            </w:pPr>
            <w:r w:rsidRPr="00AE259B">
              <w:rPr>
                <w:rFonts w:ascii="Arial" w:hAnsi="Arial" w:cs="Arial"/>
                <w:b/>
              </w:rPr>
              <w:t>45,827</w:t>
            </w:r>
          </w:p>
        </w:tc>
        <w:tc>
          <w:tcPr>
            <w:tcW w:w="1192"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56,299 </w:t>
            </w:r>
          </w:p>
        </w:tc>
        <w:tc>
          <w:tcPr>
            <w:tcW w:w="1249" w:type="dxa"/>
            <w:shd w:val="clear" w:color="auto" w:fill="auto"/>
            <w:tcMar>
              <w:top w:w="0" w:type="dxa"/>
              <w:left w:w="113" w:type="dxa"/>
              <w:bottom w:w="0" w:type="dxa"/>
              <w:right w:w="113" w:type="dxa"/>
            </w:tcMar>
            <w:vAlign w:val="center"/>
          </w:tcPr>
          <w:p w:rsidR="008A185A" w:rsidRPr="00AE259B" w:rsidRDefault="008A185A" w:rsidP="008A185A">
            <w:pPr>
              <w:pStyle w:val="Tablecopy"/>
              <w:jc w:val="right"/>
              <w:rPr>
                <w:rFonts w:ascii="Arial" w:hAnsi="Arial" w:cs="Arial"/>
                <w:b/>
              </w:rPr>
            </w:pPr>
            <w:r w:rsidRPr="00AE259B">
              <w:rPr>
                <w:rFonts w:ascii="Arial" w:hAnsi="Arial" w:cs="Arial"/>
                <w:b/>
              </w:rPr>
              <w:t xml:space="preserve"> 56,299 </w:t>
            </w:r>
          </w:p>
        </w:tc>
      </w:tr>
      <w:tr w:rsidR="008A185A" w:rsidRPr="00AE259B" w:rsidTr="008A185A">
        <w:tc>
          <w:tcPr>
            <w:tcW w:w="8195" w:type="dxa"/>
            <w:gridSpan w:val="4"/>
          </w:tcPr>
          <w:p w:rsidR="008A185A" w:rsidRPr="00AE259B" w:rsidRDefault="008A185A" w:rsidP="008A185A">
            <w:pPr>
              <w:pStyle w:val="Tablecopy"/>
              <w:ind w:left="142"/>
              <w:rPr>
                <w:rFonts w:ascii="Arial" w:hAnsi="Arial" w:cs="Arial"/>
              </w:rPr>
            </w:pPr>
          </w:p>
        </w:tc>
      </w:tr>
    </w:tbl>
    <w:p w:rsidR="002E75AC" w:rsidRDefault="002E75AC" w:rsidP="002E75AC">
      <w:pPr>
        <w:pStyle w:val="Heading20"/>
      </w:pPr>
      <w:bookmarkStart w:id="244" w:name="_Toc337537726"/>
    </w:p>
    <w:p w:rsidR="008A185A" w:rsidRPr="00AE259B" w:rsidRDefault="008A185A" w:rsidP="00A17713">
      <w:pPr>
        <w:pStyle w:val="Heading20"/>
        <w:numPr>
          <w:ilvl w:val="0"/>
          <w:numId w:val="16"/>
        </w:numPr>
      </w:pPr>
      <w:r w:rsidRPr="00AE259B">
        <w:t>Non-cash financing and investing activities</w:t>
      </w:r>
      <w:bookmarkEnd w:id="244"/>
    </w:p>
    <w:p w:rsidR="008A185A" w:rsidRPr="00AE259B" w:rsidRDefault="008A185A" w:rsidP="008A185A">
      <w:pPr>
        <w:rPr>
          <w:rFonts w:ascii="Arial" w:hAnsi="Arial" w:cs="Arial"/>
        </w:rPr>
      </w:pPr>
      <w:r w:rsidRPr="002E75AC">
        <w:rPr>
          <w:rStyle w:val="Heading3Char0"/>
          <w:rFonts w:eastAsia="MS Gothic"/>
        </w:rPr>
        <w:t>Acquisition of property, plant and equipment by means of finance leases</w:t>
      </w:r>
      <w:r w:rsidRPr="002E75AC">
        <w:rPr>
          <w:rStyle w:val="Heading3Char0"/>
          <w:rFonts w:eastAsia="MS Gothic"/>
        </w:rPr>
        <w:br/>
      </w:r>
      <w:r w:rsidRPr="00AE259B">
        <w:rPr>
          <w:rFonts w:ascii="Arial" w:hAnsi="Arial" w:cs="Arial"/>
        </w:rPr>
        <w:t>The acquisitions relate to motor vehicle purchases under finance leases which are not reflected in the cash flow statement.</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53"/>
        <w:gridCol w:w="709"/>
        <w:gridCol w:w="1180"/>
        <w:gridCol w:w="1180"/>
        <w:gridCol w:w="1362"/>
      </w:tblGrid>
      <w:tr w:rsidR="008A185A" w:rsidRPr="00AE259B" w:rsidTr="008A185A">
        <w:tc>
          <w:tcPr>
            <w:tcW w:w="4253"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709"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Note</w:t>
            </w:r>
          </w:p>
        </w:tc>
        <w:tc>
          <w:tcPr>
            <w:tcW w:w="1180" w:type="dxa"/>
            <w:tcBorders>
              <w:bottom w:val="single" w:sz="2" w:space="0" w:color="auto"/>
            </w:tcBorders>
            <w:vAlign w:val="bottom"/>
          </w:tcPr>
          <w:p w:rsidR="008A185A" w:rsidRPr="00AE259B" w:rsidRDefault="008A185A" w:rsidP="008A185A">
            <w:pPr>
              <w:pStyle w:val="TableHeading"/>
              <w:spacing w:before="0" w:after="0" w:line="240" w:lineRule="auto"/>
              <w:ind w:right="84"/>
              <w:rPr>
                <w:rFonts w:ascii="Arial" w:hAnsi="Arial" w:cs="Arial"/>
              </w:rPr>
            </w:pPr>
            <w:r w:rsidRPr="00AE259B">
              <w:rPr>
                <w:rFonts w:ascii="Arial" w:hAnsi="Arial" w:cs="Arial"/>
              </w:rPr>
              <w:t>2013</w:t>
            </w:r>
            <w:r w:rsidRPr="00AE259B">
              <w:rPr>
                <w:rFonts w:ascii="Arial" w:hAnsi="Arial" w:cs="Arial"/>
              </w:rPr>
              <w:br/>
              <w:t>$’000</w:t>
            </w:r>
          </w:p>
        </w:tc>
        <w:tc>
          <w:tcPr>
            <w:tcW w:w="1180"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15.12.2011</w:t>
            </w:r>
            <w:r w:rsidRPr="00AE259B">
              <w:rPr>
                <w:rFonts w:ascii="Arial" w:hAnsi="Arial" w:cs="Arial"/>
              </w:rPr>
              <w:br/>
              <w:t>to 30.6.2012</w:t>
            </w:r>
            <w:r w:rsidRPr="00AE259B">
              <w:rPr>
                <w:rFonts w:ascii="Arial" w:hAnsi="Arial" w:cs="Arial"/>
              </w:rPr>
              <w:br/>
              <w:t xml:space="preserve">$’000 </w:t>
            </w:r>
          </w:p>
        </w:tc>
        <w:tc>
          <w:tcPr>
            <w:tcW w:w="1362"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15.12.2011</w:t>
            </w:r>
            <w:r w:rsidRPr="00AE259B">
              <w:rPr>
                <w:rFonts w:ascii="Arial" w:hAnsi="Arial" w:cs="Arial"/>
              </w:rPr>
              <w:br/>
              <w:t>to 30.6.2012</w:t>
            </w:r>
            <w:r w:rsidRPr="00AE259B">
              <w:rPr>
                <w:rFonts w:ascii="Arial" w:hAnsi="Arial" w:cs="Arial"/>
              </w:rPr>
              <w:br/>
              <w:t>$’000</w:t>
            </w:r>
          </w:p>
        </w:tc>
      </w:tr>
      <w:tr w:rsidR="008A185A" w:rsidRPr="00AE259B" w:rsidTr="008A185A">
        <w:tc>
          <w:tcPr>
            <w:tcW w:w="4253"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Acquisition of property, plant and equipment by means of finance leases</w:t>
            </w:r>
          </w:p>
        </w:tc>
        <w:tc>
          <w:tcPr>
            <w:tcW w:w="70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8</w:t>
            </w:r>
          </w:p>
        </w:tc>
        <w:tc>
          <w:tcPr>
            <w:tcW w:w="1180" w:type="dxa"/>
            <w:shd w:val="pct10" w:color="auto" w:fill="auto"/>
            <w:vAlign w:val="center"/>
          </w:tcPr>
          <w:p w:rsidR="008A185A" w:rsidRPr="00AE259B" w:rsidRDefault="008A185A" w:rsidP="008A185A">
            <w:pPr>
              <w:pStyle w:val="Tablecopy"/>
              <w:spacing w:line="240" w:lineRule="auto"/>
              <w:ind w:right="182"/>
              <w:jc w:val="right"/>
              <w:rPr>
                <w:rFonts w:ascii="Arial" w:hAnsi="Arial" w:cs="Arial"/>
              </w:rPr>
            </w:pPr>
            <w:r w:rsidRPr="00AE259B">
              <w:rPr>
                <w:rFonts w:ascii="Arial" w:hAnsi="Arial" w:cs="Arial"/>
              </w:rPr>
              <w:t>277</w:t>
            </w:r>
          </w:p>
        </w:tc>
        <w:tc>
          <w:tcPr>
            <w:tcW w:w="118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121 </w:t>
            </w:r>
          </w:p>
        </w:tc>
        <w:tc>
          <w:tcPr>
            <w:tcW w:w="136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121 </w:t>
            </w:r>
          </w:p>
        </w:tc>
      </w:tr>
      <w:tr w:rsidR="008A185A" w:rsidRPr="00AE259B" w:rsidTr="008A185A">
        <w:tc>
          <w:tcPr>
            <w:tcW w:w="4253"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non-cash financing and investing activities</w:t>
            </w:r>
          </w:p>
        </w:tc>
        <w:tc>
          <w:tcPr>
            <w:tcW w:w="709"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1180" w:type="dxa"/>
            <w:shd w:val="pct10" w:color="auto" w:fill="auto"/>
          </w:tcPr>
          <w:p w:rsidR="008A185A" w:rsidRPr="00AE259B" w:rsidRDefault="008A185A" w:rsidP="008A185A">
            <w:pPr>
              <w:pStyle w:val="Tablecopy"/>
              <w:spacing w:line="240" w:lineRule="auto"/>
              <w:ind w:right="182"/>
              <w:jc w:val="right"/>
              <w:rPr>
                <w:rFonts w:ascii="Arial" w:hAnsi="Arial" w:cs="Arial"/>
                <w:b/>
              </w:rPr>
            </w:pPr>
            <w:r w:rsidRPr="00AE259B">
              <w:rPr>
                <w:rFonts w:ascii="Arial" w:hAnsi="Arial" w:cs="Arial"/>
                <w:b/>
              </w:rPr>
              <w:t>277</w:t>
            </w:r>
          </w:p>
        </w:tc>
        <w:tc>
          <w:tcPr>
            <w:tcW w:w="118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121 </w:t>
            </w:r>
          </w:p>
        </w:tc>
        <w:tc>
          <w:tcPr>
            <w:tcW w:w="1362"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121 </w:t>
            </w:r>
          </w:p>
        </w:tc>
      </w:tr>
    </w:tbl>
    <w:p w:rsidR="002E75AC" w:rsidRDefault="002E75AC" w:rsidP="002E75AC">
      <w:pPr>
        <w:pStyle w:val="Heading20"/>
      </w:pPr>
      <w:bookmarkStart w:id="245" w:name="_Toc337537727"/>
    </w:p>
    <w:p w:rsidR="008A185A" w:rsidRPr="00AE259B" w:rsidRDefault="008A185A" w:rsidP="00A17713">
      <w:pPr>
        <w:pStyle w:val="Heading20"/>
        <w:numPr>
          <w:ilvl w:val="0"/>
          <w:numId w:val="16"/>
        </w:numPr>
      </w:pPr>
      <w:r w:rsidRPr="00AE259B">
        <w:t>Reconciliation of net result</w:t>
      </w:r>
      <w:bookmarkEnd w:id="245"/>
      <w:r w:rsidRPr="00AE259B">
        <w:t xml:space="preserve"> </w:t>
      </w:r>
    </w:p>
    <w:tbl>
      <w:tblPr>
        <w:tblW w:w="9214"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20"/>
        <w:gridCol w:w="751"/>
        <w:gridCol w:w="1233"/>
        <w:gridCol w:w="1276"/>
        <w:gridCol w:w="1134"/>
      </w:tblGrid>
      <w:tr w:rsidR="008A185A" w:rsidRPr="00AE259B" w:rsidTr="008A185A">
        <w:tc>
          <w:tcPr>
            <w:tcW w:w="4820"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751"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Note</w:t>
            </w:r>
          </w:p>
        </w:tc>
        <w:tc>
          <w:tcPr>
            <w:tcW w:w="1233" w:type="dxa"/>
            <w:tcBorders>
              <w:bottom w:val="single" w:sz="2" w:space="0" w:color="auto"/>
            </w:tcBorders>
            <w:vAlign w:val="bottom"/>
          </w:tcPr>
          <w:p w:rsidR="008A185A" w:rsidRPr="00AE259B" w:rsidRDefault="008A185A" w:rsidP="008A185A">
            <w:pPr>
              <w:pStyle w:val="TableHeading"/>
              <w:spacing w:before="0" w:after="0" w:line="240" w:lineRule="auto"/>
              <w:ind w:right="84"/>
              <w:rPr>
                <w:rFonts w:ascii="Arial" w:hAnsi="Arial" w:cs="Arial"/>
              </w:rPr>
            </w:pPr>
            <w:r w:rsidRPr="00AE259B">
              <w:rPr>
                <w:rFonts w:ascii="Arial" w:hAnsi="Arial" w:cs="Arial"/>
              </w:rPr>
              <w:t>2013</w:t>
            </w:r>
            <w:r w:rsidRPr="00AE259B">
              <w:rPr>
                <w:rFonts w:ascii="Arial" w:hAnsi="Arial" w:cs="Arial"/>
              </w:rPr>
              <w:br/>
              <w:t>$’000</w:t>
            </w:r>
          </w:p>
        </w:tc>
        <w:tc>
          <w:tcPr>
            <w:tcW w:w="1276" w:type="dxa"/>
            <w:tcBorders>
              <w:bottom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15.12.2011</w:t>
            </w:r>
            <w:r w:rsidRPr="00AE259B">
              <w:rPr>
                <w:rFonts w:ascii="Arial" w:hAnsi="Arial" w:cs="Arial"/>
              </w:rPr>
              <w:br/>
              <w:t>to 30.6.2012</w:t>
            </w:r>
            <w:r w:rsidRPr="00AE259B">
              <w:rPr>
                <w:rFonts w:ascii="Arial" w:hAnsi="Arial" w:cs="Arial"/>
              </w:rPr>
              <w:br/>
              <w:t xml:space="preserve">$’000 </w:t>
            </w:r>
          </w:p>
        </w:tc>
        <w:tc>
          <w:tcPr>
            <w:tcW w:w="1134"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p>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15.12.2011</w:t>
            </w:r>
            <w:r w:rsidRPr="00AE259B">
              <w:rPr>
                <w:rFonts w:ascii="Arial" w:hAnsi="Arial" w:cs="Arial"/>
              </w:rPr>
              <w:br/>
              <w:t>to 30.6.2012</w:t>
            </w:r>
            <w:r w:rsidRPr="00AE259B">
              <w:rPr>
                <w:rFonts w:ascii="Arial" w:hAnsi="Arial" w:cs="Arial"/>
              </w:rPr>
              <w:br/>
              <w:t>$’000</w:t>
            </w:r>
          </w:p>
        </w:tc>
      </w:tr>
      <w:tr w:rsidR="008A185A" w:rsidRPr="00AE259B" w:rsidTr="008A185A">
        <w:tc>
          <w:tcPr>
            <w:tcW w:w="4820" w:type="dxa"/>
            <w:shd w:val="clear" w:color="auto" w:fill="auto"/>
            <w:tcMar>
              <w:top w:w="113" w:type="dxa"/>
              <w:left w:w="113" w:type="dxa"/>
              <w:bottom w:w="113"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Net result for the reporting period</w:t>
            </w:r>
          </w:p>
        </w:tc>
        <w:tc>
          <w:tcPr>
            <w:tcW w:w="751" w:type="dxa"/>
            <w:shd w:val="clear" w:color="auto" w:fill="auto"/>
            <w:tcMar>
              <w:top w:w="113" w:type="dxa"/>
              <w:left w:w="113" w:type="dxa"/>
              <w:bottom w:w="113"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b/>
              </w:rPr>
            </w:pPr>
            <w:r w:rsidRPr="00AE259B">
              <w:rPr>
                <w:rFonts w:ascii="Arial" w:hAnsi="Arial" w:cs="Arial"/>
                <w:b/>
              </w:rPr>
              <w:t>(1,018)</w:t>
            </w:r>
          </w:p>
        </w:tc>
        <w:tc>
          <w:tcPr>
            <w:tcW w:w="1276" w:type="dxa"/>
            <w:shd w:val="clear" w:color="auto" w:fill="auto"/>
            <w:tcMar>
              <w:top w:w="113" w:type="dxa"/>
              <w:left w:w="113" w:type="dxa"/>
              <w:bottom w:w="113" w:type="dxa"/>
              <w:right w:w="113" w:type="dxa"/>
            </w:tcMar>
            <w:vAlign w:val="bottom"/>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115,323</w:t>
            </w:r>
          </w:p>
        </w:tc>
        <w:tc>
          <w:tcPr>
            <w:tcW w:w="1134" w:type="dxa"/>
            <w:shd w:val="clear" w:color="auto" w:fill="auto"/>
            <w:tcMar>
              <w:top w:w="113" w:type="dxa"/>
              <w:left w:w="113" w:type="dxa"/>
              <w:bottom w:w="113" w:type="dxa"/>
              <w:right w:w="113" w:type="dxa"/>
            </w:tcMar>
            <w:vAlign w:val="bottom"/>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115,323</w:t>
            </w:r>
          </w:p>
        </w:tc>
      </w:tr>
      <w:tr w:rsidR="008A185A" w:rsidRPr="00AE259B" w:rsidTr="008A185A">
        <w:tc>
          <w:tcPr>
            <w:tcW w:w="4820"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Non-cash movements</w:t>
            </w:r>
          </w:p>
        </w:tc>
        <w:tc>
          <w:tcPr>
            <w:tcW w:w="751"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b/>
              </w:rPr>
            </w:pPr>
          </w:p>
        </w:tc>
        <w:tc>
          <w:tcPr>
            <w:tcW w:w="1276"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c>
          <w:tcPr>
            <w:tcW w:w="1134"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b/>
              </w:rPr>
            </w:pPr>
          </w:p>
        </w:tc>
      </w:tr>
      <w:tr w:rsidR="008A185A" w:rsidRPr="00AE259B" w:rsidTr="008A185A">
        <w:tc>
          <w:tcPr>
            <w:tcW w:w="482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Loss on disposal of non-financial assets</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5(a)</w:t>
            </w: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rPr>
            </w:pPr>
            <w:r w:rsidRPr="00AE259B">
              <w:rPr>
                <w:rFonts w:ascii="Arial" w:hAnsi="Arial" w:cs="Arial"/>
              </w:rPr>
              <w:t>1,315</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4820" w:type="dxa"/>
            <w:shd w:val="clear" w:color="auto" w:fill="auto"/>
            <w:tcMar>
              <w:top w:w="0" w:type="dxa"/>
              <w:left w:w="113" w:type="dxa"/>
              <w:bottom w:w="0" w:type="dxa"/>
              <w:right w:w="57"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Depreciation and amortisation of non-financial assets</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4(d)</w:t>
            </w: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rPr>
            </w:pPr>
            <w:r w:rsidRPr="00AE259B">
              <w:rPr>
                <w:rFonts w:ascii="Arial" w:hAnsi="Arial" w:cs="Arial"/>
              </w:rPr>
              <w:t>27,884</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6,615 </w:t>
            </w: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6,615 </w:t>
            </w:r>
          </w:p>
        </w:tc>
      </w:tr>
      <w:tr w:rsidR="008A185A" w:rsidRPr="00AE259B" w:rsidTr="008A185A">
        <w:tc>
          <w:tcPr>
            <w:tcW w:w="4820" w:type="dxa"/>
            <w:shd w:val="clear" w:color="auto" w:fill="auto"/>
            <w:tcMar>
              <w:top w:w="0" w:type="dxa"/>
              <w:left w:w="113" w:type="dxa"/>
              <w:bottom w:w="0" w:type="dxa"/>
              <w:right w:w="57"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Fair value of assets and services received free of charge or for nominal consideration</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233" w:type="dxa"/>
            <w:shd w:val="pct10" w:color="auto" w:fill="auto"/>
            <w:vAlign w:val="center"/>
          </w:tcPr>
          <w:p w:rsidR="008A185A" w:rsidRPr="00AE259B" w:rsidRDefault="008A185A" w:rsidP="008A185A">
            <w:pPr>
              <w:pStyle w:val="Tablecopy"/>
              <w:spacing w:line="240" w:lineRule="auto"/>
              <w:ind w:right="131"/>
              <w:jc w:val="right"/>
              <w:rPr>
                <w:rFonts w:ascii="Arial" w:hAnsi="Arial" w:cs="Arial"/>
              </w:rPr>
            </w:pPr>
            <w:r w:rsidRPr="00AE259B">
              <w:rPr>
                <w:rFonts w:ascii="Arial" w:hAnsi="Arial" w:cs="Arial"/>
              </w:rPr>
              <w:t>(28,422)</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(106,905) </w:t>
            </w: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(106,905) </w:t>
            </w:r>
          </w:p>
        </w:tc>
      </w:tr>
      <w:tr w:rsidR="008A185A" w:rsidRPr="00AE259B" w:rsidTr="008A185A">
        <w:tc>
          <w:tcPr>
            <w:tcW w:w="4820"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Movements in assets and liabilities (net of restructuring)</w:t>
            </w:r>
          </w:p>
        </w:tc>
        <w:tc>
          <w:tcPr>
            <w:tcW w:w="751"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rPr>
            </w:pPr>
          </w:p>
        </w:tc>
        <w:tc>
          <w:tcPr>
            <w:tcW w:w="1276"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134" w:type="dxa"/>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482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(Increase)/decrease in receivables</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rPr>
            </w:pPr>
            <w:r w:rsidRPr="00AE259B">
              <w:rPr>
                <w:rFonts w:ascii="Arial" w:hAnsi="Arial" w:cs="Arial"/>
              </w:rPr>
              <w:t>(52,669)</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482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(Increase)/decrease in prepayments</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rPr>
            </w:pPr>
            <w:r w:rsidRPr="00AE259B">
              <w:rPr>
                <w:rFonts w:ascii="Arial" w:hAnsi="Arial" w:cs="Arial"/>
              </w:rPr>
              <w:t>1,736</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482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(Increase)/decrease in inventories</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rPr>
            </w:pPr>
            <w:r w:rsidRPr="00AE259B">
              <w:rPr>
                <w:rFonts w:ascii="Arial" w:hAnsi="Arial" w:cs="Arial"/>
              </w:rPr>
              <w:t>551</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482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Increase/(decrease) in payables</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rPr>
            </w:pPr>
            <w:r w:rsidRPr="00AE259B">
              <w:rPr>
                <w:rFonts w:ascii="Arial" w:hAnsi="Arial" w:cs="Arial"/>
              </w:rPr>
              <w:t>117,428</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482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Increase/(decrease) in provisions</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rPr>
            </w:pPr>
            <w:r w:rsidRPr="00AE259B">
              <w:rPr>
                <w:rFonts w:ascii="Arial" w:hAnsi="Arial" w:cs="Arial"/>
              </w:rPr>
              <w:t>17,777</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482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rPr>
              <w:t>Increase/(decrease) in net financial assets</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b/>
              </w:rPr>
            </w:pPr>
            <w:r w:rsidRPr="00AE259B">
              <w:rPr>
                <w:rFonts w:ascii="Arial" w:hAnsi="Arial" w:cs="Arial"/>
                <w:b/>
              </w:rPr>
              <w:t>-</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1,935</w:t>
            </w: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1,935</w:t>
            </w:r>
          </w:p>
        </w:tc>
      </w:tr>
      <w:tr w:rsidR="008A185A" w:rsidRPr="00AE259B" w:rsidTr="008A185A">
        <w:tc>
          <w:tcPr>
            <w:tcW w:w="4820"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Net cash flows from/(used in) operating activities </w:t>
            </w:r>
          </w:p>
        </w:tc>
        <w:tc>
          <w:tcPr>
            <w:tcW w:w="751"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1233" w:type="dxa"/>
            <w:shd w:val="pct10" w:color="auto" w:fill="auto"/>
          </w:tcPr>
          <w:p w:rsidR="008A185A" w:rsidRPr="00AE259B" w:rsidRDefault="008A185A" w:rsidP="008A185A">
            <w:pPr>
              <w:pStyle w:val="Tablecopy"/>
              <w:spacing w:line="240" w:lineRule="auto"/>
              <w:ind w:right="131"/>
              <w:jc w:val="right"/>
              <w:rPr>
                <w:rFonts w:ascii="Arial" w:hAnsi="Arial" w:cs="Arial"/>
                <w:b/>
              </w:rPr>
            </w:pPr>
            <w:r w:rsidRPr="00AE259B">
              <w:rPr>
                <w:rFonts w:ascii="Arial" w:hAnsi="Arial" w:cs="Arial"/>
                <w:b/>
              </w:rPr>
              <w:t>84,582</w:t>
            </w:r>
          </w:p>
        </w:tc>
        <w:tc>
          <w:tcPr>
            <w:tcW w:w="1276"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16,968 </w:t>
            </w:r>
          </w:p>
        </w:tc>
        <w:tc>
          <w:tcPr>
            <w:tcW w:w="1134" w:type="dxa"/>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16,968 </w:t>
            </w:r>
          </w:p>
        </w:tc>
      </w:tr>
    </w:tbl>
    <w:p w:rsidR="002E75AC" w:rsidRDefault="002E75AC" w:rsidP="008A185A">
      <w:pPr>
        <w:pStyle w:val="Heading1"/>
        <w:rPr>
          <w:rFonts w:ascii="Arial" w:hAnsi="Arial" w:cs="Arial"/>
        </w:rPr>
      </w:pPr>
      <w:bookmarkStart w:id="246" w:name="_Note_19._Leases"/>
      <w:bookmarkStart w:id="247" w:name="_Note_19._Leases_1"/>
      <w:bookmarkStart w:id="248" w:name="_Toc337471051"/>
      <w:bookmarkStart w:id="249" w:name="_Toc337537817"/>
      <w:bookmarkStart w:id="250" w:name="_Toc337539743"/>
      <w:bookmarkStart w:id="251" w:name="_Toc337707160"/>
      <w:bookmarkStart w:id="252" w:name="_Toc337711268"/>
      <w:bookmarkEnd w:id="246"/>
      <w:bookmarkEnd w:id="247"/>
    </w:p>
    <w:p w:rsidR="002E75AC" w:rsidRPr="00AD22A8" w:rsidRDefault="002E75AC">
      <w:pPr>
        <w:rPr>
          <w:rFonts w:ascii="Arial" w:hAnsi="Arial" w:cs="Arial"/>
          <w:b/>
          <w:bCs/>
          <w:color w:val="365F91"/>
          <w:sz w:val="28"/>
          <w:szCs w:val="28"/>
        </w:rPr>
      </w:pPr>
      <w:r>
        <w:rPr>
          <w:rFonts w:ascii="Arial" w:hAnsi="Arial" w:cs="Arial"/>
        </w:rPr>
        <w:br w:type="page"/>
      </w:r>
    </w:p>
    <w:p w:rsidR="008A185A" w:rsidRPr="00AE259B" w:rsidRDefault="008A185A" w:rsidP="006B7F1A">
      <w:pPr>
        <w:pStyle w:val="Heading10"/>
        <w:outlineLvl w:val="0"/>
      </w:pPr>
      <w:bookmarkStart w:id="253" w:name="_Toc366672109"/>
      <w:r w:rsidRPr="00AE259B">
        <w:t>Note 18. Leases</w:t>
      </w:r>
      <w:bookmarkEnd w:id="248"/>
      <w:bookmarkEnd w:id="249"/>
      <w:bookmarkEnd w:id="250"/>
      <w:bookmarkEnd w:id="251"/>
      <w:bookmarkEnd w:id="252"/>
      <w:bookmarkEnd w:id="253"/>
    </w:p>
    <w:p w:rsidR="008A185A" w:rsidRPr="00AE259B" w:rsidRDefault="008A185A" w:rsidP="002E75AC">
      <w:pPr>
        <w:pStyle w:val="Heading20"/>
      </w:pPr>
      <w:bookmarkStart w:id="254" w:name="_Toc337537728"/>
      <w:r w:rsidRPr="00AE259B">
        <w:t>(a) Leasing arrangements</w:t>
      </w:r>
      <w:bookmarkEnd w:id="254"/>
      <w:r w:rsidRPr="00AE259B">
        <w:t xml:space="preserve"> – Commissioned public private partnership</w:t>
      </w:r>
    </w:p>
    <w:p w:rsidR="008A185A" w:rsidRDefault="008A185A" w:rsidP="008A185A">
      <w:pPr>
        <w:rPr>
          <w:rFonts w:ascii="Arial" w:hAnsi="Arial" w:cs="Arial"/>
        </w:rPr>
      </w:pPr>
      <w:r w:rsidRPr="00AE259B">
        <w:rPr>
          <w:rFonts w:ascii="Arial" w:hAnsi="Arial" w:cs="Arial"/>
        </w:rPr>
        <w:t>The Services and Development Agreement for the redevelopment of Southern Cross Station with CNPL as disclosed in Note 14(b) is deemed a finance lease as it effectively transfers the risks and benefits incidental to ownership of the leased assets to the State.  Please refer to Note 14(b) for details.</w:t>
      </w:r>
    </w:p>
    <w:p w:rsidR="002E75AC" w:rsidRPr="00AE259B" w:rsidRDefault="002E75AC" w:rsidP="008A185A">
      <w:pPr>
        <w:rPr>
          <w:rFonts w:ascii="Arial" w:hAnsi="Arial" w:cs="Arial"/>
        </w:rPr>
      </w:pPr>
    </w:p>
    <w:p w:rsidR="008A185A" w:rsidRDefault="008A185A" w:rsidP="008A185A">
      <w:pPr>
        <w:rPr>
          <w:rFonts w:ascii="Arial" w:hAnsi="Arial" w:cs="Arial"/>
        </w:rPr>
      </w:pPr>
      <w:r w:rsidRPr="00AE259B">
        <w:rPr>
          <w:rFonts w:ascii="Arial" w:hAnsi="Arial" w:cs="Arial"/>
        </w:rPr>
        <w:t>It is important to note that currently the actual cash payments to CNPL are less than the deemed finance lease interest expense. In this instance the finance lease liability will continue to increase to approximately $378 million at the last quarter of 2014 when the cash payments overtake the value of the finance lease interest. Due to these increases in debt there is no requirement to recognise a current liability in this note.</w:t>
      </w:r>
    </w:p>
    <w:p w:rsidR="002E75AC" w:rsidRPr="00AE259B" w:rsidRDefault="002E75AC" w:rsidP="008A185A">
      <w:pPr>
        <w:rPr>
          <w:rFonts w:ascii="Arial" w:hAnsi="Arial" w:cs="Arial"/>
        </w:rPr>
      </w:pPr>
    </w:p>
    <w:p w:rsidR="008A185A" w:rsidRPr="00AE259B" w:rsidRDefault="008A185A" w:rsidP="002E75AC">
      <w:pPr>
        <w:pStyle w:val="Heading20"/>
      </w:pPr>
      <w:r w:rsidRPr="00AE259B">
        <w:t>(b) Other finance lease liabilities</w:t>
      </w:r>
    </w:p>
    <w:p w:rsidR="008A185A" w:rsidRDefault="008A185A" w:rsidP="008A185A">
      <w:pPr>
        <w:rPr>
          <w:rFonts w:ascii="Arial" w:hAnsi="Arial" w:cs="Arial"/>
        </w:rPr>
      </w:pPr>
      <w:r w:rsidRPr="00AE259B">
        <w:rPr>
          <w:rFonts w:ascii="Arial" w:hAnsi="Arial" w:cs="Arial"/>
        </w:rPr>
        <w:t>The other finance lease entered into by PTV relates to motor vehicles with lease terms of three years or 60,000 kilometres, whichever occurs first.</w:t>
      </w:r>
    </w:p>
    <w:p w:rsidR="002E75AC" w:rsidRPr="00AE259B" w:rsidRDefault="002E75AC" w:rsidP="008A185A">
      <w:pPr>
        <w:rPr>
          <w:rFonts w:ascii="Arial" w:hAnsi="Arial" w:cs="Arial"/>
        </w:rPr>
      </w:pPr>
    </w:p>
    <w:tbl>
      <w:tblPr>
        <w:tblW w:w="0" w:type="auto"/>
        <w:tblInd w:w="113" w:type="dxa"/>
        <w:tblLayout w:type="fixed"/>
        <w:tblCellMar>
          <w:left w:w="0" w:type="dxa"/>
          <w:right w:w="0" w:type="dxa"/>
        </w:tblCellMar>
        <w:tblLook w:val="0000" w:firstRow="0" w:lastRow="0" w:firstColumn="0" w:lastColumn="0" w:noHBand="0" w:noVBand="0"/>
      </w:tblPr>
      <w:tblGrid>
        <w:gridCol w:w="3944"/>
        <w:gridCol w:w="764"/>
        <w:gridCol w:w="1069"/>
        <w:gridCol w:w="1083"/>
        <w:gridCol w:w="1075"/>
        <w:gridCol w:w="1068"/>
      </w:tblGrid>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Heading"/>
              <w:spacing w:before="0" w:after="0" w:line="240" w:lineRule="auto"/>
              <w:rPr>
                <w:rFonts w:ascii="Arial" w:hAnsi="Arial" w:cs="Arial"/>
              </w:rPr>
            </w:pP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Heading"/>
              <w:spacing w:before="0" w:after="0" w:line="240" w:lineRule="auto"/>
              <w:rPr>
                <w:rFonts w:ascii="Arial" w:hAnsi="Arial" w:cs="Arial"/>
              </w:rPr>
            </w:pPr>
          </w:p>
        </w:tc>
        <w:tc>
          <w:tcPr>
            <w:tcW w:w="215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 xml:space="preserve">Minimum future </w:t>
            </w:r>
            <w:r w:rsidRPr="00AE259B">
              <w:rPr>
                <w:rFonts w:ascii="Arial" w:hAnsi="Arial" w:cs="Arial"/>
              </w:rPr>
              <w:br/>
              <w:t xml:space="preserve">lease payments </w:t>
            </w:r>
            <w:r w:rsidRPr="00AE259B">
              <w:rPr>
                <w:rFonts w:ascii="Arial" w:hAnsi="Arial" w:cs="Arial"/>
                <w:vertAlign w:val="superscript"/>
              </w:rPr>
              <w:t>(i)</w:t>
            </w:r>
          </w:p>
        </w:tc>
        <w:tc>
          <w:tcPr>
            <w:tcW w:w="214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Present value of minimum future lease payments</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764"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Note</w:t>
            </w:r>
          </w:p>
        </w:tc>
        <w:tc>
          <w:tcPr>
            <w:tcW w:w="1069"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$’000</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2012</w:t>
            </w:r>
            <w:r w:rsidRPr="00AE259B">
              <w:rPr>
                <w:rFonts w:ascii="Arial" w:hAnsi="Arial" w:cs="Arial"/>
              </w:rPr>
              <w:br/>
              <w:t>$’000</w:t>
            </w:r>
          </w:p>
        </w:tc>
        <w:tc>
          <w:tcPr>
            <w:tcW w:w="1075"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$’000</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2012</w:t>
            </w:r>
            <w:r w:rsidRPr="00AE259B">
              <w:rPr>
                <w:rFonts w:ascii="Arial" w:hAnsi="Arial" w:cs="Arial"/>
              </w:rPr>
              <w:br/>
              <w:t>$’000</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Commissioned PPP related finance lease liabilities payable</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Not longer than one year</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31,813 </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31,037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Longer than one year and not longer than five years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135,407 </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132,105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Longer than five years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750,990 </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786,105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376,822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375,340 </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Other finance lease liabilities payable </w:t>
            </w:r>
            <w:r w:rsidRPr="00AE259B">
              <w:rPr>
                <w:rFonts w:ascii="Arial" w:hAnsi="Arial" w:cs="Arial"/>
                <w:b/>
                <w:vertAlign w:val="superscript"/>
              </w:rPr>
              <w:t>(ii)</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85" w:type="dxa"/>
              <w:right w:w="113" w:type="dxa"/>
            </w:tcMar>
            <w:vAlign w:val="bottom"/>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Not longer than one year</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292 </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525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263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484 </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Longer than one year and not longer than five years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363 </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387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344</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367 </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Minimum lease payments*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918,865 </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950,159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377,429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376,191</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Less future finance charges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(541,436)</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(573,968)</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Present value of minimum lease payments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p>
        </w:tc>
        <w:tc>
          <w:tcPr>
            <w:tcW w:w="1069"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377,429 </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376,191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377,429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376,191 </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Included in the financial statements as: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Current borrowings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11</w:t>
            </w:r>
          </w:p>
        </w:tc>
        <w:tc>
          <w:tcPr>
            <w:tcW w:w="10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263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484 </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Non-current borrowings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11</w:t>
            </w:r>
          </w:p>
        </w:tc>
        <w:tc>
          <w:tcPr>
            <w:tcW w:w="10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377,166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375,707 </w:t>
            </w:r>
          </w:p>
        </w:tc>
      </w:tr>
      <w:tr w:rsidR="008A185A" w:rsidRPr="00AE259B" w:rsidTr="008A185A">
        <w:tc>
          <w:tcPr>
            <w:tcW w:w="394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interest bearing liabilities</w:t>
            </w:r>
          </w:p>
        </w:tc>
        <w:tc>
          <w:tcPr>
            <w:tcW w:w="764"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p>
        </w:tc>
        <w:tc>
          <w:tcPr>
            <w:tcW w:w="10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1083"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w:t>
            </w:r>
          </w:p>
        </w:tc>
        <w:tc>
          <w:tcPr>
            <w:tcW w:w="1075"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377,429 </w:t>
            </w:r>
          </w:p>
        </w:tc>
        <w:tc>
          <w:tcPr>
            <w:tcW w:w="1068"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376,191 </w:t>
            </w:r>
          </w:p>
        </w:tc>
      </w:tr>
      <w:tr w:rsidR="008A185A" w:rsidRPr="00AE259B" w:rsidTr="008A185A">
        <w:tc>
          <w:tcPr>
            <w:tcW w:w="9003" w:type="dxa"/>
            <w:gridSpan w:val="6"/>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(i) Minimum future lease payments include the aggregate of all lease payments and any guaranteed residual.</w:t>
            </w:r>
            <w:r w:rsidRPr="00AE259B">
              <w:rPr>
                <w:rFonts w:ascii="Arial" w:hAnsi="Arial" w:cs="Arial"/>
              </w:rPr>
              <w:br/>
              <w:t xml:space="preserve">(ii) Other finance lease liabilities include obligations that are recognised on the balance sheet; the future payments related to operating lease commitments are disclosed in Note 14. </w:t>
            </w:r>
          </w:p>
        </w:tc>
      </w:tr>
    </w:tbl>
    <w:p w:rsidR="002E75AC" w:rsidRDefault="002E75AC" w:rsidP="008A185A">
      <w:pPr>
        <w:pStyle w:val="Heading2"/>
        <w:rPr>
          <w:rFonts w:ascii="Arial" w:hAnsi="Arial" w:cs="Arial"/>
        </w:rPr>
      </w:pPr>
      <w:bookmarkStart w:id="255" w:name="_Note_21._Administered"/>
      <w:bookmarkEnd w:id="255"/>
    </w:p>
    <w:p w:rsidR="002E75AC" w:rsidRPr="00AD22A8" w:rsidRDefault="002E75AC">
      <w:pPr>
        <w:rPr>
          <w:rFonts w:ascii="Arial" w:hAnsi="Arial" w:cs="Arial"/>
          <w:b/>
          <w:bCs/>
          <w:color w:val="4F81BD"/>
          <w:sz w:val="26"/>
          <w:szCs w:val="26"/>
        </w:rPr>
      </w:pPr>
      <w:r>
        <w:rPr>
          <w:rFonts w:ascii="Arial" w:hAnsi="Arial" w:cs="Arial"/>
        </w:rPr>
        <w:br w:type="page"/>
      </w:r>
    </w:p>
    <w:p w:rsidR="008A185A" w:rsidRPr="00AE259B" w:rsidRDefault="008A185A" w:rsidP="006B7F1A">
      <w:pPr>
        <w:pStyle w:val="Heading10"/>
        <w:outlineLvl w:val="0"/>
      </w:pPr>
      <w:bookmarkStart w:id="256" w:name="_Note_22._Annotated"/>
      <w:bookmarkStart w:id="257" w:name="_Note_24._Responsible"/>
      <w:bookmarkStart w:id="258" w:name="_Toc337471056"/>
      <w:bookmarkStart w:id="259" w:name="_Toc337537822"/>
      <w:bookmarkStart w:id="260" w:name="_Toc337539748"/>
      <w:bookmarkStart w:id="261" w:name="_Toc337707165"/>
      <w:bookmarkStart w:id="262" w:name="_Toc337711273"/>
      <w:bookmarkStart w:id="263" w:name="_Toc366672110"/>
      <w:bookmarkEnd w:id="256"/>
      <w:bookmarkEnd w:id="257"/>
      <w:r w:rsidRPr="00AE259B">
        <w:t>Note 19. Responsible persons</w:t>
      </w:r>
      <w:bookmarkEnd w:id="258"/>
      <w:bookmarkEnd w:id="259"/>
      <w:bookmarkEnd w:id="260"/>
      <w:bookmarkEnd w:id="261"/>
      <w:bookmarkEnd w:id="262"/>
      <w:bookmarkEnd w:id="263"/>
    </w:p>
    <w:p w:rsidR="008A185A" w:rsidRPr="00AE259B" w:rsidRDefault="008A185A" w:rsidP="008A185A">
      <w:pPr>
        <w:rPr>
          <w:rFonts w:ascii="Arial" w:hAnsi="Arial" w:cs="Arial"/>
        </w:rPr>
      </w:pPr>
      <w:r w:rsidRPr="00AE259B">
        <w:rPr>
          <w:rFonts w:ascii="Arial" w:hAnsi="Arial" w:cs="Arial"/>
        </w:rPr>
        <w:t>In accordance with the Ministerial Directions issued by the Minister for Finance under the Financial Management Act, the following disclosures are made regarding responsible persons for the reporting period.</w:t>
      </w:r>
    </w:p>
    <w:p w:rsidR="002E75AC" w:rsidRDefault="002E75AC" w:rsidP="002E75AC">
      <w:pPr>
        <w:pStyle w:val="Heading20"/>
      </w:pPr>
    </w:p>
    <w:p w:rsidR="008A185A" w:rsidRPr="00AE259B" w:rsidRDefault="008A185A" w:rsidP="002E75AC">
      <w:pPr>
        <w:pStyle w:val="Heading20"/>
      </w:pPr>
      <w:r w:rsidRPr="00AE259B">
        <w:t>Names</w:t>
      </w:r>
    </w:p>
    <w:p w:rsidR="008A185A" w:rsidRPr="00AE259B" w:rsidRDefault="008A185A" w:rsidP="008A185A">
      <w:pPr>
        <w:rPr>
          <w:rFonts w:ascii="Arial" w:hAnsi="Arial" w:cs="Arial"/>
        </w:rPr>
      </w:pPr>
      <w:r w:rsidRPr="00AE259B">
        <w:rPr>
          <w:rFonts w:ascii="Arial" w:hAnsi="Arial" w:cs="Arial"/>
        </w:rPr>
        <w:t>The persons who held the positions of Ministers, Directors of the Board and accountable officer in PTV are as follows:</w:t>
      </w:r>
    </w:p>
    <w:p w:rsidR="002E75AC" w:rsidRDefault="002E75AC" w:rsidP="002E75AC">
      <w:pPr>
        <w:pStyle w:val="Heading30"/>
      </w:pPr>
    </w:p>
    <w:p w:rsidR="008A185A" w:rsidRPr="00AE259B" w:rsidRDefault="008A185A" w:rsidP="002E75AC">
      <w:pPr>
        <w:pStyle w:val="Heading30"/>
      </w:pPr>
      <w:r w:rsidRPr="00AE259B">
        <w:t>Responsible Minister:</w:t>
      </w:r>
    </w:p>
    <w:p w:rsidR="008A185A" w:rsidRPr="00AE259B" w:rsidRDefault="008A185A" w:rsidP="008A185A">
      <w:pPr>
        <w:rPr>
          <w:rFonts w:ascii="Arial" w:hAnsi="Arial" w:cs="Arial"/>
        </w:rPr>
      </w:pPr>
      <w:r w:rsidRPr="00AE259B">
        <w:rPr>
          <w:rFonts w:ascii="Arial" w:hAnsi="Arial" w:cs="Arial"/>
        </w:rPr>
        <w:t>Hon. Terry Mulder MP, Minister for Public Transport and Minister for Roads (1 July 2012 to 30 June 2013)</w:t>
      </w:r>
    </w:p>
    <w:p w:rsidR="002E75AC" w:rsidRDefault="002E75AC" w:rsidP="002E75AC">
      <w:pPr>
        <w:pStyle w:val="Heading30"/>
      </w:pPr>
    </w:p>
    <w:p w:rsidR="008A185A" w:rsidRPr="00AE259B" w:rsidRDefault="008A185A" w:rsidP="002E75AC">
      <w:pPr>
        <w:pStyle w:val="Heading30"/>
      </w:pPr>
      <w:r w:rsidRPr="00AE259B">
        <w:t>Directors of the Board:</w:t>
      </w:r>
    </w:p>
    <w:p w:rsidR="008A185A" w:rsidRPr="00AE259B" w:rsidRDefault="008A185A" w:rsidP="008A185A">
      <w:pPr>
        <w:rPr>
          <w:rFonts w:ascii="Arial" w:hAnsi="Arial" w:cs="Arial"/>
        </w:rPr>
      </w:pPr>
      <w:r w:rsidRPr="00AE259B">
        <w:rPr>
          <w:rFonts w:ascii="Arial" w:hAnsi="Arial" w:cs="Arial"/>
        </w:rPr>
        <w:t>Mr Ian Dobbs – Chair (1 July 2012 to 30 June 2013)</w:t>
      </w:r>
    </w:p>
    <w:p w:rsidR="008A185A" w:rsidRPr="00AE259B" w:rsidRDefault="008A185A" w:rsidP="008A185A">
      <w:pPr>
        <w:rPr>
          <w:rFonts w:ascii="Arial" w:hAnsi="Arial" w:cs="Arial"/>
        </w:rPr>
      </w:pPr>
      <w:r w:rsidRPr="00AE259B">
        <w:rPr>
          <w:rFonts w:ascii="Arial" w:hAnsi="Arial" w:cs="Arial"/>
        </w:rPr>
        <w:t>Mr Douglas Bartley (1 July 2012 to 30 June 2013)</w:t>
      </w:r>
    </w:p>
    <w:p w:rsidR="008A185A" w:rsidRPr="00AE259B" w:rsidRDefault="008A185A" w:rsidP="008A185A">
      <w:pPr>
        <w:rPr>
          <w:rFonts w:ascii="Arial" w:hAnsi="Arial" w:cs="Arial"/>
        </w:rPr>
      </w:pPr>
      <w:r w:rsidRPr="00AE259B">
        <w:rPr>
          <w:rFonts w:ascii="Arial" w:hAnsi="Arial" w:cs="Arial"/>
        </w:rPr>
        <w:t>Mr Michael Taylor AO (1 July 2012 to 30 June 2013)</w:t>
      </w:r>
    </w:p>
    <w:p w:rsidR="008A185A" w:rsidRPr="00AE259B" w:rsidRDefault="008A185A" w:rsidP="008A185A">
      <w:pPr>
        <w:rPr>
          <w:rFonts w:ascii="Arial" w:hAnsi="Arial" w:cs="Arial"/>
        </w:rPr>
      </w:pPr>
      <w:r w:rsidRPr="00AE259B">
        <w:rPr>
          <w:rFonts w:ascii="Arial" w:hAnsi="Arial" w:cs="Arial"/>
        </w:rPr>
        <w:t>Ms Virginia Hickey (1 July 2012 to 30 June 2013)</w:t>
      </w:r>
    </w:p>
    <w:p w:rsidR="008A185A" w:rsidRPr="00AE259B" w:rsidRDefault="008A185A" w:rsidP="008A185A">
      <w:pPr>
        <w:rPr>
          <w:rFonts w:ascii="Arial" w:hAnsi="Arial" w:cs="Arial"/>
        </w:rPr>
      </w:pPr>
      <w:r w:rsidRPr="00AE259B">
        <w:rPr>
          <w:rFonts w:ascii="Arial" w:hAnsi="Arial" w:cs="Arial"/>
        </w:rPr>
        <w:t>Mr Craig Opie (1 November 2012 to 30 June 2013)</w:t>
      </w:r>
    </w:p>
    <w:p w:rsidR="002E75AC" w:rsidRDefault="002E75AC" w:rsidP="002E75AC">
      <w:pPr>
        <w:pStyle w:val="Heading30"/>
      </w:pPr>
    </w:p>
    <w:p w:rsidR="008A185A" w:rsidRPr="00AE259B" w:rsidRDefault="008A185A" w:rsidP="002E75AC">
      <w:pPr>
        <w:pStyle w:val="Heading30"/>
      </w:pPr>
      <w:r w:rsidRPr="00AE259B">
        <w:t>Accountable Officer:</w:t>
      </w:r>
    </w:p>
    <w:p w:rsidR="008A185A" w:rsidRPr="00AE259B" w:rsidRDefault="008A185A" w:rsidP="008A185A">
      <w:pPr>
        <w:rPr>
          <w:rFonts w:ascii="Arial" w:hAnsi="Arial" w:cs="Arial"/>
        </w:rPr>
      </w:pPr>
      <w:r w:rsidRPr="00AE259B">
        <w:rPr>
          <w:rFonts w:ascii="Arial" w:hAnsi="Arial" w:cs="Arial"/>
        </w:rPr>
        <w:t>Mr Ian Dobbs – Chief Executive (1 July 2012 to 30 June 2013)</w:t>
      </w:r>
    </w:p>
    <w:p w:rsidR="002E75AC" w:rsidRDefault="002E75AC" w:rsidP="002E75AC">
      <w:pPr>
        <w:pStyle w:val="Heading20"/>
      </w:pPr>
      <w:bookmarkStart w:id="264" w:name="_Toc337537732"/>
    </w:p>
    <w:p w:rsidR="008A185A" w:rsidRPr="00AE259B" w:rsidRDefault="008A185A" w:rsidP="002E75AC">
      <w:pPr>
        <w:pStyle w:val="Heading20"/>
      </w:pPr>
      <w:r w:rsidRPr="00AE259B">
        <w:t>Remuneration</w:t>
      </w:r>
      <w:bookmarkEnd w:id="264"/>
    </w:p>
    <w:p w:rsidR="008A185A" w:rsidRPr="00AE259B" w:rsidRDefault="008A185A" w:rsidP="008A185A">
      <w:pPr>
        <w:rPr>
          <w:rFonts w:ascii="Arial" w:hAnsi="Arial" w:cs="Arial"/>
        </w:rPr>
      </w:pPr>
      <w:r w:rsidRPr="00AE259B">
        <w:rPr>
          <w:rFonts w:ascii="Arial" w:hAnsi="Arial" w:cs="Arial"/>
        </w:rPr>
        <w:t>Amounts relating to Ministers are reported in the financial statements of the Department of Premier and Cabinet.</w:t>
      </w:r>
    </w:p>
    <w:p w:rsidR="008A185A" w:rsidRDefault="008A185A" w:rsidP="008A185A">
      <w:pPr>
        <w:rPr>
          <w:rFonts w:ascii="Arial" w:hAnsi="Arial" w:cs="Arial"/>
        </w:rPr>
      </w:pPr>
      <w:r w:rsidRPr="00AE259B">
        <w:rPr>
          <w:rFonts w:ascii="Arial" w:hAnsi="Arial" w:cs="Arial"/>
        </w:rPr>
        <w:t>The number of responsible persons whose remuneration from PTV was within the specified bands were as follows:</w:t>
      </w:r>
    </w:p>
    <w:p w:rsidR="002E75AC" w:rsidRPr="00AE259B" w:rsidRDefault="002E75AC" w:rsidP="008A185A">
      <w:pPr>
        <w:rPr>
          <w:rFonts w:ascii="Arial" w:hAnsi="Arial" w:cs="Arial"/>
        </w:rPr>
      </w:pPr>
    </w:p>
    <w:tbl>
      <w:tblPr>
        <w:tblW w:w="0" w:type="auto"/>
        <w:tblInd w:w="113" w:type="dxa"/>
        <w:tblLayout w:type="fixed"/>
        <w:tblCellMar>
          <w:left w:w="0" w:type="dxa"/>
          <w:right w:w="0" w:type="dxa"/>
        </w:tblCellMar>
        <w:tblLook w:val="0000" w:firstRow="0" w:lastRow="0" w:firstColumn="0" w:lastColumn="0" w:noHBand="0" w:noVBand="0"/>
      </w:tblPr>
      <w:tblGrid>
        <w:gridCol w:w="3119"/>
        <w:gridCol w:w="2212"/>
        <w:gridCol w:w="2212"/>
      </w:tblGrid>
      <w:tr w:rsidR="008A185A" w:rsidRPr="00AE259B" w:rsidTr="008A185A">
        <w:trPr>
          <w:trHeight w:val="60"/>
        </w:trPr>
        <w:tc>
          <w:tcPr>
            <w:tcW w:w="3119" w:type="dxa"/>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jc w:val="left"/>
              <w:rPr>
                <w:rFonts w:ascii="Arial" w:hAnsi="Arial" w:cs="Arial"/>
              </w:rPr>
            </w:pPr>
            <w:r w:rsidRPr="00AE259B">
              <w:rPr>
                <w:rFonts w:ascii="Arial" w:hAnsi="Arial" w:cs="Arial"/>
              </w:rPr>
              <w:t>Income band</w:t>
            </w:r>
          </w:p>
        </w:tc>
        <w:tc>
          <w:tcPr>
            <w:tcW w:w="2212" w:type="dxa"/>
            <w:tcBorders>
              <w:top w:val="single" w:sz="2" w:space="0" w:color="auto"/>
              <w:left w:val="single" w:sz="2" w:space="0" w:color="auto"/>
              <w:bottom w:val="single" w:sz="2" w:space="0" w:color="auto"/>
              <w:right w:val="single" w:sz="2" w:space="0" w:color="auto"/>
            </w:tcBorders>
            <w:vAlign w:val="center"/>
          </w:tcPr>
          <w:p w:rsidR="008A185A" w:rsidRPr="00AE259B" w:rsidRDefault="008A185A" w:rsidP="008A185A">
            <w:pPr>
              <w:pStyle w:val="TableHeading"/>
              <w:spacing w:before="0" w:after="0" w:line="240" w:lineRule="auto"/>
              <w:ind w:right="86"/>
              <w:rPr>
                <w:rFonts w:ascii="Arial" w:hAnsi="Arial" w:cs="Arial"/>
              </w:rPr>
            </w:pPr>
            <w:r w:rsidRPr="00AE259B">
              <w:rPr>
                <w:rFonts w:ascii="Arial" w:hAnsi="Arial" w:cs="Arial"/>
              </w:rPr>
              <w:t>Total Remuneration 2013</w:t>
            </w:r>
            <w:r w:rsidRPr="00AE259B">
              <w:rPr>
                <w:rFonts w:ascii="Arial" w:hAnsi="Arial" w:cs="Arial"/>
              </w:rPr>
              <w:br/>
              <w:t>Number</w:t>
            </w:r>
          </w:p>
        </w:tc>
        <w:tc>
          <w:tcPr>
            <w:tcW w:w="2212" w:type="dxa"/>
            <w:tcBorders>
              <w:top w:val="single" w:sz="2" w:space="0" w:color="auto"/>
              <w:left w:val="single" w:sz="2" w:space="0" w:color="auto"/>
              <w:bottom w:val="single" w:sz="2" w:space="0" w:color="auto"/>
              <w:right w:val="single" w:sz="2"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Total Remuneration 2012*</w:t>
            </w:r>
            <w:r w:rsidRPr="00AE259B">
              <w:rPr>
                <w:rFonts w:ascii="Arial" w:hAnsi="Arial" w:cs="Arial"/>
              </w:rPr>
              <w:br/>
              <w:t>Number</w:t>
            </w:r>
          </w:p>
        </w:tc>
      </w:tr>
      <w:tr w:rsidR="008A185A" w:rsidRPr="00AE259B" w:rsidTr="008A185A">
        <w:trPr>
          <w:trHeight w:val="311"/>
        </w:trPr>
        <w:tc>
          <w:tcPr>
            <w:tcW w:w="311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$20,000 – 29,999</w:t>
            </w:r>
          </w:p>
        </w:tc>
        <w:tc>
          <w:tcPr>
            <w:tcW w:w="2212" w:type="dxa"/>
            <w:tcBorders>
              <w:top w:val="single" w:sz="2" w:space="0" w:color="auto"/>
              <w:left w:val="single" w:sz="2" w:space="0" w:color="auto"/>
              <w:bottom w:val="single" w:sz="2" w:space="0" w:color="auto"/>
              <w:right w:val="single" w:sz="2" w:space="0" w:color="auto"/>
            </w:tcBorders>
            <w:shd w:val="pct10" w:color="auto" w:fill="auto"/>
            <w:vAlign w:val="center"/>
          </w:tcPr>
          <w:p w:rsidR="008A185A" w:rsidRPr="00AE259B" w:rsidRDefault="008A185A" w:rsidP="008A185A">
            <w:pPr>
              <w:pStyle w:val="Tablecopy"/>
              <w:spacing w:line="240" w:lineRule="auto"/>
              <w:ind w:right="86"/>
              <w:jc w:val="right"/>
              <w:rPr>
                <w:rFonts w:ascii="Arial" w:hAnsi="Arial" w:cs="Arial"/>
              </w:rPr>
            </w:pPr>
            <w:r w:rsidRPr="00AE259B">
              <w:rPr>
                <w:rFonts w:ascii="Arial" w:hAnsi="Arial" w:cs="Arial"/>
              </w:rPr>
              <w:t>-</w:t>
            </w:r>
          </w:p>
        </w:tc>
        <w:tc>
          <w:tcPr>
            <w:tcW w:w="221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w:t>
            </w:r>
          </w:p>
        </w:tc>
      </w:tr>
      <w:tr w:rsidR="008A185A" w:rsidRPr="00AE259B" w:rsidTr="008A185A">
        <w:trPr>
          <w:trHeight w:val="311"/>
        </w:trPr>
        <w:tc>
          <w:tcPr>
            <w:tcW w:w="311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$30,000 – 39,999</w:t>
            </w:r>
          </w:p>
        </w:tc>
        <w:tc>
          <w:tcPr>
            <w:tcW w:w="2212" w:type="dxa"/>
            <w:tcBorders>
              <w:top w:val="single" w:sz="2" w:space="0" w:color="auto"/>
              <w:left w:val="single" w:sz="2" w:space="0" w:color="auto"/>
              <w:bottom w:val="single" w:sz="2" w:space="0" w:color="auto"/>
              <w:right w:val="single" w:sz="2" w:space="0" w:color="auto"/>
            </w:tcBorders>
            <w:shd w:val="pct10" w:color="auto" w:fill="auto"/>
            <w:vAlign w:val="center"/>
          </w:tcPr>
          <w:p w:rsidR="008A185A" w:rsidRPr="00AE259B" w:rsidRDefault="008A185A" w:rsidP="008A185A">
            <w:pPr>
              <w:pStyle w:val="Tablecopy"/>
              <w:spacing w:line="240" w:lineRule="auto"/>
              <w:ind w:right="86"/>
              <w:jc w:val="right"/>
              <w:rPr>
                <w:rFonts w:ascii="Arial" w:hAnsi="Arial" w:cs="Arial"/>
              </w:rPr>
            </w:pPr>
            <w:r w:rsidRPr="00AE259B">
              <w:rPr>
                <w:rFonts w:ascii="Arial" w:hAnsi="Arial" w:cs="Arial"/>
              </w:rPr>
              <w:t>1</w:t>
            </w:r>
          </w:p>
        </w:tc>
        <w:tc>
          <w:tcPr>
            <w:tcW w:w="221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rPr>
          <w:trHeight w:val="311"/>
        </w:trPr>
        <w:tc>
          <w:tcPr>
            <w:tcW w:w="311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$40,000 – 49,999</w:t>
            </w:r>
          </w:p>
        </w:tc>
        <w:tc>
          <w:tcPr>
            <w:tcW w:w="2212" w:type="dxa"/>
            <w:tcBorders>
              <w:top w:val="single" w:sz="2" w:space="0" w:color="auto"/>
              <w:left w:val="single" w:sz="2" w:space="0" w:color="auto"/>
              <w:bottom w:val="single" w:sz="2" w:space="0" w:color="auto"/>
              <w:right w:val="single" w:sz="2" w:space="0" w:color="auto"/>
            </w:tcBorders>
            <w:shd w:val="pct10" w:color="auto" w:fill="auto"/>
            <w:vAlign w:val="center"/>
          </w:tcPr>
          <w:p w:rsidR="008A185A" w:rsidRPr="00AE259B" w:rsidRDefault="008A185A" w:rsidP="008A185A">
            <w:pPr>
              <w:pStyle w:val="Tablecopy"/>
              <w:spacing w:line="240" w:lineRule="auto"/>
              <w:ind w:right="86"/>
              <w:jc w:val="right"/>
              <w:rPr>
                <w:rFonts w:ascii="Arial" w:hAnsi="Arial" w:cs="Arial"/>
              </w:rPr>
            </w:pPr>
            <w:r w:rsidRPr="00AE259B">
              <w:rPr>
                <w:rFonts w:ascii="Arial" w:hAnsi="Arial" w:cs="Arial"/>
              </w:rPr>
              <w:t>3</w:t>
            </w:r>
          </w:p>
        </w:tc>
        <w:tc>
          <w:tcPr>
            <w:tcW w:w="221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rPr>
          <w:trHeight w:val="311"/>
        </w:trPr>
        <w:tc>
          <w:tcPr>
            <w:tcW w:w="311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$230,000 – 239,999</w:t>
            </w:r>
          </w:p>
        </w:tc>
        <w:tc>
          <w:tcPr>
            <w:tcW w:w="2212" w:type="dxa"/>
            <w:tcBorders>
              <w:top w:val="single" w:sz="2" w:space="0" w:color="auto"/>
              <w:left w:val="single" w:sz="2" w:space="0" w:color="auto"/>
              <w:bottom w:val="single" w:sz="2" w:space="0" w:color="auto"/>
              <w:right w:val="single" w:sz="2" w:space="0" w:color="auto"/>
            </w:tcBorders>
            <w:shd w:val="pct10" w:color="auto" w:fill="auto"/>
            <w:vAlign w:val="center"/>
          </w:tcPr>
          <w:p w:rsidR="008A185A" w:rsidRPr="00AE259B" w:rsidRDefault="008A185A" w:rsidP="008A185A">
            <w:pPr>
              <w:pStyle w:val="Tablecopy"/>
              <w:spacing w:line="240" w:lineRule="auto"/>
              <w:ind w:right="86"/>
              <w:jc w:val="right"/>
              <w:rPr>
                <w:rFonts w:ascii="Arial" w:hAnsi="Arial" w:cs="Arial"/>
              </w:rPr>
            </w:pPr>
            <w:r w:rsidRPr="00AE259B">
              <w:rPr>
                <w:rFonts w:ascii="Arial" w:hAnsi="Arial" w:cs="Arial"/>
              </w:rPr>
              <w:t>-</w:t>
            </w:r>
          </w:p>
        </w:tc>
        <w:tc>
          <w:tcPr>
            <w:tcW w:w="221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w:t>
            </w:r>
          </w:p>
        </w:tc>
      </w:tr>
      <w:tr w:rsidR="008A185A" w:rsidRPr="00AE259B" w:rsidTr="008A185A">
        <w:trPr>
          <w:trHeight w:val="311"/>
        </w:trPr>
        <w:tc>
          <w:tcPr>
            <w:tcW w:w="311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$440,000 – 449,999</w:t>
            </w:r>
          </w:p>
        </w:tc>
        <w:tc>
          <w:tcPr>
            <w:tcW w:w="2212" w:type="dxa"/>
            <w:tcBorders>
              <w:top w:val="single" w:sz="2" w:space="0" w:color="auto"/>
              <w:left w:val="single" w:sz="2" w:space="0" w:color="auto"/>
              <w:bottom w:val="single" w:sz="2" w:space="0" w:color="auto"/>
              <w:right w:val="single" w:sz="2" w:space="0" w:color="auto"/>
            </w:tcBorders>
            <w:shd w:val="pct10" w:color="auto" w:fill="auto"/>
            <w:vAlign w:val="center"/>
          </w:tcPr>
          <w:p w:rsidR="008A185A" w:rsidRPr="00AE259B" w:rsidRDefault="008A185A" w:rsidP="008A185A">
            <w:pPr>
              <w:pStyle w:val="Tablecopy"/>
              <w:spacing w:line="240" w:lineRule="auto"/>
              <w:ind w:right="86"/>
              <w:jc w:val="right"/>
              <w:rPr>
                <w:rFonts w:ascii="Arial" w:hAnsi="Arial" w:cs="Arial"/>
              </w:rPr>
            </w:pPr>
            <w:r w:rsidRPr="00AE259B">
              <w:rPr>
                <w:rFonts w:ascii="Arial" w:hAnsi="Arial" w:cs="Arial"/>
              </w:rPr>
              <w:t>1</w:t>
            </w:r>
          </w:p>
        </w:tc>
        <w:tc>
          <w:tcPr>
            <w:tcW w:w="221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rPr>
          <w:trHeight w:val="311"/>
        </w:trPr>
        <w:tc>
          <w:tcPr>
            <w:tcW w:w="311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numbers</w:t>
            </w:r>
          </w:p>
        </w:tc>
        <w:tc>
          <w:tcPr>
            <w:tcW w:w="2212" w:type="dxa"/>
            <w:tcBorders>
              <w:top w:val="single" w:sz="2" w:space="0" w:color="auto"/>
              <w:left w:val="single" w:sz="2" w:space="0" w:color="auto"/>
              <w:bottom w:val="single" w:sz="2" w:space="0" w:color="auto"/>
              <w:right w:val="single" w:sz="2" w:space="0" w:color="auto"/>
            </w:tcBorders>
            <w:shd w:val="pct10" w:color="auto" w:fill="auto"/>
            <w:vAlign w:val="center"/>
          </w:tcPr>
          <w:p w:rsidR="008A185A" w:rsidRPr="00AE259B" w:rsidRDefault="008A185A" w:rsidP="008A185A">
            <w:pPr>
              <w:pStyle w:val="Tablecopy"/>
              <w:spacing w:line="240" w:lineRule="auto"/>
              <w:ind w:right="86"/>
              <w:jc w:val="right"/>
              <w:rPr>
                <w:rFonts w:ascii="Arial" w:hAnsi="Arial" w:cs="Arial"/>
                <w:b/>
              </w:rPr>
            </w:pPr>
            <w:r w:rsidRPr="00AE259B">
              <w:rPr>
                <w:rFonts w:ascii="Arial" w:hAnsi="Arial" w:cs="Arial"/>
                <w:b/>
              </w:rPr>
              <w:t>5</w:t>
            </w:r>
          </w:p>
        </w:tc>
        <w:tc>
          <w:tcPr>
            <w:tcW w:w="221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3</w:t>
            </w:r>
          </w:p>
        </w:tc>
      </w:tr>
      <w:tr w:rsidR="008A185A" w:rsidRPr="00AE259B" w:rsidTr="008A185A">
        <w:trPr>
          <w:trHeight w:val="311"/>
        </w:trPr>
        <w:tc>
          <w:tcPr>
            <w:tcW w:w="3119"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amount</w:t>
            </w:r>
          </w:p>
        </w:tc>
        <w:tc>
          <w:tcPr>
            <w:tcW w:w="2212" w:type="dxa"/>
            <w:tcBorders>
              <w:top w:val="single" w:sz="2" w:space="0" w:color="auto"/>
              <w:left w:val="single" w:sz="2" w:space="0" w:color="auto"/>
              <w:bottom w:val="single" w:sz="2" w:space="0" w:color="auto"/>
              <w:right w:val="single" w:sz="2" w:space="0" w:color="auto"/>
            </w:tcBorders>
            <w:shd w:val="pct10" w:color="auto" w:fill="auto"/>
            <w:vAlign w:val="center"/>
          </w:tcPr>
          <w:p w:rsidR="008A185A" w:rsidRPr="00AE259B" w:rsidRDefault="008A185A" w:rsidP="008A185A">
            <w:pPr>
              <w:pStyle w:val="Tablecopy"/>
              <w:spacing w:line="240" w:lineRule="auto"/>
              <w:ind w:right="86"/>
              <w:jc w:val="right"/>
              <w:rPr>
                <w:rFonts w:ascii="Arial" w:hAnsi="Arial" w:cs="Arial"/>
                <w:b/>
              </w:rPr>
            </w:pPr>
            <w:r w:rsidRPr="00AE259B">
              <w:rPr>
                <w:rFonts w:ascii="Arial" w:hAnsi="Arial" w:cs="Arial"/>
                <w:b/>
              </w:rPr>
              <w:t>$628,205</w:t>
            </w:r>
          </w:p>
        </w:tc>
        <w:tc>
          <w:tcPr>
            <w:tcW w:w="2212" w:type="dxa"/>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$292,886 </w:t>
            </w:r>
          </w:p>
        </w:tc>
      </w:tr>
      <w:tr w:rsidR="008A185A" w:rsidRPr="00AE259B" w:rsidTr="008A185A">
        <w:trPr>
          <w:trHeight w:val="311"/>
        </w:trPr>
        <w:tc>
          <w:tcPr>
            <w:tcW w:w="7543" w:type="dxa"/>
            <w:gridSpan w:val="3"/>
            <w:tcBorders>
              <w:top w:val="single" w:sz="2" w:space="0" w:color="auto"/>
              <w:left w:val="single" w:sz="2" w:space="0" w:color="auto"/>
              <w:bottom w:val="single" w:sz="2" w:space="0" w:color="auto"/>
              <w:right w:val="single" w:sz="2"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Comparative period for 2012 was from 15 December 2011 to 30 June 2012.</w:t>
            </w:r>
          </w:p>
        </w:tc>
      </w:tr>
    </w:tbl>
    <w:p w:rsidR="002E75AC" w:rsidRPr="00AD22A8" w:rsidRDefault="002E75AC">
      <w:pPr>
        <w:rPr>
          <w:rFonts w:ascii="Arial" w:hAnsi="Arial" w:cs="Arial"/>
          <w:b/>
          <w:bCs/>
          <w:color w:val="4F81BD"/>
        </w:rPr>
      </w:pPr>
      <w:bookmarkStart w:id="265" w:name="_Toc337537733"/>
    </w:p>
    <w:p w:rsidR="008A185A" w:rsidRPr="00AE259B" w:rsidRDefault="008A185A" w:rsidP="002E75AC">
      <w:pPr>
        <w:pStyle w:val="Heading20"/>
      </w:pPr>
      <w:r w:rsidRPr="00AE259B">
        <w:t>Other transactions</w:t>
      </w:r>
      <w:bookmarkEnd w:id="265"/>
    </w:p>
    <w:p w:rsidR="002E75AC" w:rsidRDefault="008A185A" w:rsidP="008A185A">
      <w:pPr>
        <w:rPr>
          <w:rFonts w:ascii="Arial" w:hAnsi="Arial" w:cs="Arial"/>
        </w:rPr>
      </w:pPr>
      <w:r w:rsidRPr="00AE259B">
        <w:rPr>
          <w:rFonts w:ascii="Arial" w:hAnsi="Arial" w:cs="Arial"/>
        </w:rPr>
        <w:t>Other related transactions and loans requiring disclosure under the Directions of the Minister for Finance have been considered and there are no matters to report.</w:t>
      </w:r>
    </w:p>
    <w:p w:rsidR="002E75AC" w:rsidRDefault="002E75AC">
      <w:pPr>
        <w:rPr>
          <w:rFonts w:ascii="Arial" w:hAnsi="Arial" w:cs="Arial"/>
        </w:rPr>
      </w:pPr>
      <w:r>
        <w:rPr>
          <w:rFonts w:ascii="Arial" w:hAnsi="Arial" w:cs="Arial"/>
        </w:rPr>
        <w:br w:type="page"/>
      </w:r>
    </w:p>
    <w:p w:rsidR="008A185A" w:rsidRPr="00AE259B" w:rsidRDefault="008A185A" w:rsidP="008A185A">
      <w:pPr>
        <w:rPr>
          <w:rFonts w:ascii="Arial" w:hAnsi="Arial" w:cs="Arial"/>
        </w:rPr>
      </w:pPr>
    </w:p>
    <w:p w:rsidR="008A185A" w:rsidRPr="00AE259B" w:rsidRDefault="008A185A" w:rsidP="006B7F1A">
      <w:pPr>
        <w:pStyle w:val="Heading10"/>
        <w:outlineLvl w:val="0"/>
      </w:pPr>
      <w:bookmarkStart w:id="266" w:name="_Note_25._Remuneration"/>
      <w:bookmarkStart w:id="267" w:name="_Toc337471057"/>
      <w:bookmarkStart w:id="268" w:name="_Toc337537823"/>
      <w:bookmarkStart w:id="269" w:name="_Toc337539749"/>
      <w:bookmarkStart w:id="270" w:name="_Toc337707166"/>
      <w:bookmarkStart w:id="271" w:name="_Toc337711274"/>
      <w:bookmarkStart w:id="272" w:name="_Toc366672111"/>
      <w:bookmarkEnd w:id="266"/>
      <w:r w:rsidRPr="00AE259B">
        <w:t>Note 20. Remuneration of executives</w:t>
      </w:r>
      <w:bookmarkEnd w:id="267"/>
      <w:bookmarkEnd w:id="268"/>
      <w:bookmarkEnd w:id="269"/>
      <w:bookmarkEnd w:id="270"/>
      <w:bookmarkEnd w:id="271"/>
      <w:r w:rsidRPr="00AE259B">
        <w:t xml:space="preserve"> and payments to other personnel (i.e. contractors with significant management responsibilities)</w:t>
      </w:r>
      <w:bookmarkEnd w:id="272"/>
    </w:p>
    <w:p w:rsidR="002E75AC" w:rsidRDefault="002E75AC" w:rsidP="008A185A">
      <w:pPr>
        <w:rPr>
          <w:rFonts w:ascii="Arial" w:hAnsi="Arial" w:cs="Arial"/>
          <w:b/>
        </w:rPr>
      </w:pPr>
    </w:p>
    <w:p w:rsidR="008A185A" w:rsidRPr="00AE259B" w:rsidRDefault="008A185A" w:rsidP="002E75AC">
      <w:pPr>
        <w:pStyle w:val="Heading20"/>
      </w:pPr>
      <w:r w:rsidRPr="00AE259B">
        <w:t>(a) Remuneration of executives</w:t>
      </w:r>
    </w:p>
    <w:p w:rsidR="008A185A" w:rsidRDefault="008A185A" w:rsidP="008A185A">
      <w:pPr>
        <w:rPr>
          <w:rFonts w:ascii="Arial" w:hAnsi="Arial" w:cs="Arial"/>
        </w:rPr>
      </w:pPr>
      <w:r w:rsidRPr="00AE259B">
        <w:rPr>
          <w:rFonts w:ascii="Arial" w:hAnsi="Arial" w:cs="Arial"/>
        </w:rPr>
        <w:t>The numbers of executive officers (other than Minister, Directors of the Board and the accountable officer) and their total remuneration during the reporting period are shown in the first two columns in the table below in their relevant income bands. The base remuneration of executive officers is shown in the third and fourth columns. Base remuneration is exclusive of bonus payments, long service leave payments, redundancy payments and retirement benefits.</w:t>
      </w:r>
    </w:p>
    <w:p w:rsidR="002E75AC" w:rsidRPr="00AE259B" w:rsidRDefault="002E75AC" w:rsidP="008A185A">
      <w:pPr>
        <w:rPr>
          <w:rFonts w:ascii="Arial" w:hAnsi="Arial" w:cs="Arial"/>
        </w:rPr>
      </w:pPr>
    </w:p>
    <w:p w:rsidR="008A185A" w:rsidRDefault="008A185A" w:rsidP="008A185A">
      <w:pPr>
        <w:rPr>
          <w:rFonts w:ascii="Arial" w:hAnsi="Arial" w:cs="Arial"/>
        </w:rPr>
      </w:pPr>
      <w:r w:rsidRPr="00AE259B">
        <w:rPr>
          <w:rFonts w:ascii="Arial" w:hAnsi="Arial" w:cs="Arial"/>
        </w:rPr>
        <w:t>Several factors have affected total remuneration payable to executives over the year. A number of employment contracts were completed during the year and renegotiated and a number of executives received bonus payments during the year. These bonus payments depend on the terms of individual employment contracts.</w:t>
      </w:r>
    </w:p>
    <w:p w:rsidR="002E75AC" w:rsidRPr="00AE259B" w:rsidRDefault="002E75AC" w:rsidP="008A185A">
      <w:pPr>
        <w:rPr>
          <w:rFonts w:ascii="Arial" w:hAnsi="Arial" w:cs="Arial"/>
        </w:rPr>
      </w:pPr>
    </w:p>
    <w:p w:rsidR="008A185A" w:rsidRDefault="008A185A" w:rsidP="008A185A">
      <w:pPr>
        <w:rPr>
          <w:rFonts w:ascii="Arial" w:hAnsi="Arial" w:cs="Arial"/>
        </w:rPr>
      </w:pPr>
      <w:r w:rsidRPr="00AE259B">
        <w:rPr>
          <w:rFonts w:ascii="Arial" w:hAnsi="Arial" w:cs="Arial"/>
        </w:rPr>
        <w:t>The table below shows remuneration details for the executive officers of PTV:</w:t>
      </w:r>
    </w:p>
    <w:p w:rsidR="002E75AC" w:rsidRPr="00AE259B" w:rsidRDefault="002E75AC" w:rsidP="008A185A">
      <w:pPr>
        <w:rPr>
          <w:rFonts w:ascii="Arial" w:hAnsi="Arial" w:cs="Arial"/>
        </w:rPr>
      </w:pPr>
    </w:p>
    <w:tbl>
      <w:tblPr>
        <w:tblW w:w="0" w:type="auto"/>
        <w:tblInd w:w="113" w:type="dxa"/>
        <w:tblLayout w:type="fixed"/>
        <w:tblCellMar>
          <w:left w:w="0" w:type="dxa"/>
          <w:right w:w="0" w:type="dxa"/>
        </w:tblCellMar>
        <w:tblLook w:val="0000" w:firstRow="0" w:lastRow="0" w:firstColumn="0" w:lastColumn="0" w:noHBand="0" w:noVBand="0"/>
      </w:tblPr>
      <w:tblGrid>
        <w:gridCol w:w="3969"/>
        <w:gridCol w:w="1198"/>
        <w:gridCol w:w="1199"/>
        <w:gridCol w:w="1228"/>
        <w:gridCol w:w="1199"/>
      </w:tblGrid>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Heading"/>
              <w:spacing w:before="0" w:after="0" w:line="240" w:lineRule="auto"/>
              <w:rPr>
                <w:rFonts w:ascii="Arial" w:hAnsi="Arial" w:cs="Arial"/>
              </w:rPr>
            </w:pPr>
          </w:p>
        </w:tc>
        <w:tc>
          <w:tcPr>
            <w:tcW w:w="2397"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Total remuneration</w:t>
            </w:r>
          </w:p>
        </w:tc>
        <w:tc>
          <w:tcPr>
            <w:tcW w:w="2427"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Base remuneration</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jc w:val="left"/>
              <w:rPr>
                <w:rFonts w:ascii="Arial" w:hAnsi="Arial" w:cs="Arial"/>
              </w:rPr>
            </w:pPr>
            <w:r w:rsidRPr="00AE259B">
              <w:rPr>
                <w:rFonts w:ascii="Arial" w:hAnsi="Arial" w:cs="Arial"/>
              </w:rPr>
              <w:t>Income band</w:t>
            </w:r>
          </w:p>
        </w:tc>
        <w:tc>
          <w:tcPr>
            <w:tcW w:w="1198"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No.</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2012*</w:t>
            </w:r>
            <w:r w:rsidRPr="00AE259B">
              <w:rPr>
                <w:rFonts w:ascii="Arial" w:hAnsi="Arial" w:cs="Arial"/>
              </w:rPr>
              <w:br/>
              <w:t>No.</w:t>
            </w:r>
          </w:p>
        </w:tc>
        <w:tc>
          <w:tcPr>
            <w:tcW w:w="1228"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2013</w:t>
            </w:r>
            <w:r w:rsidRPr="00AE259B">
              <w:rPr>
                <w:rFonts w:ascii="Arial" w:hAnsi="Arial" w:cs="Arial"/>
              </w:rPr>
              <w:br/>
              <w:t>No.</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2012*</w:t>
            </w:r>
            <w:r w:rsidRPr="00AE259B">
              <w:rPr>
                <w:rFonts w:ascii="Arial" w:hAnsi="Arial" w:cs="Arial"/>
              </w:rPr>
              <w:br/>
              <w:t>No.</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Less than $100,000</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9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17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17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$100,000–109,999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7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$110,000–119,999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$120,000–129,999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$140,000–149,999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$150,000–159,999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$160,000–169,999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$170,000–179,999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$180,000–189,999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$190,000–199,999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3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$210,000–219,999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$220,000–229,999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2</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$230,000–239,999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1</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$240,000–249,999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4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$250,000–259,999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2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$260,000–269,999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$310,000–319,999</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1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numbers*</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39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17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39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17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 xml:space="preserve">Total annualised employee equivalent** </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28.99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4.58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28.99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4.58 </w:t>
            </w:r>
          </w:p>
        </w:tc>
      </w:tr>
      <w:tr w:rsidR="008A185A" w:rsidRPr="00AE259B" w:rsidTr="008A185A">
        <w:tc>
          <w:tcPr>
            <w:tcW w:w="396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amount</w:t>
            </w:r>
          </w:p>
        </w:tc>
        <w:tc>
          <w:tcPr>
            <w:tcW w:w="119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$5,716,027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$788,630 </w:t>
            </w:r>
          </w:p>
        </w:tc>
        <w:tc>
          <w:tcPr>
            <w:tcW w:w="1228" w:type="dxa"/>
            <w:tcBorders>
              <w:top w:val="single" w:sz="6" w:space="0" w:color="auto"/>
              <w:left w:val="single" w:sz="6" w:space="0" w:color="auto"/>
              <w:bottom w:val="single" w:sz="6" w:space="0" w:color="auto"/>
              <w:right w:val="single" w:sz="6" w:space="0" w:color="auto"/>
            </w:tcBorders>
            <w:shd w:val="pct10"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$5,349,247 </w:t>
            </w:r>
          </w:p>
        </w:tc>
        <w:tc>
          <w:tcPr>
            <w:tcW w:w="1199" w:type="dxa"/>
            <w:tcBorders>
              <w:top w:val="single" w:sz="6" w:space="0" w:color="auto"/>
              <w:left w:val="single" w:sz="6" w:space="0" w:color="auto"/>
              <w:bottom w:val="single" w:sz="6" w:space="0" w:color="auto"/>
              <w:right w:val="single" w:sz="6" w:space="0" w:color="auto"/>
            </w:tcBorders>
            <w:shd w:val="clear" w:color="auto" w:fill="auto"/>
            <w:tcMar>
              <w:top w:w="0" w:type="dxa"/>
              <w:left w:w="113" w:type="dxa"/>
              <w:bottom w:w="0" w:type="dxa"/>
              <w:right w:w="113"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$788,630 </w:t>
            </w:r>
          </w:p>
        </w:tc>
      </w:tr>
      <w:tr w:rsidR="008A185A" w:rsidRPr="00AE259B" w:rsidTr="008A185A">
        <w:tc>
          <w:tcPr>
            <w:tcW w:w="8793" w:type="dxa"/>
            <w:gridSpan w:val="5"/>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 Comparative period for 2012 was from 15 December 2011 to 30 June 2012.</w:t>
            </w:r>
            <w:r w:rsidRPr="00AE259B">
              <w:rPr>
                <w:rFonts w:ascii="Arial" w:hAnsi="Arial" w:cs="Arial"/>
              </w:rPr>
              <w:br/>
              <w:t>**The annualised employee equivalent of 2012 is based on 14 weeks PTV employment (2 April to 30 June 2012).</w:t>
            </w:r>
          </w:p>
        </w:tc>
      </w:tr>
    </w:tbl>
    <w:p w:rsidR="005D01F2" w:rsidRDefault="005D01F2" w:rsidP="008A185A">
      <w:pPr>
        <w:rPr>
          <w:rFonts w:ascii="Arial" w:hAnsi="Arial" w:cs="Arial"/>
        </w:rPr>
      </w:pPr>
    </w:p>
    <w:p w:rsidR="005D01F2" w:rsidRDefault="005D01F2">
      <w:pPr>
        <w:rPr>
          <w:rFonts w:ascii="Arial" w:hAnsi="Arial" w:cs="Arial"/>
        </w:rPr>
      </w:pPr>
      <w:r>
        <w:rPr>
          <w:rFonts w:ascii="Arial" w:hAnsi="Arial" w:cs="Arial"/>
        </w:rPr>
        <w:br w:type="page"/>
      </w:r>
    </w:p>
    <w:p w:rsidR="008A185A" w:rsidRDefault="008A185A" w:rsidP="008A185A">
      <w:pPr>
        <w:rPr>
          <w:rFonts w:ascii="Arial" w:hAnsi="Arial" w:cs="Arial"/>
        </w:rPr>
      </w:pPr>
      <w:r w:rsidRPr="00AE259B">
        <w:rPr>
          <w:rFonts w:ascii="Arial" w:hAnsi="Arial" w:cs="Arial"/>
        </w:rPr>
        <w:t>The increase in numbers of executive officers since June 2012 is predominantly due to the conversion of previous 13 Principal Scientists and Engineers and Metlink executive positions into PTV's executive officer positions in alignment with the terms and conditions of the PTV Enterprise Agreement.  Three executive officer positions have also been created in 2012-13 to address PTV's capability needs to deliver on Government objectives for public transport and four executive officer vacancies have been filled.</w:t>
      </w:r>
    </w:p>
    <w:p w:rsidR="002E75AC" w:rsidRPr="00AE259B" w:rsidRDefault="002E75AC" w:rsidP="008A185A">
      <w:pPr>
        <w:rPr>
          <w:rFonts w:ascii="Arial" w:hAnsi="Arial" w:cs="Arial"/>
        </w:rPr>
      </w:pPr>
    </w:p>
    <w:p w:rsidR="008A185A" w:rsidRPr="00AE259B" w:rsidRDefault="008A185A" w:rsidP="002E75AC">
      <w:pPr>
        <w:pStyle w:val="Heading20"/>
      </w:pPr>
      <w:r w:rsidRPr="00AE259B">
        <w:t>(b) Payments to other personnel (i.e. contractors with significant management responsibilities)</w:t>
      </w:r>
    </w:p>
    <w:p w:rsidR="008A185A" w:rsidRDefault="008A185A" w:rsidP="008A185A">
      <w:pPr>
        <w:keepNext/>
        <w:keepLines/>
        <w:rPr>
          <w:rFonts w:ascii="Arial" w:hAnsi="Arial" w:cs="Arial"/>
        </w:rPr>
      </w:pPr>
      <w:r w:rsidRPr="00AE259B">
        <w:rPr>
          <w:rFonts w:ascii="Arial" w:hAnsi="Arial" w:cs="Arial"/>
        </w:rPr>
        <w:t>The following disclosures are made in relation to other personnel of PTV, i.e. contractors charged with significant responsibilities.</w:t>
      </w:r>
    </w:p>
    <w:p w:rsidR="002E75AC" w:rsidRPr="00AE259B" w:rsidRDefault="002E75AC" w:rsidP="008A185A">
      <w:pPr>
        <w:keepNext/>
        <w:keepLines/>
        <w:rPr>
          <w:rFonts w:ascii="Arial" w:hAnsi="Arial" w:cs="Arial"/>
        </w:rPr>
      </w:pPr>
    </w:p>
    <w:p w:rsidR="008A185A" w:rsidRDefault="008A185A" w:rsidP="008A185A">
      <w:pPr>
        <w:keepNext/>
        <w:keepLines/>
        <w:rPr>
          <w:rFonts w:ascii="Arial" w:hAnsi="Arial" w:cs="Arial"/>
        </w:rPr>
      </w:pPr>
      <w:r w:rsidRPr="00AE259B">
        <w:rPr>
          <w:rFonts w:ascii="Arial" w:hAnsi="Arial" w:cs="Arial"/>
        </w:rPr>
        <w:t>Payments have been made to a number of contractors with significant management responsibilities, which are disclosed in the relevant expense band.  These contractors are responsible for planning, directing or controlling, directly or indirectly, PTV's activities.</w:t>
      </w:r>
    </w:p>
    <w:p w:rsidR="002E75AC" w:rsidRPr="00AE259B" w:rsidRDefault="002E75AC" w:rsidP="008A185A">
      <w:pPr>
        <w:keepNext/>
        <w:keepLines/>
        <w:rPr>
          <w:rFonts w:ascii="Arial" w:hAnsi="Arial" w:cs="Arial"/>
        </w:rPr>
      </w:pPr>
    </w:p>
    <w:p w:rsidR="008A185A" w:rsidRDefault="008A185A" w:rsidP="008A185A">
      <w:pPr>
        <w:keepNext/>
        <w:keepLines/>
        <w:rPr>
          <w:rFonts w:ascii="Arial" w:hAnsi="Arial" w:cs="Arial"/>
        </w:rPr>
      </w:pPr>
      <w:r w:rsidRPr="00AE259B">
        <w:rPr>
          <w:rFonts w:ascii="Arial" w:hAnsi="Arial" w:cs="Arial"/>
        </w:rPr>
        <w:t>The change in the total expenses from 2012 to 2013 was mainly driven by a shorter reporting period in 2012.</w:t>
      </w:r>
    </w:p>
    <w:p w:rsidR="002E75AC" w:rsidRPr="00AE259B" w:rsidRDefault="002E75AC" w:rsidP="008A185A">
      <w:pPr>
        <w:keepNext/>
        <w:keepLines/>
        <w:rPr>
          <w:rFonts w:ascii="Arial" w:hAnsi="Arial" w:cs="Arial"/>
        </w:rPr>
      </w:pP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16"/>
        <w:gridCol w:w="1676"/>
        <w:gridCol w:w="1828"/>
      </w:tblGrid>
      <w:tr w:rsidR="008A185A" w:rsidRPr="00AE259B" w:rsidTr="008A185A">
        <w:trPr>
          <w:trHeight w:val="59"/>
        </w:trPr>
        <w:tc>
          <w:tcPr>
            <w:tcW w:w="4416" w:type="dxa"/>
            <w:vMerge w:val="restart"/>
            <w:shd w:val="clear" w:color="auto" w:fill="auto"/>
            <w:tcMar>
              <w:top w:w="57" w:type="dxa"/>
              <w:left w:w="113" w:type="dxa"/>
              <w:bottom w:w="85" w:type="dxa"/>
              <w:right w:w="113" w:type="dxa"/>
            </w:tcMar>
            <w:vAlign w:val="bottom"/>
          </w:tcPr>
          <w:p w:rsidR="008A185A" w:rsidRPr="00AE259B" w:rsidRDefault="008A185A" w:rsidP="008A185A">
            <w:pPr>
              <w:pStyle w:val="TableHeading"/>
              <w:keepNext/>
              <w:keepLines/>
              <w:spacing w:before="0" w:after="0" w:line="240" w:lineRule="auto"/>
              <w:jc w:val="left"/>
              <w:rPr>
                <w:rFonts w:ascii="Arial" w:hAnsi="Arial" w:cs="Arial"/>
              </w:rPr>
            </w:pPr>
            <w:r w:rsidRPr="00AE259B">
              <w:rPr>
                <w:rFonts w:ascii="Arial" w:hAnsi="Arial" w:cs="Arial"/>
              </w:rPr>
              <w:t>Expense Band</w:t>
            </w:r>
          </w:p>
        </w:tc>
        <w:tc>
          <w:tcPr>
            <w:tcW w:w="3504" w:type="dxa"/>
            <w:gridSpan w:val="2"/>
            <w:shd w:val="clear" w:color="auto" w:fill="auto"/>
            <w:tcMar>
              <w:top w:w="57" w:type="dxa"/>
              <w:left w:w="113" w:type="dxa"/>
              <w:bottom w:w="85" w:type="dxa"/>
              <w:right w:w="113" w:type="dxa"/>
            </w:tcMar>
            <w:vAlign w:val="bottom"/>
          </w:tcPr>
          <w:p w:rsidR="008A185A" w:rsidRPr="00AE259B" w:rsidRDefault="008A185A" w:rsidP="008A185A">
            <w:pPr>
              <w:pStyle w:val="TableHeading"/>
              <w:keepNext/>
              <w:keepLines/>
              <w:spacing w:before="0" w:after="0" w:line="240" w:lineRule="auto"/>
              <w:jc w:val="center"/>
              <w:rPr>
                <w:rFonts w:ascii="Arial" w:hAnsi="Arial" w:cs="Arial"/>
              </w:rPr>
            </w:pPr>
            <w:r w:rsidRPr="00AE259B">
              <w:rPr>
                <w:rFonts w:ascii="Arial" w:hAnsi="Arial" w:cs="Arial"/>
              </w:rPr>
              <w:t>Total expense (exclusive of GST)</w:t>
            </w:r>
          </w:p>
        </w:tc>
      </w:tr>
      <w:tr w:rsidR="008A185A" w:rsidRPr="00AE259B" w:rsidTr="008A185A">
        <w:trPr>
          <w:trHeight w:val="59"/>
        </w:trPr>
        <w:tc>
          <w:tcPr>
            <w:tcW w:w="4416" w:type="dxa"/>
            <w:vMerge/>
            <w:shd w:val="clear" w:color="auto" w:fill="auto"/>
          </w:tcPr>
          <w:p w:rsidR="008A185A" w:rsidRPr="00AE259B" w:rsidRDefault="008A185A" w:rsidP="008A185A">
            <w:pPr>
              <w:keepNext/>
              <w:keepLines/>
              <w:rPr>
                <w:rFonts w:ascii="Arial" w:hAnsi="Arial" w:cs="Arial"/>
              </w:rPr>
            </w:pPr>
          </w:p>
        </w:tc>
        <w:tc>
          <w:tcPr>
            <w:tcW w:w="1676" w:type="dxa"/>
            <w:tcBorders>
              <w:bottom w:val="single" w:sz="6" w:space="0" w:color="auto"/>
            </w:tcBorders>
            <w:shd w:val="clear" w:color="auto" w:fill="auto"/>
            <w:tcMar>
              <w:top w:w="57" w:type="dxa"/>
              <w:left w:w="113" w:type="dxa"/>
              <w:bottom w:w="85" w:type="dxa"/>
              <w:right w:w="113" w:type="dxa"/>
            </w:tcMar>
            <w:vAlign w:val="bottom"/>
          </w:tcPr>
          <w:p w:rsidR="008A185A" w:rsidRPr="00AE259B" w:rsidRDefault="008A185A" w:rsidP="008A185A">
            <w:pPr>
              <w:pStyle w:val="TableHeading"/>
              <w:keepNext/>
              <w:keepLines/>
              <w:spacing w:before="0" w:after="0" w:line="240" w:lineRule="auto"/>
              <w:rPr>
                <w:rFonts w:ascii="Arial" w:hAnsi="Arial" w:cs="Arial"/>
              </w:rPr>
            </w:pPr>
            <w:r w:rsidRPr="00AE259B">
              <w:rPr>
                <w:rFonts w:ascii="Arial" w:hAnsi="Arial" w:cs="Arial"/>
              </w:rPr>
              <w:t>2013</w:t>
            </w:r>
            <w:r w:rsidRPr="00AE259B">
              <w:rPr>
                <w:rFonts w:ascii="Arial" w:hAnsi="Arial" w:cs="Arial"/>
              </w:rPr>
              <w:br/>
              <w:t>No.</w:t>
            </w:r>
          </w:p>
        </w:tc>
        <w:tc>
          <w:tcPr>
            <w:tcW w:w="1828" w:type="dxa"/>
            <w:shd w:val="clear" w:color="auto" w:fill="auto"/>
            <w:tcMar>
              <w:top w:w="57" w:type="dxa"/>
              <w:left w:w="113" w:type="dxa"/>
              <w:bottom w:w="85" w:type="dxa"/>
              <w:right w:w="113" w:type="dxa"/>
            </w:tcMar>
            <w:vAlign w:val="bottom"/>
          </w:tcPr>
          <w:p w:rsidR="008A185A" w:rsidRPr="00AE259B" w:rsidRDefault="008A185A" w:rsidP="008A185A">
            <w:pPr>
              <w:pStyle w:val="TableHeading"/>
              <w:keepNext/>
              <w:keepLines/>
              <w:spacing w:before="0" w:after="0" w:line="240" w:lineRule="auto"/>
              <w:rPr>
                <w:rFonts w:ascii="Arial" w:hAnsi="Arial" w:cs="Arial"/>
              </w:rPr>
            </w:pPr>
            <w:r w:rsidRPr="00AE259B">
              <w:rPr>
                <w:rFonts w:ascii="Arial" w:hAnsi="Arial" w:cs="Arial"/>
              </w:rPr>
              <w:t>2012*</w:t>
            </w:r>
            <w:r w:rsidRPr="00AE259B">
              <w:rPr>
                <w:rFonts w:ascii="Arial" w:hAnsi="Arial" w:cs="Arial"/>
              </w:rPr>
              <w:br/>
              <w:t>No.</w:t>
            </w:r>
          </w:p>
        </w:tc>
      </w:tr>
      <w:tr w:rsidR="008A185A" w:rsidRPr="00AE259B" w:rsidTr="008A185A">
        <w:trPr>
          <w:trHeight w:hRule="exact" w:val="301"/>
        </w:trPr>
        <w:tc>
          <w:tcPr>
            <w:tcW w:w="4416"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rPr>
                <w:rFonts w:ascii="Arial" w:hAnsi="Arial" w:cs="Arial"/>
              </w:rPr>
            </w:pPr>
            <w:r w:rsidRPr="00AE259B">
              <w:rPr>
                <w:rFonts w:ascii="Arial" w:hAnsi="Arial" w:cs="Arial"/>
              </w:rPr>
              <w:t>Less than $100,000</w:t>
            </w:r>
          </w:p>
        </w:tc>
        <w:tc>
          <w:tcPr>
            <w:tcW w:w="1676" w:type="dxa"/>
            <w:shd w:val="pct10"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w:t>
            </w:r>
          </w:p>
        </w:tc>
        <w:tc>
          <w:tcPr>
            <w:tcW w:w="1828"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1</w:t>
            </w:r>
          </w:p>
        </w:tc>
      </w:tr>
      <w:tr w:rsidR="008A185A" w:rsidRPr="00AE259B" w:rsidTr="008A185A">
        <w:trPr>
          <w:trHeight w:hRule="exact" w:val="306"/>
        </w:trPr>
        <w:tc>
          <w:tcPr>
            <w:tcW w:w="4416"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rPr>
                <w:rFonts w:ascii="Arial" w:hAnsi="Arial" w:cs="Arial"/>
              </w:rPr>
            </w:pPr>
            <w:r w:rsidRPr="00AE259B">
              <w:rPr>
                <w:rFonts w:ascii="Arial" w:hAnsi="Arial" w:cs="Arial"/>
              </w:rPr>
              <w:t>$100,000 – 119,999</w:t>
            </w:r>
          </w:p>
        </w:tc>
        <w:tc>
          <w:tcPr>
            <w:tcW w:w="1676" w:type="dxa"/>
            <w:shd w:val="pct10"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1</w:t>
            </w:r>
          </w:p>
        </w:tc>
        <w:tc>
          <w:tcPr>
            <w:tcW w:w="1828"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w:t>
            </w:r>
          </w:p>
        </w:tc>
      </w:tr>
      <w:tr w:rsidR="008A185A" w:rsidRPr="00AE259B" w:rsidTr="008A185A">
        <w:trPr>
          <w:trHeight w:hRule="exact" w:val="306"/>
        </w:trPr>
        <w:tc>
          <w:tcPr>
            <w:tcW w:w="4416"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rPr>
                <w:rFonts w:ascii="Arial" w:hAnsi="Arial" w:cs="Arial"/>
              </w:rPr>
            </w:pPr>
            <w:r w:rsidRPr="00AE259B">
              <w:rPr>
                <w:rFonts w:ascii="Arial" w:hAnsi="Arial" w:cs="Arial"/>
              </w:rPr>
              <w:t>$140,000 – 149,999</w:t>
            </w:r>
          </w:p>
        </w:tc>
        <w:tc>
          <w:tcPr>
            <w:tcW w:w="1676" w:type="dxa"/>
            <w:shd w:val="pct10"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1</w:t>
            </w:r>
          </w:p>
        </w:tc>
        <w:tc>
          <w:tcPr>
            <w:tcW w:w="1828"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w:t>
            </w:r>
          </w:p>
        </w:tc>
      </w:tr>
      <w:tr w:rsidR="008A185A" w:rsidRPr="00AE259B" w:rsidTr="008A185A">
        <w:trPr>
          <w:trHeight w:hRule="exact" w:val="306"/>
        </w:trPr>
        <w:tc>
          <w:tcPr>
            <w:tcW w:w="4416"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rPr>
                <w:rFonts w:ascii="Arial" w:hAnsi="Arial" w:cs="Arial"/>
              </w:rPr>
            </w:pPr>
            <w:r w:rsidRPr="00AE259B">
              <w:rPr>
                <w:rFonts w:ascii="Arial" w:hAnsi="Arial" w:cs="Arial"/>
              </w:rPr>
              <w:t>$180,000 – 189,999</w:t>
            </w:r>
          </w:p>
        </w:tc>
        <w:tc>
          <w:tcPr>
            <w:tcW w:w="1676" w:type="dxa"/>
            <w:shd w:val="pct10"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1</w:t>
            </w:r>
          </w:p>
        </w:tc>
        <w:tc>
          <w:tcPr>
            <w:tcW w:w="1828"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w:t>
            </w:r>
          </w:p>
        </w:tc>
      </w:tr>
      <w:tr w:rsidR="008A185A" w:rsidRPr="00AE259B" w:rsidTr="008A185A">
        <w:trPr>
          <w:trHeight w:hRule="exact" w:val="306"/>
        </w:trPr>
        <w:tc>
          <w:tcPr>
            <w:tcW w:w="4416"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rPr>
                <w:rFonts w:ascii="Arial" w:hAnsi="Arial" w:cs="Arial"/>
              </w:rPr>
            </w:pPr>
            <w:r w:rsidRPr="00AE259B">
              <w:rPr>
                <w:rFonts w:ascii="Arial" w:hAnsi="Arial" w:cs="Arial"/>
              </w:rPr>
              <w:t>$230,000 – 239,999</w:t>
            </w:r>
          </w:p>
        </w:tc>
        <w:tc>
          <w:tcPr>
            <w:tcW w:w="1676" w:type="dxa"/>
            <w:shd w:val="pct10"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1</w:t>
            </w:r>
          </w:p>
        </w:tc>
        <w:tc>
          <w:tcPr>
            <w:tcW w:w="1828"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rPr>
            </w:pPr>
            <w:r w:rsidRPr="00AE259B">
              <w:rPr>
                <w:rFonts w:ascii="Arial" w:hAnsi="Arial" w:cs="Arial"/>
              </w:rPr>
              <w:t>-</w:t>
            </w:r>
          </w:p>
        </w:tc>
      </w:tr>
      <w:tr w:rsidR="008A185A" w:rsidRPr="00AE259B" w:rsidTr="008A185A">
        <w:trPr>
          <w:trHeight w:hRule="exact" w:val="306"/>
        </w:trPr>
        <w:tc>
          <w:tcPr>
            <w:tcW w:w="4416"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rPr>
                <w:rFonts w:ascii="Arial" w:hAnsi="Arial" w:cs="Arial"/>
                <w:b/>
              </w:rPr>
            </w:pPr>
            <w:r w:rsidRPr="00AE259B">
              <w:rPr>
                <w:rFonts w:ascii="Arial" w:hAnsi="Arial" w:cs="Arial"/>
                <w:b/>
              </w:rPr>
              <w:t>Total numbers</w:t>
            </w:r>
          </w:p>
        </w:tc>
        <w:tc>
          <w:tcPr>
            <w:tcW w:w="1676" w:type="dxa"/>
            <w:shd w:val="pct10"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b/>
              </w:rPr>
            </w:pPr>
            <w:r w:rsidRPr="00AE259B">
              <w:rPr>
                <w:rFonts w:ascii="Arial" w:hAnsi="Arial" w:cs="Arial"/>
                <w:b/>
              </w:rPr>
              <w:t xml:space="preserve"> 4 </w:t>
            </w:r>
          </w:p>
        </w:tc>
        <w:tc>
          <w:tcPr>
            <w:tcW w:w="1828"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b/>
              </w:rPr>
            </w:pPr>
            <w:r w:rsidRPr="00AE259B">
              <w:rPr>
                <w:rFonts w:ascii="Arial" w:hAnsi="Arial" w:cs="Arial"/>
                <w:b/>
              </w:rPr>
              <w:t xml:space="preserve"> 1 </w:t>
            </w:r>
          </w:p>
        </w:tc>
      </w:tr>
      <w:tr w:rsidR="008A185A" w:rsidRPr="00AE259B" w:rsidTr="008A185A">
        <w:trPr>
          <w:trHeight w:hRule="exact" w:val="306"/>
        </w:trPr>
        <w:tc>
          <w:tcPr>
            <w:tcW w:w="4416"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rPr>
                <w:rFonts w:ascii="Arial" w:hAnsi="Arial" w:cs="Arial"/>
                <w:b/>
              </w:rPr>
            </w:pPr>
            <w:r w:rsidRPr="00AE259B">
              <w:rPr>
                <w:rFonts w:ascii="Arial" w:hAnsi="Arial" w:cs="Arial"/>
                <w:b/>
              </w:rPr>
              <w:t>Total expenses (exclusive of GST)</w:t>
            </w:r>
          </w:p>
        </w:tc>
        <w:tc>
          <w:tcPr>
            <w:tcW w:w="1676" w:type="dxa"/>
            <w:shd w:val="pct10"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b/>
              </w:rPr>
            </w:pPr>
            <w:r w:rsidRPr="00AE259B">
              <w:rPr>
                <w:rFonts w:ascii="Arial" w:hAnsi="Arial" w:cs="Arial"/>
                <w:b/>
              </w:rPr>
              <w:t xml:space="preserve"> $682,366</w:t>
            </w:r>
          </w:p>
        </w:tc>
        <w:tc>
          <w:tcPr>
            <w:tcW w:w="1828" w:type="dxa"/>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jc w:val="right"/>
              <w:rPr>
                <w:rFonts w:ascii="Arial" w:hAnsi="Arial" w:cs="Arial"/>
                <w:b/>
              </w:rPr>
            </w:pPr>
            <w:r w:rsidRPr="00AE259B">
              <w:rPr>
                <w:rFonts w:ascii="Arial" w:hAnsi="Arial" w:cs="Arial"/>
                <w:b/>
              </w:rPr>
              <w:t xml:space="preserve"> $75,960</w:t>
            </w:r>
          </w:p>
        </w:tc>
      </w:tr>
      <w:tr w:rsidR="008A185A" w:rsidRPr="00AE259B" w:rsidTr="008A185A">
        <w:trPr>
          <w:trHeight w:hRule="exact" w:val="306"/>
        </w:trPr>
        <w:tc>
          <w:tcPr>
            <w:tcW w:w="7920" w:type="dxa"/>
            <w:gridSpan w:val="3"/>
            <w:shd w:val="clear" w:color="auto" w:fill="auto"/>
            <w:tcMar>
              <w:top w:w="0" w:type="dxa"/>
              <w:left w:w="113" w:type="dxa"/>
              <w:bottom w:w="0" w:type="dxa"/>
              <w:right w:w="113" w:type="dxa"/>
            </w:tcMar>
            <w:vAlign w:val="center"/>
          </w:tcPr>
          <w:p w:rsidR="008A185A" w:rsidRPr="00AE259B" w:rsidRDefault="008A185A" w:rsidP="008A185A">
            <w:pPr>
              <w:pStyle w:val="Tablecopy"/>
              <w:keepNext/>
              <w:keepLines/>
              <w:spacing w:line="240" w:lineRule="auto"/>
              <w:rPr>
                <w:rFonts w:ascii="Arial" w:hAnsi="Arial" w:cs="Arial"/>
              </w:rPr>
            </w:pPr>
            <w:r w:rsidRPr="00AE259B">
              <w:rPr>
                <w:rFonts w:ascii="Arial" w:hAnsi="Arial" w:cs="Arial"/>
              </w:rPr>
              <w:t>* Comparative period for 2012 was from 15 December 2011 to 30 June 2012.</w:t>
            </w:r>
          </w:p>
        </w:tc>
      </w:tr>
    </w:tbl>
    <w:p w:rsidR="005D01F2" w:rsidRDefault="005D01F2" w:rsidP="002E75AC">
      <w:pPr>
        <w:pStyle w:val="Heading10"/>
      </w:pPr>
      <w:bookmarkStart w:id="273" w:name="_Note_26._Remuneration"/>
      <w:bookmarkStart w:id="274" w:name="_Toc337471058"/>
      <w:bookmarkStart w:id="275" w:name="_Toc337537824"/>
      <w:bookmarkStart w:id="276" w:name="_Toc337539750"/>
      <w:bookmarkStart w:id="277" w:name="_Toc337707167"/>
      <w:bookmarkStart w:id="278" w:name="_Toc337711275"/>
      <w:bookmarkEnd w:id="273"/>
    </w:p>
    <w:p w:rsidR="005D01F2" w:rsidRDefault="005D01F2">
      <w:pPr>
        <w:rPr>
          <w:rFonts w:ascii="Arial" w:hAnsi="Arial" w:cs="Arial"/>
          <w:b/>
          <w:sz w:val="36"/>
          <w:szCs w:val="28"/>
        </w:rPr>
      </w:pPr>
      <w:r>
        <w:br w:type="page"/>
      </w:r>
    </w:p>
    <w:p w:rsidR="008A185A" w:rsidRPr="00AE259B" w:rsidRDefault="008A185A" w:rsidP="006B7F1A">
      <w:pPr>
        <w:pStyle w:val="Heading10"/>
        <w:outlineLvl w:val="0"/>
      </w:pPr>
      <w:bookmarkStart w:id="279" w:name="_Toc366672112"/>
      <w:r w:rsidRPr="00AE259B">
        <w:t>Note 21. Remuneration of auditors</w:t>
      </w:r>
      <w:bookmarkEnd w:id="274"/>
      <w:bookmarkEnd w:id="275"/>
      <w:bookmarkEnd w:id="276"/>
      <w:bookmarkEnd w:id="277"/>
      <w:bookmarkEnd w:id="278"/>
      <w:bookmarkEnd w:id="279"/>
    </w:p>
    <w:p w:rsidR="008A185A" w:rsidRPr="00AE259B" w:rsidRDefault="008A185A" w:rsidP="008A185A">
      <w:pPr>
        <w:rPr>
          <w:rFonts w:ascii="Arial" w:hAnsi="Arial" w:cs="Arial"/>
        </w:rPr>
      </w:pPr>
      <w:r w:rsidRPr="00AE259B">
        <w:rPr>
          <w:rFonts w:ascii="Arial" w:hAnsi="Arial" w:cs="Arial"/>
        </w:rPr>
        <w:t>Audit fees paid or payable to the Victorian Auditor-General’s Office for audit of PTV’s financial statements:</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5"/>
        <w:gridCol w:w="1718"/>
        <w:gridCol w:w="1718"/>
        <w:gridCol w:w="1717"/>
      </w:tblGrid>
      <w:tr w:rsidR="008A185A" w:rsidRPr="00AE259B" w:rsidTr="008A185A">
        <w:tc>
          <w:tcPr>
            <w:tcW w:w="2835"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p>
        </w:tc>
        <w:tc>
          <w:tcPr>
            <w:tcW w:w="1718" w:type="dxa"/>
            <w:tcBorders>
              <w:bottom w:val="single" w:sz="6" w:space="0" w:color="auto"/>
            </w:tcBorders>
            <w:vAlign w:val="bottom"/>
          </w:tcPr>
          <w:p w:rsidR="008A185A" w:rsidRPr="00AE259B" w:rsidRDefault="008A185A" w:rsidP="008A185A">
            <w:pPr>
              <w:pStyle w:val="TableHeading"/>
              <w:spacing w:before="0" w:after="0" w:line="240" w:lineRule="auto"/>
              <w:ind w:right="158"/>
              <w:rPr>
                <w:rFonts w:ascii="Arial" w:hAnsi="Arial" w:cs="Arial"/>
              </w:rPr>
            </w:pPr>
            <w:r w:rsidRPr="00AE259B">
              <w:rPr>
                <w:rFonts w:ascii="Arial" w:hAnsi="Arial" w:cs="Arial"/>
              </w:rPr>
              <w:t>2013</w:t>
            </w:r>
            <w:r w:rsidRPr="00AE259B">
              <w:rPr>
                <w:rFonts w:ascii="Arial" w:hAnsi="Arial" w:cs="Arial"/>
              </w:rPr>
              <w:br/>
              <w:t>$’000</w:t>
            </w:r>
          </w:p>
        </w:tc>
        <w:tc>
          <w:tcPr>
            <w:tcW w:w="1718"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Consolidated</w:t>
            </w:r>
            <w:r w:rsidRPr="00AE259B">
              <w:rPr>
                <w:rFonts w:ascii="Arial" w:hAnsi="Arial" w:cs="Arial"/>
              </w:rPr>
              <w:br/>
              <w:t>15.12.2011</w:t>
            </w:r>
            <w:r w:rsidRPr="00AE259B">
              <w:rPr>
                <w:rFonts w:ascii="Arial" w:hAnsi="Arial" w:cs="Arial"/>
              </w:rPr>
              <w:br/>
              <w:t>to 30.6.2012</w:t>
            </w:r>
            <w:r w:rsidRPr="00AE259B">
              <w:rPr>
                <w:rFonts w:ascii="Arial" w:hAnsi="Arial" w:cs="Arial"/>
              </w:rPr>
              <w:br/>
              <w:t>$’000</w:t>
            </w:r>
          </w:p>
        </w:tc>
        <w:tc>
          <w:tcPr>
            <w:tcW w:w="1717" w:type="dxa"/>
            <w:shd w:val="clear" w:color="auto" w:fill="auto"/>
            <w:tcMar>
              <w:top w:w="57" w:type="dxa"/>
              <w:left w:w="113" w:type="dxa"/>
              <w:bottom w:w="85" w:type="dxa"/>
              <w:right w:w="113" w:type="dxa"/>
            </w:tcMar>
            <w:vAlign w:val="bottom"/>
          </w:tcPr>
          <w:p w:rsidR="008A185A" w:rsidRPr="00AE259B" w:rsidRDefault="008A185A" w:rsidP="008A185A">
            <w:pPr>
              <w:pStyle w:val="TableHeading"/>
              <w:spacing w:before="0" w:after="0" w:line="240" w:lineRule="auto"/>
              <w:rPr>
                <w:rFonts w:ascii="Arial" w:hAnsi="Arial" w:cs="Arial"/>
              </w:rPr>
            </w:pPr>
            <w:r w:rsidRPr="00AE259B">
              <w:rPr>
                <w:rFonts w:ascii="Arial" w:hAnsi="Arial" w:cs="Arial"/>
              </w:rPr>
              <w:t>Parent</w:t>
            </w:r>
            <w:r w:rsidRPr="00AE259B">
              <w:rPr>
                <w:rFonts w:ascii="Arial" w:hAnsi="Arial" w:cs="Arial"/>
              </w:rPr>
              <w:br/>
              <w:t>15.12.2011</w:t>
            </w:r>
            <w:r w:rsidRPr="00AE259B">
              <w:rPr>
                <w:rFonts w:ascii="Arial" w:hAnsi="Arial" w:cs="Arial"/>
              </w:rPr>
              <w:br/>
              <w:t>to 30.6.2012</w:t>
            </w:r>
            <w:r w:rsidRPr="00AE259B">
              <w:rPr>
                <w:rFonts w:ascii="Arial" w:hAnsi="Arial" w:cs="Arial"/>
              </w:rPr>
              <w:br/>
              <w:t>$’000</w:t>
            </w:r>
          </w:p>
        </w:tc>
      </w:tr>
      <w:tr w:rsidR="008A185A" w:rsidRPr="00AE259B" w:rsidTr="008A185A">
        <w:tc>
          <w:tcPr>
            <w:tcW w:w="2835" w:type="dxa"/>
            <w:shd w:val="clear" w:color="auto" w:fill="auto"/>
            <w:tcMar>
              <w:top w:w="79" w:type="dxa"/>
              <w:left w:w="113" w:type="dxa"/>
              <w:bottom w:w="79" w:type="dxa"/>
              <w:right w:w="79"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Paid as at 30 June</w:t>
            </w:r>
          </w:p>
        </w:tc>
        <w:tc>
          <w:tcPr>
            <w:tcW w:w="1718" w:type="dxa"/>
            <w:shd w:val="pct10" w:color="auto" w:fill="auto"/>
          </w:tcPr>
          <w:p w:rsidR="008A185A" w:rsidRPr="00AE259B" w:rsidRDefault="008A185A" w:rsidP="008A185A">
            <w:pPr>
              <w:pStyle w:val="Tablecopy"/>
              <w:spacing w:line="240" w:lineRule="auto"/>
              <w:ind w:right="158"/>
              <w:jc w:val="right"/>
              <w:rPr>
                <w:rFonts w:ascii="Arial" w:hAnsi="Arial" w:cs="Arial"/>
              </w:rPr>
            </w:pPr>
            <w:r w:rsidRPr="00AE259B">
              <w:rPr>
                <w:rFonts w:ascii="Arial" w:hAnsi="Arial" w:cs="Arial"/>
              </w:rPr>
              <w:t>82</w:t>
            </w:r>
          </w:p>
        </w:tc>
        <w:tc>
          <w:tcPr>
            <w:tcW w:w="1718" w:type="dxa"/>
            <w:shd w:val="clear" w:color="auto" w:fill="auto"/>
            <w:tcMar>
              <w:top w:w="79" w:type="dxa"/>
              <w:left w:w="113" w:type="dxa"/>
              <w:bottom w:w="79" w:type="dxa"/>
              <w:right w:w="79"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c>
          <w:tcPr>
            <w:tcW w:w="1717" w:type="dxa"/>
            <w:shd w:val="clear" w:color="auto" w:fill="auto"/>
            <w:tcMar>
              <w:top w:w="79" w:type="dxa"/>
              <w:left w:w="113" w:type="dxa"/>
              <w:bottom w:w="79" w:type="dxa"/>
              <w:right w:w="79"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 </w:t>
            </w:r>
          </w:p>
        </w:tc>
      </w:tr>
      <w:tr w:rsidR="008A185A" w:rsidRPr="00AE259B" w:rsidTr="008A185A">
        <w:tc>
          <w:tcPr>
            <w:tcW w:w="2835" w:type="dxa"/>
            <w:shd w:val="clear" w:color="auto" w:fill="auto"/>
            <w:tcMar>
              <w:top w:w="79" w:type="dxa"/>
              <w:left w:w="113" w:type="dxa"/>
              <w:bottom w:w="79" w:type="dxa"/>
              <w:right w:w="79" w:type="dxa"/>
            </w:tcMar>
            <w:vAlign w:val="center"/>
          </w:tcPr>
          <w:p w:rsidR="008A185A" w:rsidRPr="00AE259B" w:rsidRDefault="008A185A" w:rsidP="008A185A">
            <w:pPr>
              <w:pStyle w:val="Tablecopy"/>
              <w:spacing w:line="240" w:lineRule="auto"/>
              <w:rPr>
                <w:rFonts w:ascii="Arial" w:hAnsi="Arial" w:cs="Arial"/>
              </w:rPr>
            </w:pPr>
            <w:r w:rsidRPr="00AE259B">
              <w:rPr>
                <w:rFonts w:ascii="Arial" w:hAnsi="Arial" w:cs="Arial"/>
              </w:rPr>
              <w:t>Payable as at 30 June</w:t>
            </w:r>
          </w:p>
        </w:tc>
        <w:tc>
          <w:tcPr>
            <w:tcW w:w="1718" w:type="dxa"/>
            <w:shd w:val="pct10" w:color="auto" w:fill="auto"/>
          </w:tcPr>
          <w:p w:rsidR="008A185A" w:rsidRPr="00AE259B" w:rsidRDefault="008A185A" w:rsidP="008A185A">
            <w:pPr>
              <w:pStyle w:val="Tablecopy"/>
              <w:spacing w:line="240" w:lineRule="auto"/>
              <w:ind w:right="158"/>
              <w:jc w:val="right"/>
              <w:rPr>
                <w:rFonts w:ascii="Arial" w:hAnsi="Arial" w:cs="Arial"/>
              </w:rPr>
            </w:pPr>
            <w:r w:rsidRPr="00AE259B">
              <w:rPr>
                <w:rFonts w:ascii="Arial" w:hAnsi="Arial" w:cs="Arial"/>
              </w:rPr>
              <w:t>103</w:t>
            </w:r>
          </w:p>
        </w:tc>
        <w:tc>
          <w:tcPr>
            <w:tcW w:w="1718" w:type="dxa"/>
            <w:shd w:val="clear" w:color="auto" w:fill="auto"/>
            <w:tcMar>
              <w:top w:w="79" w:type="dxa"/>
              <w:left w:w="113" w:type="dxa"/>
              <w:bottom w:w="79" w:type="dxa"/>
              <w:right w:w="79"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55 </w:t>
            </w:r>
          </w:p>
        </w:tc>
        <w:tc>
          <w:tcPr>
            <w:tcW w:w="1717" w:type="dxa"/>
            <w:shd w:val="clear" w:color="auto" w:fill="auto"/>
            <w:tcMar>
              <w:top w:w="79" w:type="dxa"/>
              <w:left w:w="113" w:type="dxa"/>
              <w:bottom w:w="79" w:type="dxa"/>
              <w:right w:w="79" w:type="dxa"/>
            </w:tcMar>
            <w:vAlign w:val="center"/>
          </w:tcPr>
          <w:p w:rsidR="008A185A" w:rsidRPr="00AE259B" w:rsidRDefault="008A185A" w:rsidP="008A185A">
            <w:pPr>
              <w:pStyle w:val="Tablecopy"/>
              <w:spacing w:line="240" w:lineRule="auto"/>
              <w:jc w:val="right"/>
              <w:rPr>
                <w:rFonts w:ascii="Arial" w:hAnsi="Arial" w:cs="Arial"/>
              </w:rPr>
            </w:pPr>
            <w:r w:rsidRPr="00AE259B">
              <w:rPr>
                <w:rFonts w:ascii="Arial" w:hAnsi="Arial" w:cs="Arial"/>
              </w:rPr>
              <w:t xml:space="preserve"> 55 </w:t>
            </w:r>
          </w:p>
        </w:tc>
      </w:tr>
      <w:tr w:rsidR="008A185A" w:rsidRPr="00AE259B" w:rsidTr="008A185A">
        <w:tc>
          <w:tcPr>
            <w:tcW w:w="2835" w:type="dxa"/>
            <w:shd w:val="clear" w:color="auto" w:fill="auto"/>
            <w:tcMar>
              <w:top w:w="79" w:type="dxa"/>
              <w:left w:w="113" w:type="dxa"/>
              <w:bottom w:w="79" w:type="dxa"/>
              <w:right w:w="79" w:type="dxa"/>
            </w:tcMar>
            <w:vAlign w:val="center"/>
          </w:tcPr>
          <w:p w:rsidR="008A185A" w:rsidRPr="00AE259B" w:rsidRDefault="008A185A" w:rsidP="008A185A">
            <w:pPr>
              <w:pStyle w:val="Tablecopy"/>
              <w:spacing w:line="240" w:lineRule="auto"/>
              <w:rPr>
                <w:rFonts w:ascii="Arial" w:hAnsi="Arial" w:cs="Arial"/>
                <w:b/>
              </w:rPr>
            </w:pPr>
            <w:r w:rsidRPr="00AE259B">
              <w:rPr>
                <w:rFonts w:ascii="Arial" w:hAnsi="Arial" w:cs="Arial"/>
                <w:b/>
              </w:rPr>
              <w:t>Total remuneration of auditors</w:t>
            </w:r>
          </w:p>
        </w:tc>
        <w:tc>
          <w:tcPr>
            <w:tcW w:w="1718" w:type="dxa"/>
            <w:shd w:val="pct10" w:color="auto" w:fill="auto"/>
          </w:tcPr>
          <w:p w:rsidR="008A185A" w:rsidRPr="00AE259B" w:rsidRDefault="008A185A" w:rsidP="008A185A">
            <w:pPr>
              <w:pStyle w:val="Tablecopy"/>
              <w:spacing w:line="240" w:lineRule="auto"/>
              <w:ind w:right="158"/>
              <w:jc w:val="right"/>
              <w:rPr>
                <w:rFonts w:ascii="Arial" w:hAnsi="Arial" w:cs="Arial"/>
                <w:b/>
              </w:rPr>
            </w:pPr>
            <w:r w:rsidRPr="00AE259B">
              <w:rPr>
                <w:rFonts w:ascii="Arial" w:hAnsi="Arial" w:cs="Arial"/>
                <w:b/>
              </w:rPr>
              <w:t>185</w:t>
            </w:r>
          </w:p>
        </w:tc>
        <w:tc>
          <w:tcPr>
            <w:tcW w:w="1718" w:type="dxa"/>
            <w:shd w:val="clear" w:color="auto" w:fill="auto"/>
            <w:tcMar>
              <w:top w:w="79" w:type="dxa"/>
              <w:left w:w="113" w:type="dxa"/>
              <w:bottom w:w="79" w:type="dxa"/>
              <w:right w:w="79"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55 </w:t>
            </w:r>
          </w:p>
        </w:tc>
        <w:tc>
          <w:tcPr>
            <w:tcW w:w="1717" w:type="dxa"/>
            <w:shd w:val="clear" w:color="auto" w:fill="auto"/>
            <w:tcMar>
              <w:top w:w="79" w:type="dxa"/>
              <w:left w:w="113" w:type="dxa"/>
              <w:bottom w:w="79" w:type="dxa"/>
              <w:right w:w="79" w:type="dxa"/>
            </w:tcMar>
            <w:vAlign w:val="center"/>
          </w:tcPr>
          <w:p w:rsidR="008A185A" w:rsidRPr="00AE259B" w:rsidRDefault="008A185A" w:rsidP="008A185A">
            <w:pPr>
              <w:pStyle w:val="Tablecopy"/>
              <w:spacing w:line="240" w:lineRule="auto"/>
              <w:jc w:val="right"/>
              <w:rPr>
                <w:rFonts w:ascii="Arial" w:hAnsi="Arial" w:cs="Arial"/>
                <w:b/>
              </w:rPr>
            </w:pPr>
            <w:r w:rsidRPr="00AE259B">
              <w:rPr>
                <w:rFonts w:ascii="Arial" w:hAnsi="Arial" w:cs="Arial"/>
                <w:b/>
              </w:rPr>
              <w:t xml:space="preserve"> 55 </w:t>
            </w:r>
          </w:p>
        </w:tc>
      </w:tr>
      <w:tr w:rsidR="008A185A" w:rsidRPr="00AE259B" w:rsidTr="008A185A">
        <w:tc>
          <w:tcPr>
            <w:tcW w:w="7988" w:type="dxa"/>
            <w:gridSpan w:val="4"/>
          </w:tcPr>
          <w:p w:rsidR="008A185A" w:rsidRPr="00AE259B" w:rsidRDefault="008A185A" w:rsidP="008A185A">
            <w:pPr>
              <w:pStyle w:val="Tablecopy"/>
              <w:spacing w:line="240" w:lineRule="auto"/>
              <w:rPr>
                <w:rFonts w:ascii="Arial" w:hAnsi="Arial" w:cs="Arial"/>
              </w:rPr>
            </w:pPr>
            <w:r w:rsidRPr="00AE259B">
              <w:rPr>
                <w:rFonts w:ascii="Arial" w:hAnsi="Arial" w:cs="Arial"/>
              </w:rPr>
              <w:t>The Victorian Auditor-General’s Office has not provided PTV with any other paid services.</w:t>
            </w:r>
          </w:p>
        </w:tc>
      </w:tr>
    </w:tbl>
    <w:p w:rsidR="006B7F1A" w:rsidRDefault="006B7F1A">
      <w:pPr>
        <w:rPr>
          <w:rFonts w:ascii="Arial" w:hAnsi="Arial" w:cs="Arial"/>
          <w:b/>
          <w:sz w:val="36"/>
          <w:szCs w:val="28"/>
        </w:rPr>
      </w:pPr>
      <w:bookmarkStart w:id="280" w:name="_Note_27._Taxi"/>
      <w:bookmarkStart w:id="281" w:name="_Toc337471059"/>
      <w:bookmarkStart w:id="282" w:name="_Toc337537825"/>
      <w:bookmarkStart w:id="283" w:name="_Toc337539751"/>
      <w:bookmarkStart w:id="284" w:name="_Toc337707168"/>
      <w:bookmarkStart w:id="285" w:name="_Toc337711276"/>
      <w:bookmarkEnd w:id="280"/>
    </w:p>
    <w:p w:rsidR="006B7F1A" w:rsidRDefault="006B7F1A">
      <w:pPr>
        <w:rPr>
          <w:rFonts w:ascii="Arial" w:hAnsi="Arial" w:cs="Arial"/>
          <w:b/>
          <w:sz w:val="36"/>
          <w:szCs w:val="28"/>
        </w:rPr>
      </w:pPr>
      <w:r>
        <w:rPr>
          <w:rFonts w:ascii="Arial" w:hAnsi="Arial" w:cs="Arial"/>
          <w:b/>
          <w:sz w:val="36"/>
          <w:szCs w:val="28"/>
        </w:rPr>
        <w:br w:type="page"/>
      </w:r>
    </w:p>
    <w:p w:rsidR="008A185A" w:rsidRPr="00AE259B" w:rsidRDefault="008A185A" w:rsidP="006B7F1A">
      <w:pPr>
        <w:pStyle w:val="Heading10"/>
        <w:outlineLvl w:val="0"/>
      </w:pPr>
      <w:bookmarkStart w:id="286" w:name="_Toc366672113"/>
      <w:r w:rsidRPr="00AE259B">
        <w:t xml:space="preserve">Note 22. </w:t>
      </w:r>
      <w:bookmarkEnd w:id="281"/>
      <w:bookmarkEnd w:id="282"/>
      <w:bookmarkEnd w:id="283"/>
      <w:bookmarkEnd w:id="284"/>
      <w:bookmarkEnd w:id="285"/>
      <w:r w:rsidRPr="00AE259B">
        <w:t>Fare and cardholder funds administration</w:t>
      </w:r>
      <w:bookmarkEnd w:id="286"/>
    </w:p>
    <w:p w:rsidR="008A185A" w:rsidRDefault="008A185A" w:rsidP="008A185A">
      <w:pPr>
        <w:rPr>
          <w:rFonts w:ascii="Arial" w:hAnsi="Arial" w:cs="Arial"/>
        </w:rPr>
      </w:pPr>
      <w:r w:rsidRPr="00AE259B">
        <w:rPr>
          <w:rFonts w:ascii="Arial" w:hAnsi="Arial" w:cs="Arial"/>
        </w:rPr>
        <w:t>On 1 January 2013, the responsibility of administering the collection and distribution of fare receipts captured by both the Metcard and myki ticketing systems was transferred from the Transport Ticketing Authority to PTV.  Under the Revenue Sharing and Transport Services Agreements with DTPLI, PTV is required to distribute fare receipts to DTPLI and the transport operators.  PTV is not responsible for reporting the completeness of public transport revenues.</w:t>
      </w:r>
    </w:p>
    <w:p w:rsidR="005D01F2" w:rsidRPr="00AE259B" w:rsidRDefault="005D01F2" w:rsidP="008A185A">
      <w:pPr>
        <w:rPr>
          <w:rFonts w:ascii="Arial" w:hAnsi="Arial" w:cs="Arial"/>
        </w:rPr>
      </w:pPr>
    </w:p>
    <w:p w:rsidR="008A185A" w:rsidRDefault="008A185A" w:rsidP="008A185A">
      <w:pPr>
        <w:rPr>
          <w:rFonts w:ascii="Arial" w:hAnsi="Arial" w:cs="Arial"/>
        </w:rPr>
      </w:pPr>
      <w:r w:rsidRPr="00AE259B">
        <w:rPr>
          <w:rFonts w:ascii="Arial" w:hAnsi="Arial" w:cs="Arial"/>
        </w:rPr>
        <w:t>PTV receives fare receipts in its capacity as agent for DTPLI and the transport operators to be distributed in accordance with their respective entitlements under the Agreements referred to above.  The cash flows, bank balances and payables associated with these activities are therefore excluded from PTV's accounts as they do not meet economic benefit or control criteria of AAS.  Similarly, myki cardholders funds ('myki money') held in trust are not reported in PTV's financial statements.</w:t>
      </w:r>
    </w:p>
    <w:p w:rsidR="005D01F2" w:rsidRPr="00AE259B" w:rsidRDefault="005D01F2" w:rsidP="008A185A">
      <w:pPr>
        <w:rPr>
          <w:rFonts w:ascii="Arial" w:hAnsi="Arial" w:cs="Arial"/>
        </w:rPr>
      </w:pPr>
    </w:p>
    <w:p w:rsidR="008A185A" w:rsidRDefault="008A185A" w:rsidP="008A185A">
      <w:pPr>
        <w:rPr>
          <w:rFonts w:ascii="Arial" w:hAnsi="Arial" w:cs="Arial"/>
        </w:rPr>
      </w:pPr>
      <w:r w:rsidRPr="00AE259B">
        <w:rPr>
          <w:rFonts w:ascii="Arial" w:hAnsi="Arial" w:cs="Arial"/>
        </w:rPr>
        <w:t>For the six months to 30 June 2013, there was $ 826,158 distributed from the Metcard system and $ 345,304,107 distributed from the myki system to DTPLI and V/Line.</w:t>
      </w:r>
    </w:p>
    <w:p w:rsidR="005D01F2" w:rsidRPr="00AE259B" w:rsidRDefault="005D01F2"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As at 30 June 2013, the following amounts were held in PTV managed bank accounts:</w:t>
      </w:r>
    </w:p>
    <w:p w:rsidR="008A185A" w:rsidRPr="00AE259B" w:rsidRDefault="008A185A" w:rsidP="00A17713">
      <w:pPr>
        <w:widowControl w:val="0"/>
        <w:numPr>
          <w:ilvl w:val="0"/>
          <w:numId w:val="13"/>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for distribution to DTPLI and transport operators</w:t>
      </w:r>
      <w:r w:rsidRPr="00AE259B">
        <w:rPr>
          <w:rFonts w:ascii="Arial" w:hAnsi="Arial" w:cs="Arial"/>
        </w:rPr>
        <w:tab/>
      </w:r>
      <w:r w:rsidRPr="00AE259B">
        <w:rPr>
          <w:rFonts w:ascii="Arial" w:hAnsi="Arial" w:cs="Arial"/>
        </w:rPr>
        <w:tab/>
        <w:t>$8,431,077</w:t>
      </w:r>
    </w:p>
    <w:p w:rsidR="008A185A" w:rsidRPr="00AE259B" w:rsidRDefault="008A185A" w:rsidP="00A17713">
      <w:pPr>
        <w:widowControl w:val="0"/>
        <w:numPr>
          <w:ilvl w:val="0"/>
          <w:numId w:val="13"/>
        </w:numPr>
        <w:suppressAutoHyphens/>
        <w:autoSpaceDE w:val="0"/>
        <w:autoSpaceDN w:val="0"/>
        <w:adjustRightInd w:val="0"/>
        <w:spacing w:before="57" w:after="113" w:line="220" w:lineRule="atLeast"/>
        <w:textAlignment w:val="center"/>
        <w:rPr>
          <w:rFonts w:ascii="Arial" w:hAnsi="Arial" w:cs="Arial"/>
        </w:rPr>
      </w:pPr>
      <w:r w:rsidRPr="00AE259B">
        <w:rPr>
          <w:rFonts w:ascii="Arial" w:hAnsi="Arial" w:cs="Arial"/>
        </w:rPr>
        <w:t>myki cardholder funds</w:t>
      </w:r>
      <w:r w:rsidRPr="00AE259B">
        <w:rPr>
          <w:rFonts w:ascii="Arial" w:hAnsi="Arial" w:cs="Arial"/>
        </w:rPr>
        <w:tab/>
      </w:r>
      <w:r w:rsidRPr="00AE259B">
        <w:rPr>
          <w:rFonts w:ascii="Arial" w:hAnsi="Arial" w:cs="Arial"/>
        </w:rPr>
        <w:tab/>
      </w:r>
      <w:r w:rsidRPr="00AE259B">
        <w:rPr>
          <w:rFonts w:ascii="Arial" w:hAnsi="Arial" w:cs="Arial"/>
        </w:rPr>
        <w:tab/>
      </w:r>
      <w:r w:rsidRPr="00AE259B">
        <w:rPr>
          <w:rFonts w:ascii="Arial" w:hAnsi="Arial" w:cs="Arial"/>
        </w:rPr>
        <w:tab/>
      </w:r>
      <w:r w:rsidR="005D01F2">
        <w:rPr>
          <w:rFonts w:ascii="Arial" w:hAnsi="Arial" w:cs="Arial"/>
        </w:rPr>
        <w:tab/>
      </w:r>
      <w:r w:rsidR="005D01F2">
        <w:rPr>
          <w:rFonts w:ascii="Arial" w:hAnsi="Arial" w:cs="Arial"/>
        </w:rPr>
        <w:tab/>
      </w:r>
      <w:r w:rsidRPr="00AE259B">
        <w:rPr>
          <w:rFonts w:ascii="Arial" w:hAnsi="Arial" w:cs="Arial"/>
        </w:rPr>
        <w:t>$46,877,739</w:t>
      </w:r>
    </w:p>
    <w:p w:rsidR="008A185A" w:rsidRDefault="008A185A" w:rsidP="008A185A">
      <w:pPr>
        <w:rPr>
          <w:rFonts w:ascii="Arial" w:hAnsi="Arial" w:cs="Arial"/>
        </w:rPr>
      </w:pPr>
      <w:r w:rsidRPr="00AE259B">
        <w:rPr>
          <w:rFonts w:ascii="Arial" w:hAnsi="Arial" w:cs="Arial"/>
        </w:rPr>
        <w:t>PTV also receives and manages myki customer money balances.  These balances come from various channels including ticketing machines, railway stations, retail outlets, the internet and the PTV Hub.  PTV performs the accounts receivable function for the ticketing system and administers the agreement with the contractor Kamco to ensure cash collection services and payments via the banking system are managed effectively.</w:t>
      </w:r>
    </w:p>
    <w:p w:rsidR="005D01F2" w:rsidRPr="00AE259B" w:rsidRDefault="005D01F2"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PTV manages the revenue audit function which focuses on reviewing and reporting on controls around farebox revenue collection and distribution processes within transport operators.  Formal planned revenue audits are undertaken by PTV at metropolitan and V/Line train stations, as well as metropolitan and regional bus depots.</w:t>
      </w:r>
    </w:p>
    <w:p w:rsidR="00E72670" w:rsidRDefault="00E72670" w:rsidP="00E72670">
      <w:pPr>
        <w:pStyle w:val="Heading10"/>
      </w:pPr>
      <w:bookmarkStart w:id="287" w:name="_Note_29._Subsequent"/>
      <w:bookmarkStart w:id="288" w:name="_Toc337471061"/>
      <w:bookmarkStart w:id="289" w:name="_Toc337537827"/>
      <w:bookmarkStart w:id="290" w:name="_Toc337539753"/>
      <w:bookmarkStart w:id="291" w:name="_Toc337707170"/>
      <w:bookmarkStart w:id="292" w:name="_Toc337711278"/>
      <w:bookmarkEnd w:id="287"/>
    </w:p>
    <w:p w:rsidR="008A185A" w:rsidRPr="00AE259B" w:rsidRDefault="008A185A" w:rsidP="006B7F1A">
      <w:pPr>
        <w:pStyle w:val="Heading10"/>
        <w:outlineLvl w:val="0"/>
      </w:pPr>
      <w:bookmarkStart w:id="293" w:name="_Toc366672114"/>
      <w:r w:rsidRPr="00AE259B">
        <w:t>Note 23. Subsequent event</w:t>
      </w:r>
      <w:bookmarkEnd w:id="288"/>
      <w:bookmarkEnd w:id="289"/>
      <w:bookmarkEnd w:id="290"/>
      <w:bookmarkEnd w:id="291"/>
      <w:bookmarkEnd w:id="292"/>
      <w:bookmarkEnd w:id="293"/>
    </w:p>
    <w:p w:rsidR="008A185A" w:rsidRPr="00AE259B" w:rsidRDefault="008A185A" w:rsidP="00E72670">
      <w:pPr>
        <w:pStyle w:val="Heading20"/>
      </w:pPr>
      <w:r w:rsidRPr="00AE259B">
        <w:t>Melbourne Metropolitan Bus Franchise</w:t>
      </w:r>
    </w:p>
    <w:p w:rsidR="008A185A" w:rsidRPr="00AE259B" w:rsidRDefault="008A185A" w:rsidP="008A185A">
      <w:pPr>
        <w:rPr>
          <w:rFonts w:ascii="Arial" w:hAnsi="Arial" w:cs="Arial"/>
        </w:rPr>
      </w:pPr>
      <w:r w:rsidRPr="00AE259B">
        <w:rPr>
          <w:rFonts w:ascii="Arial" w:hAnsi="Arial" w:cs="Arial"/>
        </w:rPr>
        <w:t>On 15 May 2013 PTV signed a franchise agreement with Veolia Transdev Melbourne Pty Ltd (Transdev Melbourne) in relation to provision for bus services by Transdev Melbourne for approximately 30 per cent of Melbourne’s public bus network for a term of seven years with an option to extend its term for a further three years.  Operation of the franchise commenced on 4 August 2013.</w:t>
      </w:r>
    </w:p>
    <w:p w:rsidR="008A185A" w:rsidRPr="00AE259B" w:rsidRDefault="008A185A" w:rsidP="006B7F1A">
      <w:pPr>
        <w:pStyle w:val="Heading10"/>
        <w:outlineLvl w:val="0"/>
      </w:pPr>
      <w:bookmarkStart w:id="294" w:name="_Note_30._Glossary"/>
      <w:bookmarkStart w:id="295" w:name="_Toc337471062"/>
      <w:bookmarkStart w:id="296" w:name="_Toc337537828"/>
      <w:bookmarkStart w:id="297" w:name="_Toc337539754"/>
      <w:bookmarkStart w:id="298" w:name="_Toc337707171"/>
      <w:bookmarkStart w:id="299" w:name="_Toc337711279"/>
      <w:bookmarkStart w:id="300" w:name="_Toc366672115"/>
      <w:bookmarkEnd w:id="294"/>
      <w:r w:rsidRPr="00AE259B">
        <w:t>Note 24. Glossary of terms</w:t>
      </w:r>
      <w:bookmarkEnd w:id="295"/>
      <w:bookmarkEnd w:id="296"/>
      <w:bookmarkEnd w:id="297"/>
      <w:bookmarkEnd w:id="298"/>
      <w:bookmarkEnd w:id="299"/>
      <w:r w:rsidRPr="00AE259B">
        <w:t xml:space="preserve"> and style of conventions</w:t>
      </w:r>
      <w:bookmarkEnd w:id="300"/>
    </w:p>
    <w:p w:rsidR="00E72670" w:rsidRDefault="00E72670" w:rsidP="00E72670">
      <w:pPr>
        <w:pStyle w:val="Heading20"/>
      </w:pPr>
    </w:p>
    <w:p w:rsidR="008A185A" w:rsidRPr="00AE259B" w:rsidRDefault="008A185A" w:rsidP="00E72670">
      <w:pPr>
        <w:pStyle w:val="Heading20"/>
      </w:pPr>
      <w:r w:rsidRPr="00AE259B">
        <w:t>Amortisation</w:t>
      </w:r>
    </w:p>
    <w:p w:rsidR="008A185A" w:rsidRPr="00AE259B" w:rsidRDefault="008A185A" w:rsidP="008A185A">
      <w:pPr>
        <w:rPr>
          <w:rFonts w:ascii="Arial" w:hAnsi="Arial" w:cs="Arial"/>
        </w:rPr>
      </w:pPr>
      <w:r w:rsidRPr="00AE259B">
        <w:rPr>
          <w:rFonts w:ascii="Arial" w:hAnsi="Arial" w:cs="Arial"/>
        </w:rPr>
        <w:t>Amortisation is the expense which results from the consumption, extraction or use over time of a non-produced physical or intangible asset. This expense is classified as an other economic flow.</w:t>
      </w:r>
    </w:p>
    <w:p w:rsidR="00E72670" w:rsidRDefault="00E72670" w:rsidP="00E72670">
      <w:pPr>
        <w:pStyle w:val="Heading20"/>
      </w:pPr>
    </w:p>
    <w:p w:rsidR="008A185A" w:rsidRPr="00AE259B" w:rsidRDefault="008A185A" w:rsidP="00E72670">
      <w:pPr>
        <w:pStyle w:val="Heading20"/>
      </w:pPr>
      <w:r w:rsidRPr="00AE259B">
        <w:t>Borrowings</w:t>
      </w:r>
    </w:p>
    <w:p w:rsidR="008A185A" w:rsidRPr="00AE259B" w:rsidRDefault="008A185A" w:rsidP="008A185A">
      <w:pPr>
        <w:rPr>
          <w:rFonts w:ascii="Arial" w:hAnsi="Arial" w:cs="Arial"/>
        </w:rPr>
      </w:pPr>
      <w:r w:rsidRPr="00AE259B">
        <w:rPr>
          <w:rFonts w:ascii="Arial" w:hAnsi="Arial" w:cs="Arial"/>
        </w:rPr>
        <w:t>Borrowings refers to interest bearing liabilities mainly raised from public borrowings raised through the Treasury Corporation of Victoria, finance leases and other interest bearing arrangements.</w:t>
      </w:r>
    </w:p>
    <w:p w:rsidR="00E72670" w:rsidRDefault="00E72670" w:rsidP="00E72670">
      <w:pPr>
        <w:pStyle w:val="Heading20"/>
      </w:pPr>
    </w:p>
    <w:p w:rsidR="008A185A" w:rsidRPr="00AE259B" w:rsidRDefault="008A185A" w:rsidP="00E72670">
      <w:pPr>
        <w:pStyle w:val="Heading20"/>
      </w:pPr>
      <w:r w:rsidRPr="00AE259B">
        <w:t>Comprehensive result</w:t>
      </w:r>
    </w:p>
    <w:p w:rsidR="008A185A" w:rsidRPr="00AE259B" w:rsidRDefault="008A185A" w:rsidP="008A185A">
      <w:pPr>
        <w:rPr>
          <w:rFonts w:ascii="Arial" w:hAnsi="Arial" w:cs="Arial"/>
        </w:rPr>
      </w:pPr>
      <w:r w:rsidRPr="00AE259B">
        <w:rPr>
          <w:rFonts w:ascii="Arial" w:hAnsi="Arial" w:cs="Arial"/>
        </w:rPr>
        <w:t>Total comprehensive result is the change in equity for the period other than changes arising from transactions with owners. It is the aggregate of net result and other non-owner changes in equity.</w:t>
      </w:r>
    </w:p>
    <w:p w:rsidR="00E72670" w:rsidRDefault="00E72670" w:rsidP="00E72670">
      <w:pPr>
        <w:pStyle w:val="Heading20"/>
      </w:pPr>
    </w:p>
    <w:p w:rsidR="008A185A" w:rsidRPr="00AE259B" w:rsidRDefault="008A185A" w:rsidP="00E72670">
      <w:pPr>
        <w:pStyle w:val="Heading20"/>
      </w:pPr>
      <w:r w:rsidRPr="00AE259B">
        <w:t>Capital Asset Charge</w:t>
      </w:r>
    </w:p>
    <w:p w:rsidR="008A185A" w:rsidRPr="00AE259B" w:rsidRDefault="008A185A" w:rsidP="008A185A">
      <w:pPr>
        <w:rPr>
          <w:rFonts w:ascii="Arial" w:hAnsi="Arial" w:cs="Arial"/>
        </w:rPr>
      </w:pPr>
      <w:r w:rsidRPr="00AE259B">
        <w:rPr>
          <w:rFonts w:ascii="Arial" w:hAnsi="Arial" w:cs="Arial"/>
        </w:rPr>
        <w:t xml:space="preserve">The capital asset charge represents the opportunity cost of capital invested in the non-current physical assets used in the provision of outputs. </w:t>
      </w:r>
    </w:p>
    <w:p w:rsidR="00E72670" w:rsidRDefault="00E72670" w:rsidP="00E72670">
      <w:pPr>
        <w:pStyle w:val="Heading20"/>
      </w:pPr>
    </w:p>
    <w:p w:rsidR="008A185A" w:rsidRPr="00AE259B" w:rsidRDefault="008A185A" w:rsidP="00E72670">
      <w:pPr>
        <w:pStyle w:val="Heading20"/>
      </w:pPr>
      <w:r w:rsidRPr="00AE259B">
        <w:t>Commitments</w:t>
      </w:r>
    </w:p>
    <w:p w:rsidR="008A185A" w:rsidRPr="00AE259B" w:rsidRDefault="008A185A" w:rsidP="008A185A">
      <w:pPr>
        <w:rPr>
          <w:rFonts w:ascii="Arial" w:hAnsi="Arial" w:cs="Arial"/>
        </w:rPr>
      </w:pPr>
      <w:r w:rsidRPr="00AE259B">
        <w:rPr>
          <w:rFonts w:ascii="Arial" w:hAnsi="Arial" w:cs="Arial"/>
        </w:rPr>
        <w:t>Commitments include those operating, capital and other outsourcing commitments arising from non-cancellable contractual or statutory sources.</w:t>
      </w:r>
    </w:p>
    <w:p w:rsidR="00E72670" w:rsidRDefault="00E72670" w:rsidP="00E72670">
      <w:pPr>
        <w:pStyle w:val="Heading20"/>
      </w:pPr>
    </w:p>
    <w:p w:rsidR="008A185A" w:rsidRPr="00AE259B" w:rsidRDefault="008A185A" w:rsidP="00E72670">
      <w:pPr>
        <w:pStyle w:val="Heading20"/>
      </w:pPr>
      <w:r w:rsidRPr="00AE259B">
        <w:t>Current Grants</w:t>
      </w:r>
    </w:p>
    <w:p w:rsidR="008A185A" w:rsidRPr="00AE259B" w:rsidRDefault="008A185A" w:rsidP="008A185A">
      <w:pPr>
        <w:rPr>
          <w:rFonts w:ascii="Arial" w:hAnsi="Arial" w:cs="Arial"/>
        </w:rPr>
      </w:pPr>
      <w:r w:rsidRPr="00AE259B">
        <w:rPr>
          <w:rFonts w:ascii="Arial" w:hAnsi="Arial" w:cs="Arial"/>
        </w:rPr>
        <w:t>Amounts payable or receivable for current purposes for which no economic benefits of equal value are receivable or payable in return.</w:t>
      </w:r>
    </w:p>
    <w:p w:rsidR="00E72670" w:rsidRDefault="00E72670" w:rsidP="00E72670">
      <w:pPr>
        <w:pStyle w:val="Heading20"/>
      </w:pPr>
    </w:p>
    <w:p w:rsidR="008A185A" w:rsidRPr="00AE259B" w:rsidRDefault="008A185A" w:rsidP="00E72670">
      <w:pPr>
        <w:pStyle w:val="Heading20"/>
      </w:pPr>
      <w:r w:rsidRPr="00AE259B">
        <w:t>Depreciation</w:t>
      </w:r>
    </w:p>
    <w:p w:rsidR="008A185A" w:rsidRPr="00AE259B" w:rsidRDefault="008A185A" w:rsidP="008A185A">
      <w:pPr>
        <w:rPr>
          <w:rFonts w:ascii="Arial" w:hAnsi="Arial" w:cs="Arial"/>
        </w:rPr>
      </w:pPr>
      <w:r w:rsidRPr="00AE259B">
        <w:rPr>
          <w:rFonts w:ascii="Arial" w:hAnsi="Arial" w:cs="Arial"/>
        </w:rPr>
        <w:t>Depreciation is an expense that arises from the consumption through wear or time of a produced physical or intangible asset. This expense is classified as a ‘transaction’ and so reduces the ‘net result from transaction’.</w:t>
      </w:r>
    </w:p>
    <w:p w:rsidR="00E72670" w:rsidRDefault="00E72670" w:rsidP="00E72670">
      <w:pPr>
        <w:pStyle w:val="Heading20"/>
      </w:pPr>
    </w:p>
    <w:p w:rsidR="008A185A" w:rsidRPr="00AE259B" w:rsidRDefault="008A185A" w:rsidP="00E72670">
      <w:pPr>
        <w:pStyle w:val="Heading20"/>
      </w:pPr>
      <w:r w:rsidRPr="00AE259B">
        <w:t>Employee benefits expenses</w:t>
      </w:r>
    </w:p>
    <w:p w:rsidR="008A185A" w:rsidRPr="00AE259B" w:rsidRDefault="008A185A" w:rsidP="008A185A">
      <w:pPr>
        <w:rPr>
          <w:rFonts w:ascii="Arial" w:hAnsi="Arial" w:cs="Arial"/>
        </w:rPr>
      </w:pPr>
      <w:r w:rsidRPr="00AE259B">
        <w:rPr>
          <w:rFonts w:ascii="Arial" w:hAnsi="Arial" w:cs="Arial"/>
        </w:rPr>
        <w:t>Employee benefits expenses include all costs related to employment including wages and salaries, leave entitlements, redundancy payments and superannuation contributions.</w:t>
      </w:r>
    </w:p>
    <w:p w:rsidR="006B7F1A" w:rsidRDefault="006B7F1A">
      <w:pPr>
        <w:rPr>
          <w:rFonts w:ascii="Arial" w:hAnsi="Arial" w:cs="Arial"/>
          <w:b/>
          <w:sz w:val="32"/>
          <w:szCs w:val="28"/>
        </w:rPr>
      </w:pPr>
      <w:r>
        <w:br w:type="page"/>
      </w:r>
    </w:p>
    <w:p w:rsidR="008A185A" w:rsidRPr="00AE259B" w:rsidRDefault="008A185A" w:rsidP="00E72670">
      <w:pPr>
        <w:pStyle w:val="Heading20"/>
      </w:pPr>
      <w:r w:rsidRPr="00AE259B">
        <w:t>Financial asset</w:t>
      </w:r>
    </w:p>
    <w:p w:rsidR="008A185A" w:rsidRPr="00E72670" w:rsidRDefault="008A185A" w:rsidP="008A185A">
      <w:pPr>
        <w:rPr>
          <w:rFonts w:ascii="Arial" w:hAnsi="Arial" w:cs="Arial"/>
        </w:rPr>
      </w:pPr>
      <w:r w:rsidRPr="00E72670">
        <w:rPr>
          <w:rFonts w:ascii="Arial" w:hAnsi="Arial" w:cs="Arial"/>
        </w:rPr>
        <w:t>A financial asset is any asset that is:</w:t>
      </w:r>
    </w:p>
    <w:p w:rsidR="008A185A" w:rsidRPr="00E72670" w:rsidRDefault="008A185A" w:rsidP="008A185A">
      <w:pPr>
        <w:rPr>
          <w:rFonts w:ascii="Arial" w:hAnsi="Arial" w:cs="Arial"/>
        </w:rPr>
      </w:pPr>
      <w:r w:rsidRPr="00E72670">
        <w:rPr>
          <w:rFonts w:ascii="Arial" w:hAnsi="Arial" w:cs="Arial"/>
        </w:rPr>
        <w:t>(a)</w:t>
      </w:r>
      <w:r w:rsidRPr="00E72670">
        <w:rPr>
          <w:rFonts w:ascii="Arial" w:hAnsi="Arial" w:cs="Arial"/>
        </w:rPr>
        <w:tab/>
        <w:t>cash;</w:t>
      </w:r>
    </w:p>
    <w:p w:rsidR="008A185A" w:rsidRPr="00E72670" w:rsidRDefault="008A185A" w:rsidP="008A185A">
      <w:pPr>
        <w:rPr>
          <w:rFonts w:ascii="Arial" w:hAnsi="Arial" w:cs="Arial"/>
        </w:rPr>
      </w:pPr>
      <w:r w:rsidRPr="00E72670">
        <w:rPr>
          <w:rFonts w:ascii="Arial" w:hAnsi="Arial" w:cs="Arial"/>
        </w:rPr>
        <w:t>(b)</w:t>
      </w:r>
      <w:r w:rsidRPr="00E72670">
        <w:rPr>
          <w:rFonts w:ascii="Arial" w:hAnsi="Arial" w:cs="Arial"/>
        </w:rPr>
        <w:tab/>
        <w:t>an equity instrument of another entity;</w:t>
      </w:r>
    </w:p>
    <w:p w:rsidR="008A185A" w:rsidRPr="00E72670" w:rsidRDefault="008A185A" w:rsidP="008A185A">
      <w:pPr>
        <w:rPr>
          <w:rFonts w:ascii="Arial" w:hAnsi="Arial" w:cs="Arial"/>
        </w:rPr>
      </w:pPr>
      <w:r w:rsidRPr="00E72670">
        <w:rPr>
          <w:rFonts w:ascii="Arial" w:hAnsi="Arial" w:cs="Arial"/>
        </w:rPr>
        <w:t>(c)</w:t>
      </w:r>
      <w:r w:rsidRPr="00E72670">
        <w:rPr>
          <w:rFonts w:ascii="Arial" w:hAnsi="Arial" w:cs="Arial"/>
        </w:rPr>
        <w:tab/>
        <w:t>a contractual right or statutory right:</w:t>
      </w:r>
    </w:p>
    <w:p w:rsidR="008A185A" w:rsidRPr="00E72670" w:rsidRDefault="008A185A" w:rsidP="008A185A">
      <w:pPr>
        <w:pStyle w:val="Bullets"/>
        <w:rPr>
          <w:rFonts w:ascii="Arial" w:hAnsi="Arial" w:cs="Arial"/>
          <w:sz w:val="24"/>
          <w:szCs w:val="24"/>
        </w:rPr>
      </w:pPr>
      <w:r w:rsidRPr="00E72670">
        <w:rPr>
          <w:rFonts w:ascii="Arial" w:hAnsi="Arial" w:cs="Arial"/>
          <w:sz w:val="24"/>
          <w:szCs w:val="24"/>
        </w:rPr>
        <w:t>to receive cash or another financial asset from another entity; or</w:t>
      </w:r>
    </w:p>
    <w:p w:rsidR="008A185A" w:rsidRPr="00E72670" w:rsidRDefault="008A185A" w:rsidP="008A185A">
      <w:pPr>
        <w:pStyle w:val="Bullets"/>
        <w:rPr>
          <w:rFonts w:ascii="Arial" w:hAnsi="Arial" w:cs="Arial"/>
          <w:sz w:val="24"/>
          <w:szCs w:val="24"/>
        </w:rPr>
      </w:pPr>
      <w:r w:rsidRPr="00E72670">
        <w:rPr>
          <w:rFonts w:ascii="Arial" w:hAnsi="Arial" w:cs="Arial"/>
          <w:sz w:val="24"/>
          <w:szCs w:val="24"/>
        </w:rPr>
        <w:t>to exchange financial assets or financial liabilities with another entity under conditions that are potentially favourable to the entity; or</w:t>
      </w:r>
    </w:p>
    <w:p w:rsidR="008A185A" w:rsidRPr="00E72670" w:rsidRDefault="008A185A" w:rsidP="008A185A">
      <w:pPr>
        <w:rPr>
          <w:rFonts w:ascii="Arial" w:hAnsi="Arial" w:cs="Arial"/>
        </w:rPr>
      </w:pPr>
      <w:r w:rsidRPr="00E72670">
        <w:rPr>
          <w:rFonts w:ascii="Arial" w:hAnsi="Arial" w:cs="Arial"/>
        </w:rPr>
        <w:t>(d)</w:t>
      </w:r>
      <w:r w:rsidRPr="00E72670">
        <w:rPr>
          <w:rFonts w:ascii="Arial" w:hAnsi="Arial" w:cs="Arial"/>
        </w:rPr>
        <w:tab/>
        <w:t>a contract that will or may be settled in the entity’s own equity instruments and is:</w:t>
      </w:r>
    </w:p>
    <w:p w:rsidR="008A185A" w:rsidRPr="00E72670" w:rsidRDefault="008A185A" w:rsidP="008A185A">
      <w:pPr>
        <w:pStyle w:val="Bullets"/>
        <w:rPr>
          <w:rFonts w:ascii="Arial" w:hAnsi="Arial" w:cs="Arial"/>
          <w:sz w:val="24"/>
          <w:szCs w:val="24"/>
        </w:rPr>
      </w:pPr>
      <w:r w:rsidRPr="00E72670">
        <w:rPr>
          <w:rFonts w:ascii="Arial" w:hAnsi="Arial" w:cs="Arial"/>
          <w:sz w:val="24"/>
          <w:szCs w:val="24"/>
        </w:rPr>
        <w:t>a non-derivative for which the entity is or may be obliged to receive a variable number of the entity’s own equity instruments; or</w:t>
      </w:r>
    </w:p>
    <w:p w:rsidR="008A185A" w:rsidRPr="00E72670" w:rsidRDefault="008A185A" w:rsidP="008A185A">
      <w:pPr>
        <w:pStyle w:val="Bullets"/>
        <w:rPr>
          <w:rFonts w:ascii="Arial" w:hAnsi="Arial" w:cs="Arial"/>
          <w:sz w:val="24"/>
          <w:szCs w:val="24"/>
        </w:rPr>
      </w:pPr>
      <w:r w:rsidRPr="00E72670">
        <w:rPr>
          <w:rFonts w:ascii="Arial" w:hAnsi="Arial" w:cs="Arial"/>
          <w:sz w:val="24"/>
          <w:szCs w:val="24"/>
        </w:rPr>
        <w:t>a derivative that will or may be settled other than by the exchange of a fixed amount of cash or another financial asset for a fixed number of the entity’s own equity instruments.</w:t>
      </w:r>
    </w:p>
    <w:p w:rsidR="00E72670" w:rsidRDefault="00E72670" w:rsidP="00E72670">
      <w:pPr>
        <w:pStyle w:val="Heading20"/>
      </w:pPr>
    </w:p>
    <w:p w:rsidR="008A185A" w:rsidRPr="00AE259B" w:rsidRDefault="008A185A" w:rsidP="00E72670">
      <w:pPr>
        <w:pStyle w:val="Heading20"/>
      </w:pPr>
      <w:r w:rsidRPr="00AE259B">
        <w:t>Financial instrument</w:t>
      </w:r>
    </w:p>
    <w:p w:rsidR="008A185A" w:rsidRPr="00AE259B" w:rsidRDefault="008A185A" w:rsidP="008A185A">
      <w:pPr>
        <w:rPr>
          <w:rFonts w:ascii="Arial" w:hAnsi="Arial" w:cs="Arial"/>
        </w:rPr>
      </w:pPr>
      <w:r w:rsidRPr="00AE259B">
        <w:rPr>
          <w:rFonts w:ascii="Arial" w:hAnsi="Arial" w:cs="Arial"/>
        </w:rPr>
        <w:t xml:space="preserve">A financial instrument is any contract that gives rise to a financial asset of one entity and a financial liability or equity instrument of another entity. Financial assets or liabilities that are not contractual (such as statutory receivables or payables that arise as a result of statutory requirements imposed by governments) are not financial instruments. </w:t>
      </w:r>
    </w:p>
    <w:p w:rsidR="00E72670" w:rsidRDefault="00E72670" w:rsidP="00E72670">
      <w:pPr>
        <w:pStyle w:val="Heading20"/>
      </w:pPr>
    </w:p>
    <w:p w:rsidR="008A185A" w:rsidRPr="00AE259B" w:rsidRDefault="008A185A" w:rsidP="00E72670">
      <w:pPr>
        <w:pStyle w:val="Heading20"/>
      </w:pPr>
      <w:r w:rsidRPr="00AE259B">
        <w:t>Financial liability</w:t>
      </w:r>
    </w:p>
    <w:p w:rsidR="008A185A" w:rsidRPr="00E72670" w:rsidRDefault="008A185A" w:rsidP="008A185A">
      <w:pPr>
        <w:rPr>
          <w:rFonts w:ascii="Arial" w:hAnsi="Arial" w:cs="Arial"/>
        </w:rPr>
      </w:pPr>
      <w:r w:rsidRPr="00E72670">
        <w:rPr>
          <w:rFonts w:ascii="Arial" w:hAnsi="Arial" w:cs="Arial"/>
        </w:rPr>
        <w:t>A financial liability is any liability that is:</w:t>
      </w:r>
    </w:p>
    <w:p w:rsidR="008A185A" w:rsidRPr="00E72670" w:rsidRDefault="008A185A" w:rsidP="008A185A">
      <w:pPr>
        <w:rPr>
          <w:rFonts w:ascii="Arial" w:hAnsi="Arial" w:cs="Arial"/>
        </w:rPr>
      </w:pPr>
      <w:r w:rsidRPr="00E72670">
        <w:rPr>
          <w:rFonts w:ascii="Arial" w:hAnsi="Arial" w:cs="Arial"/>
        </w:rPr>
        <w:t>(a)</w:t>
      </w:r>
      <w:r w:rsidRPr="00E72670">
        <w:rPr>
          <w:rFonts w:ascii="Arial" w:hAnsi="Arial" w:cs="Arial"/>
        </w:rPr>
        <w:tab/>
        <w:t>A contractual or statutory obligation:</w:t>
      </w:r>
    </w:p>
    <w:p w:rsidR="008A185A" w:rsidRPr="00E72670" w:rsidRDefault="008A185A" w:rsidP="008A185A">
      <w:pPr>
        <w:pStyle w:val="Bullets"/>
        <w:rPr>
          <w:rFonts w:ascii="Arial" w:hAnsi="Arial" w:cs="Arial"/>
          <w:sz w:val="24"/>
          <w:szCs w:val="24"/>
        </w:rPr>
      </w:pPr>
      <w:r w:rsidRPr="00E72670">
        <w:rPr>
          <w:rFonts w:ascii="Arial" w:hAnsi="Arial" w:cs="Arial"/>
          <w:sz w:val="24"/>
          <w:szCs w:val="24"/>
        </w:rPr>
        <w:t>to exchange financial assets or financial liabilities with another entity under conditions that are potentially unfavourable to the entity; or</w:t>
      </w:r>
    </w:p>
    <w:p w:rsidR="008A185A" w:rsidRPr="00E72670" w:rsidRDefault="008A185A" w:rsidP="008A185A">
      <w:pPr>
        <w:rPr>
          <w:rFonts w:ascii="Arial" w:hAnsi="Arial" w:cs="Arial"/>
        </w:rPr>
      </w:pPr>
      <w:r w:rsidRPr="00E72670">
        <w:rPr>
          <w:rFonts w:ascii="Arial" w:hAnsi="Arial" w:cs="Arial"/>
        </w:rPr>
        <w:t>(b)</w:t>
      </w:r>
      <w:r w:rsidRPr="00E72670">
        <w:rPr>
          <w:rFonts w:ascii="Arial" w:hAnsi="Arial" w:cs="Arial"/>
        </w:rPr>
        <w:tab/>
        <w:t>A contract that will or may be settled in the entity’s own equity instruments and is:</w:t>
      </w:r>
    </w:p>
    <w:p w:rsidR="008A185A" w:rsidRPr="00E72670" w:rsidRDefault="008A185A" w:rsidP="008A185A">
      <w:pPr>
        <w:pStyle w:val="Bullets"/>
        <w:rPr>
          <w:rFonts w:ascii="Arial" w:hAnsi="Arial" w:cs="Arial"/>
          <w:sz w:val="24"/>
          <w:szCs w:val="24"/>
        </w:rPr>
      </w:pPr>
      <w:r w:rsidRPr="00E72670">
        <w:rPr>
          <w:rFonts w:ascii="Arial" w:hAnsi="Arial" w:cs="Arial"/>
          <w:sz w:val="24"/>
          <w:szCs w:val="24"/>
        </w:rPr>
        <w:t>a non-derivative for which the entity is or may be obliged to deliver a variable number of the entity’s own equity instruments; or</w:t>
      </w:r>
    </w:p>
    <w:p w:rsidR="008A185A" w:rsidRPr="00E72670" w:rsidRDefault="008A185A" w:rsidP="008A185A">
      <w:pPr>
        <w:pStyle w:val="Bullets"/>
        <w:rPr>
          <w:rFonts w:ascii="Arial" w:hAnsi="Arial" w:cs="Arial"/>
          <w:sz w:val="24"/>
          <w:szCs w:val="24"/>
        </w:rPr>
      </w:pPr>
      <w:r w:rsidRPr="00E72670">
        <w:rPr>
          <w:rFonts w:ascii="Arial" w:hAnsi="Arial" w:cs="Arial"/>
          <w:sz w:val="24"/>
          <w:szCs w:val="24"/>
        </w:rPr>
        <w:t xml:space="preserve">a derivative that will or may be settled other than by the exchange of a fixed amount of cash or another financial asset for a fixed number of the entity’s own equity instruments. For this purpose the entity’s own equity instruments do not include instruments that are themselves contracts for the future receipt or delivery of the entity’s own equity instruments. </w:t>
      </w:r>
    </w:p>
    <w:p w:rsidR="006B7F1A" w:rsidRDefault="006B7F1A">
      <w:pPr>
        <w:rPr>
          <w:rFonts w:ascii="Arial" w:hAnsi="Arial" w:cs="Arial"/>
          <w:b/>
          <w:sz w:val="32"/>
          <w:szCs w:val="28"/>
        </w:rPr>
      </w:pPr>
      <w:r>
        <w:br w:type="page"/>
      </w:r>
    </w:p>
    <w:p w:rsidR="008A185A" w:rsidRPr="00AE259B" w:rsidRDefault="008A185A" w:rsidP="00E72670">
      <w:pPr>
        <w:pStyle w:val="Heading20"/>
      </w:pPr>
      <w:r w:rsidRPr="00AE259B">
        <w:t>Financial statements</w:t>
      </w:r>
    </w:p>
    <w:p w:rsidR="008A185A" w:rsidRPr="00AE259B" w:rsidRDefault="008A185A" w:rsidP="008A185A">
      <w:pPr>
        <w:rPr>
          <w:rFonts w:ascii="Arial" w:hAnsi="Arial" w:cs="Arial"/>
        </w:rPr>
      </w:pPr>
      <w:r w:rsidRPr="00AE259B">
        <w:rPr>
          <w:rFonts w:ascii="Arial" w:hAnsi="Arial" w:cs="Arial"/>
        </w:rPr>
        <w:t>Depending on the context of the sentence where the term ‘financial statements’ is used, it may include only the main financial statements (i.e. comprehensive operating statement, balance sheet, cash flow statements, and statement of changes in equity); or it may also be used to replace the old term ‘financial report’ under the revised AASB 101 (September 2007), which means it may include the main financial statements and the notes.</w:t>
      </w:r>
    </w:p>
    <w:p w:rsidR="00E72670" w:rsidRDefault="00E72670" w:rsidP="00E72670">
      <w:pPr>
        <w:pStyle w:val="Heading20"/>
      </w:pPr>
    </w:p>
    <w:p w:rsidR="008A185A" w:rsidRPr="00AE259B" w:rsidRDefault="008A185A" w:rsidP="00E72670">
      <w:pPr>
        <w:pStyle w:val="Heading20"/>
      </w:pPr>
      <w:r w:rsidRPr="00AE259B">
        <w:t>Grants and other transfers</w:t>
      </w:r>
    </w:p>
    <w:p w:rsidR="008A185A" w:rsidRDefault="008A185A" w:rsidP="008A185A">
      <w:pPr>
        <w:rPr>
          <w:rFonts w:ascii="Arial" w:hAnsi="Arial" w:cs="Arial"/>
        </w:rPr>
      </w:pPr>
      <w:r w:rsidRPr="00AE259B">
        <w:rPr>
          <w:rFonts w:ascii="Arial" w:hAnsi="Arial" w:cs="Arial"/>
        </w:rPr>
        <w:t>Transactions in which one unit provides goods, services, assets (or extinguishes a liability) or labour to another unit without receiving approximately equal value in return. Grants can either be operating or capital in nature. While grants to governments may result in the provision of some goods or services to the transferor, they do not give the transferor a claim to receive directly benefits of approximately equal value. Receipt and sacrifice of approximately equal value may occur, but only by coincidence. For example, governments are not obliged to provide commensurate benefits in the form of goods or services to particular taxpayers in return for their taxes. For this reason grants are referred to by the AASB as involuntary transfers and are termed non-reciprocal transfers.</w:t>
      </w:r>
    </w:p>
    <w:p w:rsidR="00E72670" w:rsidRPr="00AE259B" w:rsidRDefault="00E72670" w:rsidP="008A185A">
      <w:pPr>
        <w:rPr>
          <w:rFonts w:ascii="Arial" w:hAnsi="Arial" w:cs="Arial"/>
        </w:rPr>
      </w:pPr>
    </w:p>
    <w:p w:rsidR="008A185A" w:rsidRPr="00AE259B" w:rsidRDefault="008A185A" w:rsidP="008A185A">
      <w:pPr>
        <w:rPr>
          <w:rFonts w:ascii="Arial" w:hAnsi="Arial" w:cs="Arial"/>
        </w:rPr>
      </w:pPr>
      <w:r w:rsidRPr="00AE259B">
        <w:rPr>
          <w:rFonts w:ascii="Arial" w:hAnsi="Arial" w:cs="Arial"/>
        </w:rPr>
        <w:t>Grants can be paid as general purpose grants which refer to grants that are not subject to conditions regarding their use. Alternatively, they may be paid as specific purpose grants which are paid for a particular purpose and/or have conditions attached regarding their use.</w:t>
      </w:r>
    </w:p>
    <w:p w:rsidR="00E72670" w:rsidRDefault="00E72670" w:rsidP="00E72670">
      <w:pPr>
        <w:pStyle w:val="Heading20"/>
      </w:pPr>
    </w:p>
    <w:p w:rsidR="008A185A" w:rsidRPr="00AE259B" w:rsidRDefault="008A185A" w:rsidP="00E72670">
      <w:pPr>
        <w:pStyle w:val="Heading20"/>
      </w:pPr>
      <w:r w:rsidRPr="00AE259B">
        <w:t>Grants for on-passing</w:t>
      </w:r>
    </w:p>
    <w:p w:rsidR="008A185A" w:rsidRPr="00AE259B" w:rsidRDefault="008A185A" w:rsidP="008A185A">
      <w:pPr>
        <w:rPr>
          <w:rFonts w:ascii="Arial" w:hAnsi="Arial" w:cs="Arial"/>
        </w:rPr>
      </w:pPr>
      <w:r w:rsidRPr="00AE259B">
        <w:rPr>
          <w:rFonts w:ascii="Arial" w:hAnsi="Arial" w:cs="Arial"/>
        </w:rPr>
        <w:t>All grants paid to one institutional sector (e.g. a state general government) to be passed on to another institutional sector (e.g. local government or a private non-profit institution).</w:t>
      </w:r>
    </w:p>
    <w:p w:rsidR="00E72670" w:rsidRDefault="00E72670" w:rsidP="00E72670">
      <w:pPr>
        <w:pStyle w:val="Heading20"/>
      </w:pPr>
    </w:p>
    <w:p w:rsidR="008A185A" w:rsidRPr="00AE259B" w:rsidRDefault="008A185A" w:rsidP="00E72670">
      <w:pPr>
        <w:pStyle w:val="Heading20"/>
      </w:pPr>
      <w:r w:rsidRPr="00AE259B">
        <w:t>Intangible assets</w:t>
      </w:r>
    </w:p>
    <w:p w:rsidR="008A185A" w:rsidRPr="00AE259B" w:rsidRDefault="008A185A" w:rsidP="008A185A">
      <w:pPr>
        <w:rPr>
          <w:rFonts w:ascii="Arial" w:hAnsi="Arial" w:cs="Arial"/>
        </w:rPr>
      </w:pPr>
      <w:r w:rsidRPr="00AE259B">
        <w:rPr>
          <w:rFonts w:ascii="Arial" w:hAnsi="Arial" w:cs="Arial"/>
        </w:rPr>
        <w:t>Intangible assets represent identifiable non-monetary assets without physical substance.</w:t>
      </w:r>
    </w:p>
    <w:p w:rsidR="00E72670" w:rsidRDefault="00E72670" w:rsidP="00E72670">
      <w:pPr>
        <w:pStyle w:val="Heading20"/>
      </w:pPr>
    </w:p>
    <w:p w:rsidR="008A185A" w:rsidRPr="00AE259B" w:rsidRDefault="008A185A" w:rsidP="00E72670">
      <w:pPr>
        <w:pStyle w:val="Heading20"/>
      </w:pPr>
      <w:r w:rsidRPr="00AE259B">
        <w:t>Interest expense</w:t>
      </w:r>
    </w:p>
    <w:p w:rsidR="008A185A" w:rsidRPr="00AE259B" w:rsidRDefault="008A185A" w:rsidP="008A185A">
      <w:pPr>
        <w:rPr>
          <w:rFonts w:ascii="Arial" w:hAnsi="Arial" w:cs="Arial"/>
        </w:rPr>
      </w:pPr>
      <w:r w:rsidRPr="00AE259B">
        <w:rPr>
          <w:rFonts w:ascii="Arial" w:hAnsi="Arial" w:cs="Arial"/>
        </w:rPr>
        <w:t>Costs incurred in connection with the borrowing of funds. Interest expenses include interest on bank overdrafts and short-term and long-term borrowings, amortisation of discounts or premiums relating to borrowings, interest component of finance leases repayments, and the increase in financial liabilities and non-employee provisions due to the unwinding of discounts to reflect the passage of time.</w:t>
      </w:r>
    </w:p>
    <w:p w:rsidR="006B7F1A" w:rsidRDefault="006B7F1A" w:rsidP="00E72670">
      <w:pPr>
        <w:pStyle w:val="Heading20"/>
      </w:pPr>
    </w:p>
    <w:p w:rsidR="008A185A" w:rsidRPr="00AE259B" w:rsidRDefault="008A185A" w:rsidP="00E72670">
      <w:pPr>
        <w:pStyle w:val="Heading20"/>
      </w:pPr>
      <w:r w:rsidRPr="00AE259B">
        <w:t>Interest income</w:t>
      </w:r>
    </w:p>
    <w:p w:rsidR="008A185A" w:rsidRPr="00AE259B" w:rsidRDefault="008A185A" w:rsidP="008A185A">
      <w:pPr>
        <w:rPr>
          <w:rFonts w:ascii="Arial" w:hAnsi="Arial" w:cs="Arial"/>
        </w:rPr>
      </w:pPr>
      <w:r w:rsidRPr="00AE259B">
        <w:rPr>
          <w:rFonts w:ascii="Arial" w:hAnsi="Arial" w:cs="Arial"/>
        </w:rPr>
        <w:t>Interest income includes unwinding over time of discounts on financial assets and interest received on bank term deposits and other investments.</w:t>
      </w:r>
    </w:p>
    <w:p w:rsidR="008A185A" w:rsidRPr="00AE259B" w:rsidRDefault="008A185A" w:rsidP="00E72670">
      <w:pPr>
        <w:pStyle w:val="Heading20"/>
      </w:pPr>
      <w:r w:rsidRPr="00AE259B">
        <w:t>Net acquisition of non-financial assets (from transactions)</w:t>
      </w:r>
    </w:p>
    <w:p w:rsidR="008A185A" w:rsidRPr="00AE259B" w:rsidRDefault="008A185A" w:rsidP="008A185A">
      <w:pPr>
        <w:rPr>
          <w:rFonts w:ascii="Arial" w:hAnsi="Arial" w:cs="Arial"/>
        </w:rPr>
      </w:pPr>
      <w:r w:rsidRPr="00AE259B">
        <w:rPr>
          <w:rFonts w:ascii="Arial" w:hAnsi="Arial" w:cs="Arial"/>
        </w:rPr>
        <w:t>Purchases (and other acquisitions) of non-financial assets less sales (or disposals) of non-financial assets less depreciation plus changes in inventories and other movements in non-financial assets. Includes only those increases or decreases in non-financial assets resulting from transactions and therefore excludes write-offs, impairment write-downs and revaluations.</w:t>
      </w:r>
    </w:p>
    <w:p w:rsidR="00E72670" w:rsidRDefault="00E72670" w:rsidP="00E72670">
      <w:pPr>
        <w:pStyle w:val="Heading20"/>
      </w:pPr>
    </w:p>
    <w:p w:rsidR="008A185A" w:rsidRPr="00AE259B" w:rsidRDefault="008A185A" w:rsidP="00E72670">
      <w:pPr>
        <w:pStyle w:val="Heading20"/>
      </w:pPr>
      <w:r w:rsidRPr="00AE259B">
        <w:t>Net result</w:t>
      </w:r>
    </w:p>
    <w:p w:rsidR="008A185A" w:rsidRPr="00AE259B" w:rsidRDefault="008A185A" w:rsidP="008A185A">
      <w:pPr>
        <w:rPr>
          <w:rFonts w:ascii="Arial" w:hAnsi="Arial" w:cs="Arial"/>
        </w:rPr>
      </w:pPr>
      <w:r w:rsidRPr="00AE259B">
        <w:rPr>
          <w:rFonts w:ascii="Arial" w:hAnsi="Arial" w:cs="Arial"/>
        </w:rPr>
        <w:t>Net result is a measure of financial performance of the operations for the period. It is the net result of items of income, gains and expenses (including losses) recognised for the period, excluding those that are classified as ‘other non-owner changes in equity’.</w:t>
      </w:r>
    </w:p>
    <w:p w:rsidR="00E72670" w:rsidRDefault="00E72670" w:rsidP="00E72670">
      <w:pPr>
        <w:pStyle w:val="Heading20"/>
      </w:pPr>
    </w:p>
    <w:p w:rsidR="008A185A" w:rsidRPr="00AE259B" w:rsidRDefault="008A185A" w:rsidP="00E72670">
      <w:pPr>
        <w:pStyle w:val="Heading20"/>
      </w:pPr>
      <w:r w:rsidRPr="00AE259B">
        <w:t>Net result from transactions/net operating balance</w:t>
      </w:r>
    </w:p>
    <w:p w:rsidR="008A185A" w:rsidRPr="00AE259B" w:rsidRDefault="008A185A" w:rsidP="008A185A">
      <w:pPr>
        <w:rPr>
          <w:rFonts w:ascii="Arial" w:hAnsi="Arial" w:cs="Arial"/>
        </w:rPr>
      </w:pPr>
      <w:r w:rsidRPr="00AE259B">
        <w:rPr>
          <w:rFonts w:ascii="Arial" w:hAnsi="Arial" w:cs="Arial"/>
        </w:rPr>
        <w:t>Net result from transactions or net operating balance is a key fiscal aggregate and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rsidR="00E72670" w:rsidRDefault="00E72670" w:rsidP="00E72670">
      <w:pPr>
        <w:pStyle w:val="Heading20"/>
      </w:pPr>
    </w:p>
    <w:p w:rsidR="008A185A" w:rsidRPr="00AE259B" w:rsidRDefault="008A185A" w:rsidP="00E72670">
      <w:pPr>
        <w:pStyle w:val="Heading20"/>
      </w:pPr>
      <w:r w:rsidRPr="00AE259B">
        <w:t>Non-financial assets</w:t>
      </w:r>
    </w:p>
    <w:p w:rsidR="008A185A" w:rsidRPr="00AE259B" w:rsidRDefault="008A185A" w:rsidP="008A185A">
      <w:pPr>
        <w:rPr>
          <w:rFonts w:ascii="Arial" w:hAnsi="Arial" w:cs="Arial"/>
        </w:rPr>
      </w:pPr>
      <w:r w:rsidRPr="00AE259B">
        <w:rPr>
          <w:rFonts w:ascii="Arial" w:hAnsi="Arial" w:cs="Arial"/>
        </w:rPr>
        <w:t>Non-financial assets are all assets that are not ‘financial assets’.</w:t>
      </w:r>
    </w:p>
    <w:p w:rsidR="00E72670" w:rsidRDefault="00E72670" w:rsidP="00E72670">
      <w:pPr>
        <w:pStyle w:val="Heading20"/>
      </w:pPr>
    </w:p>
    <w:p w:rsidR="008A185A" w:rsidRPr="00AE259B" w:rsidRDefault="008A185A" w:rsidP="00E72670">
      <w:pPr>
        <w:pStyle w:val="Heading20"/>
      </w:pPr>
      <w:r w:rsidRPr="00AE259B">
        <w:t>Other economic flows</w:t>
      </w:r>
    </w:p>
    <w:p w:rsidR="008A185A" w:rsidRPr="00AE259B" w:rsidRDefault="008A185A" w:rsidP="008A185A">
      <w:pPr>
        <w:rPr>
          <w:rFonts w:ascii="Arial" w:hAnsi="Arial" w:cs="Arial"/>
        </w:rPr>
      </w:pPr>
      <w:r w:rsidRPr="00AE259B">
        <w:rPr>
          <w:rFonts w:ascii="Arial" w:hAnsi="Arial" w:cs="Arial"/>
        </w:rPr>
        <w:t>Other economic flows are changes in the volume or value of an asset or liability that do not result from transactions. It includes gains and losses from disposals; revaluations and impairments of non-current physical and intangible assets; actuarial gains and losses arising from defined benefit superannuation plans; fair value changes of financial instruments and agricultural assets; and depletion of natural assets (non-produced) from their use or removal. In simple terms, other economic flows are changes arising from market re-measurements.</w:t>
      </w:r>
    </w:p>
    <w:p w:rsidR="00E72670" w:rsidRDefault="00E72670" w:rsidP="00E72670">
      <w:pPr>
        <w:pStyle w:val="Heading20"/>
      </w:pPr>
    </w:p>
    <w:p w:rsidR="008A185A" w:rsidRPr="00AE259B" w:rsidRDefault="008A185A" w:rsidP="00E72670">
      <w:pPr>
        <w:pStyle w:val="Heading20"/>
      </w:pPr>
      <w:r w:rsidRPr="00AE259B">
        <w:t>Payables</w:t>
      </w:r>
    </w:p>
    <w:p w:rsidR="008A185A" w:rsidRPr="00AE259B" w:rsidRDefault="008A185A" w:rsidP="008A185A">
      <w:pPr>
        <w:rPr>
          <w:rFonts w:ascii="Arial" w:hAnsi="Arial" w:cs="Arial"/>
        </w:rPr>
      </w:pPr>
      <w:r w:rsidRPr="00AE259B">
        <w:rPr>
          <w:rFonts w:ascii="Arial" w:hAnsi="Arial" w:cs="Arial"/>
        </w:rPr>
        <w:t>Includes short and long-term trade debt and accounts payable, grants, taxes and interest payable.</w:t>
      </w:r>
    </w:p>
    <w:p w:rsidR="00E72670" w:rsidRDefault="00E72670" w:rsidP="00E72670">
      <w:pPr>
        <w:pStyle w:val="Heading20"/>
      </w:pPr>
    </w:p>
    <w:p w:rsidR="008A185A" w:rsidRPr="00AE259B" w:rsidRDefault="008A185A" w:rsidP="00E72670">
      <w:pPr>
        <w:pStyle w:val="Heading20"/>
      </w:pPr>
      <w:r w:rsidRPr="00AE259B">
        <w:t>Receivables</w:t>
      </w:r>
    </w:p>
    <w:p w:rsidR="008A185A" w:rsidRPr="00AE259B" w:rsidRDefault="008A185A" w:rsidP="008A185A">
      <w:pPr>
        <w:rPr>
          <w:rFonts w:ascii="Arial" w:hAnsi="Arial" w:cs="Arial"/>
        </w:rPr>
      </w:pPr>
      <w:r w:rsidRPr="00AE259B">
        <w:rPr>
          <w:rFonts w:ascii="Arial" w:hAnsi="Arial" w:cs="Arial"/>
        </w:rPr>
        <w:t>Includes amounts owing from government through appropriation receivable, short and long term credit and accounts receivable, accrued investment income, grants, taxes and interest receivable.</w:t>
      </w:r>
    </w:p>
    <w:p w:rsidR="006B7F1A" w:rsidRDefault="006B7F1A">
      <w:pPr>
        <w:rPr>
          <w:rFonts w:ascii="Arial" w:hAnsi="Arial" w:cs="Arial"/>
          <w:b/>
          <w:sz w:val="32"/>
          <w:szCs w:val="28"/>
        </w:rPr>
      </w:pPr>
      <w:r>
        <w:br w:type="page"/>
      </w:r>
    </w:p>
    <w:p w:rsidR="008A185A" w:rsidRPr="00AE259B" w:rsidRDefault="008A185A" w:rsidP="00E72670">
      <w:pPr>
        <w:pStyle w:val="Heading20"/>
      </w:pPr>
      <w:r w:rsidRPr="00AE259B">
        <w:t>Sales of goods and service</w:t>
      </w:r>
    </w:p>
    <w:p w:rsidR="008A185A" w:rsidRPr="00AE259B" w:rsidRDefault="008A185A" w:rsidP="008A185A">
      <w:pPr>
        <w:rPr>
          <w:rFonts w:ascii="Arial" w:hAnsi="Arial" w:cs="Arial"/>
        </w:rPr>
      </w:pPr>
      <w:r w:rsidRPr="00AE259B">
        <w:rPr>
          <w:rFonts w:ascii="Arial" w:hAnsi="Arial" w:cs="Arial"/>
        </w:rPr>
        <w:t>Refers to income from the direct provision of goods and services and includes fees and charges for services rendered, sales of goods and services, fees from regulatory services, work done as an agent for private enterprises. It also includes rental income under operating leases and on produced assets such as buildings and entertainment, but excludes rent income from the use of non-produced assets such as land. User charges includes sale of goods and services revenue.</w:t>
      </w:r>
    </w:p>
    <w:p w:rsidR="00E72670" w:rsidRDefault="00E72670" w:rsidP="00E72670">
      <w:pPr>
        <w:pStyle w:val="Heading20"/>
      </w:pPr>
    </w:p>
    <w:p w:rsidR="008A185A" w:rsidRPr="00AE259B" w:rsidRDefault="008A185A" w:rsidP="00E72670">
      <w:pPr>
        <w:pStyle w:val="Heading20"/>
      </w:pPr>
      <w:r w:rsidRPr="00AE259B">
        <w:t>Supplies and services</w:t>
      </w:r>
    </w:p>
    <w:p w:rsidR="008A185A" w:rsidRPr="00AE259B" w:rsidRDefault="008A185A" w:rsidP="008A185A">
      <w:pPr>
        <w:rPr>
          <w:rFonts w:ascii="Arial" w:hAnsi="Arial" w:cs="Arial"/>
        </w:rPr>
      </w:pPr>
      <w:r w:rsidRPr="00AE259B">
        <w:rPr>
          <w:rFonts w:ascii="Arial" w:hAnsi="Arial" w:cs="Arial"/>
        </w:rPr>
        <w:t xml:space="preserve">Supplies and services generally represent cost of goods sold and the day-to-day running costs, including maintenance costs incurred in the normal operations of PTV. </w:t>
      </w:r>
    </w:p>
    <w:p w:rsidR="00E72670" w:rsidRDefault="00E72670" w:rsidP="00E72670">
      <w:pPr>
        <w:pStyle w:val="Heading20"/>
      </w:pPr>
    </w:p>
    <w:p w:rsidR="008A185A" w:rsidRPr="00AE259B" w:rsidRDefault="008A185A" w:rsidP="00E72670">
      <w:pPr>
        <w:pStyle w:val="Heading20"/>
      </w:pPr>
      <w:r w:rsidRPr="00AE259B">
        <w:t>Transactions</w:t>
      </w:r>
    </w:p>
    <w:p w:rsidR="008A185A" w:rsidRPr="00AE259B" w:rsidRDefault="008A185A" w:rsidP="008A185A">
      <w:pPr>
        <w:rPr>
          <w:rFonts w:ascii="Arial" w:hAnsi="Arial" w:cs="Arial"/>
        </w:rPr>
      </w:pPr>
      <w:r w:rsidRPr="00AE259B">
        <w:rPr>
          <w:rFonts w:ascii="Arial" w:hAnsi="Arial" w:cs="Arial"/>
        </w:rPr>
        <w:t>Transactions are those economic flows that are considered to arise as a result of policy decisions, usually an interaction between two entities by mutual agreement. They also include flows within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(e.g. assets provided/given free of charge or for nominal consideration) or where the final consideration is cash. In simple terms, transactions arise from the policy decisions of the government.</w:t>
      </w:r>
      <w:bookmarkStart w:id="301" w:name="_Appendices"/>
      <w:bookmarkEnd w:id="301"/>
      <w:r w:rsidRPr="00AE259B">
        <w:rPr>
          <w:rFonts w:ascii="Arial" w:hAnsi="Arial" w:cs="Arial"/>
        </w:rPr>
        <w:t xml:space="preserve"> </w:t>
      </w:r>
    </w:p>
    <w:p w:rsidR="00E72670" w:rsidRDefault="00E72670" w:rsidP="00E72670">
      <w:pPr>
        <w:pStyle w:val="Heading40"/>
      </w:pPr>
    </w:p>
    <w:p w:rsidR="008A185A" w:rsidRPr="00AE259B" w:rsidRDefault="008A185A" w:rsidP="00E72670">
      <w:pPr>
        <w:pStyle w:val="Heading30"/>
      </w:pPr>
      <w:r w:rsidRPr="00AE259B">
        <w:t>Style conventions</w:t>
      </w:r>
    </w:p>
    <w:p w:rsidR="008A185A" w:rsidRPr="00AE259B" w:rsidRDefault="008A185A" w:rsidP="008A185A">
      <w:pPr>
        <w:rPr>
          <w:rFonts w:ascii="Arial" w:hAnsi="Arial" w:cs="Arial"/>
        </w:rPr>
      </w:pPr>
      <w:r w:rsidRPr="00AE259B">
        <w:rPr>
          <w:rFonts w:ascii="Arial" w:hAnsi="Arial" w:cs="Arial"/>
        </w:rPr>
        <w:t>Figures in the tables and in the text have been rounded.  Discrepancies in tables between totals and sums of components reflect rounding.  Percentage variations in all tables are based on the underlying unrounded amounts.</w:t>
      </w:r>
    </w:p>
    <w:p w:rsidR="008A185A" w:rsidRPr="00AE259B" w:rsidRDefault="008A185A" w:rsidP="008A185A">
      <w:pPr>
        <w:rPr>
          <w:rFonts w:ascii="Arial" w:hAnsi="Arial" w:cs="Arial"/>
        </w:rPr>
      </w:pPr>
      <w:r w:rsidRPr="00AE259B">
        <w:rPr>
          <w:rFonts w:ascii="Arial" w:hAnsi="Arial" w:cs="Arial"/>
        </w:rPr>
        <w:t>The notions used in the tables is as follows:</w:t>
      </w:r>
    </w:p>
    <w:p w:rsidR="008A185A" w:rsidRPr="00AE259B" w:rsidRDefault="008A185A" w:rsidP="00A17713">
      <w:pPr>
        <w:widowControl w:val="0"/>
        <w:numPr>
          <w:ilvl w:val="0"/>
          <w:numId w:val="14"/>
        </w:numPr>
        <w:suppressAutoHyphens/>
        <w:autoSpaceDE w:val="0"/>
        <w:autoSpaceDN w:val="0"/>
        <w:adjustRightInd w:val="0"/>
        <w:spacing w:before="57" w:after="113" w:line="220" w:lineRule="atLeast"/>
        <w:ind w:left="2127" w:hanging="2127"/>
        <w:textAlignment w:val="center"/>
        <w:rPr>
          <w:rFonts w:ascii="Arial" w:hAnsi="Arial" w:cs="Arial"/>
        </w:rPr>
      </w:pPr>
      <w:r w:rsidRPr="00AE259B">
        <w:rPr>
          <w:rFonts w:ascii="Arial" w:hAnsi="Arial" w:cs="Arial"/>
        </w:rPr>
        <w:t>zero, or rounded to zero</w:t>
      </w:r>
    </w:p>
    <w:p w:rsidR="008A185A" w:rsidRPr="00AE259B" w:rsidRDefault="008A185A" w:rsidP="008A185A">
      <w:pPr>
        <w:rPr>
          <w:rFonts w:ascii="Arial" w:hAnsi="Arial" w:cs="Arial"/>
        </w:rPr>
      </w:pPr>
      <w:r w:rsidRPr="00AE259B">
        <w:rPr>
          <w:rFonts w:ascii="Arial" w:hAnsi="Arial" w:cs="Arial"/>
        </w:rPr>
        <w:t>(xxx.x)</w:t>
      </w:r>
      <w:r w:rsidRPr="00AE259B">
        <w:rPr>
          <w:rFonts w:ascii="Arial" w:hAnsi="Arial" w:cs="Arial"/>
        </w:rPr>
        <w:tab/>
      </w:r>
      <w:r w:rsidRPr="00AE259B">
        <w:rPr>
          <w:rFonts w:ascii="Arial" w:hAnsi="Arial" w:cs="Arial"/>
        </w:rPr>
        <w:tab/>
        <w:t>negative numbers</w:t>
      </w:r>
    </w:p>
    <w:p w:rsidR="008A185A" w:rsidRPr="00AE259B" w:rsidRDefault="008A185A" w:rsidP="008A185A">
      <w:pPr>
        <w:rPr>
          <w:rFonts w:ascii="Arial" w:hAnsi="Arial" w:cs="Arial"/>
        </w:rPr>
      </w:pPr>
      <w:r w:rsidRPr="00AE259B">
        <w:rPr>
          <w:rFonts w:ascii="Arial" w:hAnsi="Arial" w:cs="Arial"/>
        </w:rPr>
        <w:t>200x</w:t>
      </w:r>
      <w:r w:rsidRPr="00AE259B">
        <w:rPr>
          <w:rFonts w:ascii="Arial" w:hAnsi="Arial" w:cs="Arial"/>
        </w:rPr>
        <w:tab/>
      </w:r>
      <w:r w:rsidRPr="00AE259B">
        <w:rPr>
          <w:rFonts w:ascii="Arial" w:hAnsi="Arial" w:cs="Arial"/>
        </w:rPr>
        <w:tab/>
        <w:t>year period</w:t>
      </w:r>
    </w:p>
    <w:p w:rsidR="008A185A" w:rsidRPr="00AE259B" w:rsidRDefault="008A185A" w:rsidP="008A185A">
      <w:pPr>
        <w:rPr>
          <w:rFonts w:ascii="Arial" w:hAnsi="Arial" w:cs="Arial"/>
        </w:rPr>
      </w:pPr>
      <w:r w:rsidRPr="00AE259B">
        <w:rPr>
          <w:rFonts w:ascii="Arial" w:hAnsi="Arial" w:cs="Arial"/>
        </w:rPr>
        <w:t>200x-0x</w:t>
      </w:r>
      <w:r w:rsidRPr="00AE259B">
        <w:rPr>
          <w:rFonts w:ascii="Arial" w:hAnsi="Arial" w:cs="Arial"/>
        </w:rPr>
        <w:tab/>
      </w:r>
      <w:r w:rsidRPr="00AE259B">
        <w:rPr>
          <w:rFonts w:ascii="Arial" w:hAnsi="Arial" w:cs="Arial"/>
        </w:rPr>
        <w:tab/>
        <w:t>year period</w:t>
      </w:r>
    </w:p>
    <w:p w:rsidR="008A185A" w:rsidRPr="00AE259B" w:rsidRDefault="008A185A" w:rsidP="008A185A">
      <w:pPr>
        <w:rPr>
          <w:rFonts w:ascii="Arial" w:hAnsi="Arial" w:cs="Arial"/>
        </w:rPr>
      </w:pPr>
      <w:r w:rsidRPr="00AE259B">
        <w:rPr>
          <w:rFonts w:ascii="Arial" w:hAnsi="Arial" w:cs="Arial"/>
        </w:rPr>
        <w:t>The financial statements and notes are presented based on the illustration for a government department in the 2012-13 Model Report for Victorian Government Departments.</w:t>
      </w:r>
    </w:p>
    <w:p w:rsidR="008A185A" w:rsidRPr="00AE259B" w:rsidRDefault="008A185A" w:rsidP="009C0176">
      <w:pPr>
        <w:pStyle w:val="Title1"/>
        <w:outlineLvl w:val="0"/>
      </w:pPr>
    </w:p>
    <w:p w:rsidR="009C0176" w:rsidRDefault="009C0176">
      <w:pPr>
        <w:rPr>
          <w:rFonts w:ascii="Arial" w:hAnsi="Arial" w:cs="Arial"/>
        </w:rPr>
      </w:pPr>
      <w:r>
        <w:rPr>
          <w:rFonts w:ascii="Arial" w:hAnsi="Arial" w:cs="Arial"/>
        </w:rPr>
        <w:br w:type="page"/>
      </w:r>
    </w:p>
    <w:p w:rsidR="009C0176" w:rsidRPr="006B7F1A" w:rsidRDefault="009C0176" w:rsidP="006B7F1A">
      <w:pPr>
        <w:pStyle w:val="Title1"/>
      </w:pPr>
      <w:bookmarkStart w:id="302" w:name="_Toc365382502"/>
      <w:r w:rsidRPr="006B7F1A">
        <w:t>Appendices</w:t>
      </w:r>
      <w:bookmarkEnd w:id="302"/>
    </w:p>
    <w:p w:rsidR="009C0176" w:rsidRPr="00F8360B" w:rsidRDefault="009C0176" w:rsidP="00CA287F">
      <w:pPr>
        <w:rPr>
          <w:rFonts w:ascii="Arial" w:hAnsi="Arial" w:cs="Arial"/>
        </w:rPr>
      </w:pPr>
    </w:p>
    <w:p w:rsidR="00F8360B" w:rsidRPr="00AD22A8" w:rsidRDefault="002059C1" w:rsidP="00DA50F4">
      <w:pPr>
        <w:pStyle w:val="TOC1"/>
        <w:rPr>
          <w:rFonts w:ascii="Calibri" w:hAnsi="Calibri"/>
          <w:sz w:val="22"/>
          <w:szCs w:val="22"/>
        </w:rPr>
      </w:pPr>
      <w:hyperlink w:anchor="_Toc366672116" w:history="1">
        <w:r w:rsidR="00F8360B" w:rsidRPr="00F8360B">
          <w:rPr>
            <w:rStyle w:val="Hyperlink"/>
            <w:color w:val="auto"/>
            <w:u w:val="none"/>
          </w:rPr>
          <w:t>PTV People</w:t>
        </w:r>
        <w:r w:rsidR="00F8360B" w:rsidRPr="00F8360B">
          <w:rPr>
            <w:webHidden/>
          </w:rPr>
          <w:tab/>
        </w:r>
        <w:r w:rsidR="00F8360B" w:rsidRPr="00F8360B">
          <w:rPr>
            <w:webHidden/>
          </w:rPr>
          <w:fldChar w:fldCharType="begin"/>
        </w:r>
        <w:r w:rsidR="00F8360B" w:rsidRPr="00F8360B">
          <w:rPr>
            <w:webHidden/>
          </w:rPr>
          <w:instrText xml:space="preserve"> PAGEREF _Toc366672116 \h </w:instrText>
        </w:r>
        <w:r w:rsidR="00F8360B" w:rsidRPr="00F8360B">
          <w:rPr>
            <w:webHidden/>
          </w:rPr>
        </w:r>
        <w:r w:rsidR="00F8360B" w:rsidRPr="00F8360B">
          <w:rPr>
            <w:webHidden/>
          </w:rPr>
          <w:fldChar w:fldCharType="separate"/>
        </w:r>
        <w:r w:rsidR="00DA50F4">
          <w:rPr>
            <w:webHidden/>
          </w:rPr>
          <w:t>113</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17" w:history="1">
        <w:r w:rsidR="00F8360B" w:rsidRPr="00F8360B">
          <w:rPr>
            <w:rStyle w:val="Hyperlink"/>
            <w:color w:val="auto"/>
            <w:u w:val="none"/>
          </w:rPr>
          <w:t>Environmental performance</w:t>
        </w:r>
        <w:r w:rsidR="00F8360B" w:rsidRPr="00F8360B">
          <w:rPr>
            <w:webHidden/>
          </w:rPr>
          <w:tab/>
        </w:r>
        <w:r w:rsidR="00F8360B" w:rsidRPr="00F8360B">
          <w:rPr>
            <w:webHidden/>
          </w:rPr>
          <w:fldChar w:fldCharType="begin"/>
        </w:r>
        <w:r w:rsidR="00F8360B" w:rsidRPr="00F8360B">
          <w:rPr>
            <w:webHidden/>
          </w:rPr>
          <w:instrText xml:space="preserve"> PAGEREF _Toc366672117 \h </w:instrText>
        </w:r>
        <w:r w:rsidR="00F8360B" w:rsidRPr="00F8360B">
          <w:rPr>
            <w:webHidden/>
          </w:rPr>
        </w:r>
        <w:r w:rsidR="00F8360B" w:rsidRPr="00F8360B">
          <w:rPr>
            <w:webHidden/>
          </w:rPr>
          <w:fldChar w:fldCharType="separate"/>
        </w:r>
        <w:r w:rsidR="00DA50F4">
          <w:rPr>
            <w:webHidden/>
          </w:rPr>
          <w:t>116</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18" w:history="1">
        <w:r w:rsidR="00F8360B" w:rsidRPr="00F8360B">
          <w:rPr>
            <w:rStyle w:val="Hyperlink"/>
            <w:color w:val="auto"/>
            <w:u w:val="none"/>
          </w:rPr>
          <w:t>Protected Disclosure Act 2012 and Whistleblowers Protection Act 2001</w:t>
        </w:r>
        <w:r w:rsidR="00F8360B" w:rsidRPr="00F8360B">
          <w:rPr>
            <w:webHidden/>
          </w:rPr>
          <w:tab/>
        </w:r>
        <w:r w:rsidR="00F8360B" w:rsidRPr="00F8360B">
          <w:rPr>
            <w:webHidden/>
          </w:rPr>
          <w:fldChar w:fldCharType="begin"/>
        </w:r>
        <w:r w:rsidR="00F8360B" w:rsidRPr="00F8360B">
          <w:rPr>
            <w:webHidden/>
          </w:rPr>
          <w:instrText xml:space="preserve"> PAGEREF _Toc366672118 \h </w:instrText>
        </w:r>
        <w:r w:rsidR="00F8360B" w:rsidRPr="00F8360B">
          <w:rPr>
            <w:webHidden/>
          </w:rPr>
        </w:r>
        <w:r w:rsidR="00F8360B" w:rsidRPr="00F8360B">
          <w:rPr>
            <w:webHidden/>
          </w:rPr>
          <w:fldChar w:fldCharType="separate"/>
        </w:r>
        <w:r w:rsidR="00DA50F4">
          <w:rPr>
            <w:webHidden/>
          </w:rPr>
          <w:t>117</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19" w:history="1">
        <w:r w:rsidR="00F8360B" w:rsidRPr="00F8360B">
          <w:rPr>
            <w:rStyle w:val="Hyperlink"/>
            <w:color w:val="auto"/>
            <w:u w:val="none"/>
          </w:rPr>
          <w:t>Freedom of Information Summary</w:t>
        </w:r>
        <w:r w:rsidR="00F8360B" w:rsidRPr="00F8360B">
          <w:rPr>
            <w:webHidden/>
          </w:rPr>
          <w:tab/>
        </w:r>
        <w:r w:rsidR="00F8360B" w:rsidRPr="00F8360B">
          <w:rPr>
            <w:webHidden/>
          </w:rPr>
          <w:fldChar w:fldCharType="begin"/>
        </w:r>
        <w:r w:rsidR="00F8360B" w:rsidRPr="00F8360B">
          <w:rPr>
            <w:webHidden/>
          </w:rPr>
          <w:instrText xml:space="preserve"> PAGEREF _Toc366672119 \h </w:instrText>
        </w:r>
        <w:r w:rsidR="00F8360B" w:rsidRPr="00F8360B">
          <w:rPr>
            <w:webHidden/>
          </w:rPr>
        </w:r>
        <w:r w:rsidR="00F8360B" w:rsidRPr="00F8360B">
          <w:rPr>
            <w:webHidden/>
          </w:rPr>
          <w:fldChar w:fldCharType="separate"/>
        </w:r>
        <w:r w:rsidR="00DA50F4">
          <w:rPr>
            <w:webHidden/>
          </w:rPr>
          <w:t>121</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0" w:history="1">
        <w:r w:rsidR="00F8360B" w:rsidRPr="00F8360B">
          <w:rPr>
            <w:rStyle w:val="Hyperlink"/>
            <w:color w:val="auto"/>
            <w:u w:val="none"/>
            <w:lang w:val="en-GB"/>
          </w:rPr>
          <w:t>Disclosure of government advertising expenditure</w:t>
        </w:r>
        <w:r w:rsidR="00F8360B" w:rsidRPr="00F8360B">
          <w:rPr>
            <w:webHidden/>
          </w:rPr>
          <w:tab/>
        </w:r>
        <w:r w:rsidR="00F8360B" w:rsidRPr="00F8360B">
          <w:rPr>
            <w:webHidden/>
          </w:rPr>
          <w:fldChar w:fldCharType="begin"/>
        </w:r>
        <w:r w:rsidR="00F8360B" w:rsidRPr="00F8360B">
          <w:rPr>
            <w:webHidden/>
          </w:rPr>
          <w:instrText xml:space="preserve"> PAGEREF _Toc366672120 \h </w:instrText>
        </w:r>
        <w:r w:rsidR="00F8360B" w:rsidRPr="00F8360B">
          <w:rPr>
            <w:webHidden/>
          </w:rPr>
        </w:r>
        <w:r w:rsidR="00F8360B" w:rsidRPr="00F8360B">
          <w:rPr>
            <w:webHidden/>
          </w:rPr>
          <w:fldChar w:fldCharType="separate"/>
        </w:r>
        <w:r w:rsidR="00DA50F4">
          <w:rPr>
            <w:webHidden/>
          </w:rPr>
          <w:t>123</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1" w:history="1">
        <w:r w:rsidR="00F8360B" w:rsidRPr="00F8360B">
          <w:rPr>
            <w:rStyle w:val="Hyperlink"/>
            <w:color w:val="auto"/>
            <w:u w:val="none"/>
          </w:rPr>
          <w:t>Victorian Industry Participation Policy</w:t>
        </w:r>
        <w:r w:rsidR="00F8360B" w:rsidRPr="00F8360B">
          <w:rPr>
            <w:webHidden/>
          </w:rPr>
          <w:tab/>
        </w:r>
        <w:r w:rsidR="00F8360B" w:rsidRPr="00F8360B">
          <w:rPr>
            <w:webHidden/>
          </w:rPr>
          <w:fldChar w:fldCharType="begin"/>
        </w:r>
        <w:r w:rsidR="00F8360B" w:rsidRPr="00F8360B">
          <w:rPr>
            <w:webHidden/>
          </w:rPr>
          <w:instrText xml:space="preserve"> PAGEREF _Toc366672121 \h </w:instrText>
        </w:r>
        <w:r w:rsidR="00F8360B" w:rsidRPr="00F8360B">
          <w:rPr>
            <w:webHidden/>
          </w:rPr>
        </w:r>
        <w:r w:rsidR="00F8360B" w:rsidRPr="00F8360B">
          <w:rPr>
            <w:webHidden/>
          </w:rPr>
          <w:fldChar w:fldCharType="separate"/>
        </w:r>
        <w:r w:rsidR="00DA50F4">
          <w:rPr>
            <w:webHidden/>
          </w:rPr>
          <w:t>124</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2" w:history="1">
        <w:r w:rsidR="00F8360B" w:rsidRPr="00F8360B">
          <w:rPr>
            <w:rStyle w:val="Hyperlink"/>
            <w:color w:val="auto"/>
            <w:u w:val="none"/>
          </w:rPr>
          <w:t>National Competition Policy Compliance</w:t>
        </w:r>
        <w:r w:rsidR="00F8360B" w:rsidRPr="00F8360B">
          <w:rPr>
            <w:webHidden/>
          </w:rPr>
          <w:tab/>
        </w:r>
        <w:r w:rsidR="00F8360B" w:rsidRPr="00F8360B">
          <w:rPr>
            <w:webHidden/>
          </w:rPr>
          <w:fldChar w:fldCharType="begin"/>
        </w:r>
        <w:r w:rsidR="00F8360B" w:rsidRPr="00F8360B">
          <w:rPr>
            <w:webHidden/>
          </w:rPr>
          <w:instrText xml:space="preserve"> PAGEREF _Toc366672122 \h </w:instrText>
        </w:r>
        <w:r w:rsidR="00F8360B" w:rsidRPr="00F8360B">
          <w:rPr>
            <w:webHidden/>
          </w:rPr>
        </w:r>
        <w:r w:rsidR="00F8360B" w:rsidRPr="00F8360B">
          <w:rPr>
            <w:webHidden/>
          </w:rPr>
          <w:fldChar w:fldCharType="separate"/>
        </w:r>
        <w:r w:rsidR="00DA50F4">
          <w:rPr>
            <w:webHidden/>
          </w:rPr>
          <w:t>125</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3" w:history="1">
        <w:r w:rsidR="00F8360B" w:rsidRPr="00F8360B">
          <w:rPr>
            <w:rStyle w:val="Hyperlink"/>
            <w:color w:val="auto"/>
            <w:u w:val="none"/>
          </w:rPr>
          <w:t>Attestation of Risk Management</w:t>
        </w:r>
        <w:r w:rsidR="00F8360B" w:rsidRPr="00F8360B">
          <w:rPr>
            <w:webHidden/>
          </w:rPr>
          <w:tab/>
        </w:r>
        <w:r w:rsidR="00F8360B" w:rsidRPr="00F8360B">
          <w:rPr>
            <w:webHidden/>
          </w:rPr>
          <w:fldChar w:fldCharType="begin"/>
        </w:r>
        <w:r w:rsidR="00F8360B" w:rsidRPr="00F8360B">
          <w:rPr>
            <w:webHidden/>
          </w:rPr>
          <w:instrText xml:space="preserve"> PAGEREF _Toc366672123 \h </w:instrText>
        </w:r>
        <w:r w:rsidR="00F8360B" w:rsidRPr="00F8360B">
          <w:rPr>
            <w:webHidden/>
          </w:rPr>
        </w:r>
        <w:r w:rsidR="00F8360B" w:rsidRPr="00F8360B">
          <w:rPr>
            <w:webHidden/>
          </w:rPr>
          <w:fldChar w:fldCharType="separate"/>
        </w:r>
        <w:r w:rsidR="00DA50F4">
          <w:rPr>
            <w:webHidden/>
          </w:rPr>
          <w:t>126</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4" w:history="1">
        <w:r w:rsidR="00F8360B" w:rsidRPr="00F8360B">
          <w:rPr>
            <w:rStyle w:val="Hyperlink"/>
            <w:color w:val="auto"/>
            <w:u w:val="none"/>
          </w:rPr>
          <w:t>Insurance Attestation</w:t>
        </w:r>
        <w:r w:rsidR="00F8360B" w:rsidRPr="00F8360B">
          <w:rPr>
            <w:webHidden/>
          </w:rPr>
          <w:tab/>
        </w:r>
        <w:r w:rsidR="00F8360B" w:rsidRPr="00F8360B">
          <w:rPr>
            <w:webHidden/>
          </w:rPr>
          <w:fldChar w:fldCharType="begin"/>
        </w:r>
        <w:r w:rsidR="00F8360B" w:rsidRPr="00F8360B">
          <w:rPr>
            <w:webHidden/>
          </w:rPr>
          <w:instrText xml:space="preserve"> PAGEREF _Toc366672124 \h </w:instrText>
        </w:r>
        <w:r w:rsidR="00F8360B" w:rsidRPr="00F8360B">
          <w:rPr>
            <w:webHidden/>
          </w:rPr>
        </w:r>
        <w:r w:rsidR="00F8360B" w:rsidRPr="00F8360B">
          <w:rPr>
            <w:webHidden/>
          </w:rPr>
          <w:fldChar w:fldCharType="separate"/>
        </w:r>
        <w:r w:rsidR="00DA50F4">
          <w:rPr>
            <w:webHidden/>
          </w:rPr>
          <w:t>126</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5" w:history="1">
        <w:r w:rsidR="00F8360B" w:rsidRPr="00F8360B">
          <w:rPr>
            <w:rStyle w:val="Hyperlink"/>
            <w:color w:val="auto"/>
            <w:u w:val="none"/>
          </w:rPr>
          <w:t>Building Act Compliance</w:t>
        </w:r>
        <w:r w:rsidR="00F8360B" w:rsidRPr="00F8360B">
          <w:rPr>
            <w:webHidden/>
          </w:rPr>
          <w:tab/>
        </w:r>
        <w:r w:rsidR="00F8360B" w:rsidRPr="00F8360B">
          <w:rPr>
            <w:webHidden/>
          </w:rPr>
          <w:fldChar w:fldCharType="begin"/>
        </w:r>
        <w:r w:rsidR="00F8360B" w:rsidRPr="00F8360B">
          <w:rPr>
            <w:webHidden/>
          </w:rPr>
          <w:instrText xml:space="preserve"> PAGEREF _Toc366672125 \h </w:instrText>
        </w:r>
        <w:r w:rsidR="00F8360B" w:rsidRPr="00F8360B">
          <w:rPr>
            <w:webHidden/>
          </w:rPr>
        </w:r>
        <w:r w:rsidR="00F8360B" w:rsidRPr="00F8360B">
          <w:rPr>
            <w:webHidden/>
          </w:rPr>
          <w:fldChar w:fldCharType="separate"/>
        </w:r>
        <w:r w:rsidR="00DA50F4">
          <w:rPr>
            <w:webHidden/>
          </w:rPr>
          <w:t>127</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6" w:history="1">
        <w:r w:rsidR="00F8360B" w:rsidRPr="00F8360B">
          <w:rPr>
            <w:rStyle w:val="Hyperlink"/>
            <w:color w:val="auto"/>
            <w:u w:val="none"/>
          </w:rPr>
          <w:t>Disclosure of major contracts compliance</w:t>
        </w:r>
        <w:r w:rsidR="00F8360B" w:rsidRPr="00F8360B">
          <w:rPr>
            <w:webHidden/>
          </w:rPr>
          <w:tab/>
        </w:r>
        <w:r w:rsidR="00F8360B" w:rsidRPr="00F8360B">
          <w:rPr>
            <w:webHidden/>
          </w:rPr>
          <w:fldChar w:fldCharType="begin"/>
        </w:r>
        <w:r w:rsidR="00F8360B" w:rsidRPr="00F8360B">
          <w:rPr>
            <w:webHidden/>
          </w:rPr>
          <w:instrText xml:space="preserve"> PAGEREF _Toc366672126 \h </w:instrText>
        </w:r>
        <w:r w:rsidR="00F8360B" w:rsidRPr="00F8360B">
          <w:rPr>
            <w:webHidden/>
          </w:rPr>
        </w:r>
        <w:r w:rsidR="00F8360B" w:rsidRPr="00F8360B">
          <w:rPr>
            <w:webHidden/>
          </w:rPr>
          <w:fldChar w:fldCharType="separate"/>
        </w:r>
        <w:r w:rsidR="00DA50F4">
          <w:rPr>
            <w:webHidden/>
          </w:rPr>
          <w:t>128</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7" w:history="1">
        <w:r w:rsidR="00F8360B" w:rsidRPr="00F8360B">
          <w:rPr>
            <w:rStyle w:val="Hyperlink"/>
            <w:color w:val="auto"/>
            <w:u w:val="none"/>
          </w:rPr>
          <w:t>Consultancies</w:t>
        </w:r>
        <w:r w:rsidR="00F8360B" w:rsidRPr="00F8360B">
          <w:rPr>
            <w:webHidden/>
          </w:rPr>
          <w:tab/>
        </w:r>
        <w:r w:rsidR="00F8360B" w:rsidRPr="00F8360B">
          <w:rPr>
            <w:webHidden/>
          </w:rPr>
          <w:fldChar w:fldCharType="begin"/>
        </w:r>
        <w:r w:rsidR="00F8360B" w:rsidRPr="00F8360B">
          <w:rPr>
            <w:webHidden/>
          </w:rPr>
          <w:instrText xml:space="preserve"> PAGEREF _Toc366672127 \h </w:instrText>
        </w:r>
        <w:r w:rsidR="00F8360B" w:rsidRPr="00F8360B">
          <w:rPr>
            <w:webHidden/>
          </w:rPr>
        </w:r>
        <w:r w:rsidR="00F8360B" w:rsidRPr="00F8360B">
          <w:rPr>
            <w:webHidden/>
          </w:rPr>
          <w:fldChar w:fldCharType="separate"/>
        </w:r>
        <w:r w:rsidR="00DA50F4">
          <w:rPr>
            <w:webHidden/>
          </w:rPr>
          <w:t>129</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8" w:history="1">
        <w:r w:rsidR="00F8360B" w:rsidRPr="00F8360B">
          <w:rPr>
            <w:rStyle w:val="Hyperlink"/>
            <w:color w:val="auto"/>
            <w:u w:val="none"/>
          </w:rPr>
          <w:t>Additional information available</w:t>
        </w:r>
        <w:r w:rsidR="00F8360B" w:rsidRPr="00F8360B">
          <w:rPr>
            <w:webHidden/>
          </w:rPr>
          <w:tab/>
        </w:r>
        <w:r w:rsidR="00F8360B" w:rsidRPr="00F8360B">
          <w:rPr>
            <w:webHidden/>
          </w:rPr>
          <w:fldChar w:fldCharType="begin"/>
        </w:r>
        <w:r w:rsidR="00F8360B" w:rsidRPr="00F8360B">
          <w:rPr>
            <w:webHidden/>
          </w:rPr>
          <w:instrText xml:space="preserve"> PAGEREF _Toc366672128 \h </w:instrText>
        </w:r>
        <w:r w:rsidR="00F8360B" w:rsidRPr="00F8360B">
          <w:rPr>
            <w:webHidden/>
          </w:rPr>
        </w:r>
        <w:r w:rsidR="00F8360B" w:rsidRPr="00F8360B">
          <w:rPr>
            <w:webHidden/>
          </w:rPr>
          <w:fldChar w:fldCharType="separate"/>
        </w:r>
        <w:r w:rsidR="00DA50F4">
          <w:rPr>
            <w:webHidden/>
          </w:rPr>
          <w:t>130</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29" w:history="1">
        <w:r w:rsidR="00F8360B" w:rsidRPr="00F8360B">
          <w:rPr>
            <w:rStyle w:val="Hyperlink"/>
            <w:color w:val="auto"/>
            <w:u w:val="none"/>
          </w:rPr>
          <w:t>Contact information</w:t>
        </w:r>
        <w:r w:rsidR="00F8360B" w:rsidRPr="00F8360B">
          <w:rPr>
            <w:webHidden/>
          </w:rPr>
          <w:tab/>
        </w:r>
        <w:r w:rsidR="00F8360B" w:rsidRPr="00F8360B">
          <w:rPr>
            <w:webHidden/>
          </w:rPr>
          <w:fldChar w:fldCharType="begin"/>
        </w:r>
        <w:r w:rsidR="00F8360B" w:rsidRPr="00F8360B">
          <w:rPr>
            <w:webHidden/>
          </w:rPr>
          <w:instrText xml:space="preserve"> PAGEREF _Toc366672129 \h </w:instrText>
        </w:r>
        <w:r w:rsidR="00F8360B" w:rsidRPr="00F8360B">
          <w:rPr>
            <w:webHidden/>
          </w:rPr>
        </w:r>
        <w:r w:rsidR="00F8360B" w:rsidRPr="00F8360B">
          <w:rPr>
            <w:webHidden/>
          </w:rPr>
          <w:fldChar w:fldCharType="separate"/>
        </w:r>
        <w:r w:rsidR="00DA50F4">
          <w:rPr>
            <w:webHidden/>
          </w:rPr>
          <w:t>131</w:t>
        </w:r>
        <w:r w:rsidR="00F8360B" w:rsidRPr="00F8360B">
          <w:rPr>
            <w:webHidden/>
          </w:rPr>
          <w:fldChar w:fldCharType="end"/>
        </w:r>
      </w:hyperlink>
    </w:p>
    <w:p w:rsidR="00F8360B" w:rsidRPr="00AD22A8" w:rsidRDefault="002059C1" w:rsidP="00DA50F4">
      <w:pPr>
        <w:pStyle w:val="TOC1"/>
        <w:rPr>
          <w:rFonts w:ascii="Calibri" w:hAnsi="Calibri"/>
          <w:sz w:val="22"/>
          <w:szCs w:val="22"/>
        </w:rPr>
      </w:pPr>
      <w:hyperlink w:anchor="_Toc366672130" w:history="1">
        <w:r w:rsidR="00F8360B" w:rsidRPr="00F8360B">
          <w:rPr>
            <w:rStyle w:val="Hyperlink"/>
            <w:color w:val="auto"/>
            <w:u w:val="none"/>
          </w:rPr>
          <w:t>Disclosure index</w:t>
        </w:r>
        <w:r w:rsidR="00F8360B" w:rsidRPr="00F8360B">
          <w:rPr>
            <w:webHidden/>
          </w:rPr>
          <w:tab/>
        </w:r>
        <w:r w:rsidR="00F8360B" w:rsidRPr="00F8360B">
          <w:rPr>
            <w:webHidden/>
          </w:rPr>
          <w:fldChar w:fldCharType="begin"/>
        </w:r>
        <w:r w:rsidR="00F8360B" w:rsidRPr="00F8360B">
          <w:rPr>
            <w:webHidden/>
          </w:rPr>
          <w:instrText xml:space="preserve"> PAGEREF _Toc366672130 \h </w:instrText>
        </w:r>
        <w:r w:rsidR="00F8360B" w:rsidRPr="00F8360B">
          <w:rPr>
            <w:webHidden/>
          </w:rPr>
        </w:r>
        <w:r w:rsidR="00F8360B" w:rsidRPr="00F8360B">
          <w:rPr>
            <w:webHidden/>
          </w:rPr>
          <w:fldChar w:fldCharType="separate"/>
        </w:r>
        <w:r w:rsidR="00DA50F4">
          <w:rPr>
            <w:webHidden/>
          </w:rPr>
          <w:t>132</w:t>
        </w:r>
        <w:r w:rsidR="00F8360B" w:rsidRPr="00F8360B">
          <w:rPr>
            <w:webHidden/>
          </w:rPr>
          <w:fldChar w:fldCharType="end"/>
        </w:r>
      </w:hyperlink>
    </w:p>
    <w:p w:rsidR="00542016" w:rsidRDefault="00542016">
      <w:pPr>
        <w:rPr>
          <w:rFonts w:ascii="Arial" w:hAnsi="Arial" w:cs="Arial"/>
        </w:rPr>
      </w:pPr>
      <w:r>
        <w:rPr>
          <w:rFonts w:ascii="Arial" w:hAnsi="Arial" w:cs="Arial"/>
        </w:rPr>
        <w:br w:type="page"/>
      </w:r>
    </w:p>
    <w:p w:rsidR="00542016" w:rsidRPr="000E6622" w:rsidRDefault="00542016" w:rsidP="00A73F5E">
      <w:pPr>
        <w:pStyle w:val="Heading10"/>
        <w:outlineLvl w:val="0"/>
      </w:pPr>
      <w:bookmarkStart w:id="303" w:name="_Toc365383086"/>
      <w:bookmarkStart w:id="304" w:name="_Toc366672116"/>
      <w:r w:rsidRPr="000E6622">
        <w:t>PTV People</w:t>
      </w:r>
      <w:bookmarkEnd w:id="303"/>
      <w:bookmarkEnd w:id="304"/>
    </w:p>
    <w:p w:rsidR="00542016" w:rsidRPr="00542016" w:rsidRDefault="00542016" w:rsidP="00542016">
      <w:pPr>
        <w:autoSpaceDE w:val="0"/>
        <w:autoSpaceDN w:val="0"/>
        <w:adjustRightInd w:val="0"/>
        <w:rPr>
          <w:rFonts w:ascii="Arial" w:hAnsi="Arial" w:cs="Arial"/>
          <w:b/>
          <w:sz w:val="28"/>
          <w:szCs w:val="28"/>
        </w:rPr>
      </w:pPr>
    </w:p>
    <w:p w:rsidR="00542016" w:rsidRPr="00542016" w:rsidRDefault="00542016" w:rsidP="00ED42C3">
      <w:pPr>
        <w:pStyle w:val="Heading20"/>
      </w:pPr>
      <w:r w:rsidRPr="00542016">
        <w:t>Comparative workforce data</w:t>
      </w:r>
    </w:p>
    <w:p w:rsidR="00542016" w:rsidRPr="00542016" w:rsidRDefault="00542016" w:rsidP="00542016">
      <w:pPr>
        <w:rPr>
          <w:rFonts w:ascii="Arial" w:hAnsi="Arial" w:cs="Arial"/>
          <w:b/>
          <w:szCs w:val="20"/>
        </w:rPr>
      </w:pPr>
    </w:p>
    <w:p w:rsidR="00542016" w:rsidRPr="00542016" w:rsidRDefault="00542016" w:rsidP="00542016">
      <w:pPr>
        <w:pStyle w:val="Tableheading0"/>
        <w:spacing w:before="40"/>
        <w:rPr>
          <w:rFonts w:ascii="Arial" w:hAnsi="Arial"/>
        </w:rPr>
      </w:pPr>
      <w:r w:rsidRPr="00542016">
        <w:rPr>
          <w:rFonts w:ascii="Arial" w:hAnsi="Arial"/>
        </w:rPr>
        <w:t>Table 1: Full time equivalents (FTE) staffing trends from 2012 to 2013(i)</w:t>
      </w:r>
    </w:p>
    <w:tbl>
      <w:tblPr>
        <w:tblW w:w="6447" w:type="dxa"/>
        <w:tblBorders>
          <w:top w:val="single" w:sz="4" w:space="0" w:color="auto"/>
          <w:bottom w:val="single" w:sz="12" w:space="0" w:color="auto"/>
          <w:insideH w:val="single" w:sz="4" w:space="0" w:color="auto"/>
        </w:tblBorders>
        <w:tblLayout w:type="fixed"/>
        <w:tblCellMar>
          <w:left w:w="43" w:type="dxa"/>
          <w:right w:w="43" w:type="dxa"/>
        </w:tblCellMar>
        <w:tblLook w:val="01E0" w:firstRow="1" w:lastRow="1" w:firstColumn="1" w:lastColumn="1" w:noHBand="0" w:noVBand="0"/>
      </w:tblPr>
      <w:tblGrid>
        <w:gridCol w:w="1663"/>
        <w:gridCol w:w="1701"/>
        <w:gridCol w:w="1417"/>
        <w:gridCol w:w="1560"/>
        <w:gridCol w:w="106"/>
      </w:tblGrid>
      <w:tr w:rsidR="00542016" w:rsidRPr="00542016" w:rsidTr="000C6757">
        <w:trPr>
          <w:cantSplit/>
        </w:trPr>
        <w:tc>
          <w:tcPr>
            <w:tcW w:w="1663" w:type="dxa"/>
            <w:tcBorders>
              <w:top w:val="single" w:sz="4" w:space="0" w:color="auto"/>
              <w:bottom w:val="single" w:sz="4" w:space="0" w:color="auto"/>
            </w:tcBorders>
          </w:tcPr>
          <w:p w:rsidR="00542016" w:rsidRPr="00542016" w:rsidRDefault="00542016" w:rsidP="000C6757">
            <w:pPr>
              <w:pStyle w:val="TabletextheadingCentred"/>
              <w:jc w:val="right"/>
              <w:rPr>
                <w:rFonts w:ascii="Arial" w:hAnsi="Arial"/>
              </w:rPr>
            </w:pPr>
            <w:r w:rsidRPr="00542016">
              <w:rPr>
                <w:rFonts w:ascii="Arial" w:hAnsi="Arial"/>
              </w:rPr>
              <w:t>2013</w:t>
            </w:r>
          </w:p>
        </w:tc>
        <w:tc>
          <w:tcPr>
            <w:tcW w:w="1701" w:type="dxa"/>
            <w:tcBorders>
              <w:top w:val="single" w:sz="4" w:space="0" w:color="auto"/>
              <w:bottom w:val="single" w:sz="4" w:space="0" w:color="auto"/>
            </w:tcBorders>
          </w:tcPr>
          <w:p w:rsidR="00542016" w:rsidRPr="00542016" w:rsidRDefault="00542016" w:rsidP="000C6757">
            <w:pPr>
              <w:pStyle w:val="TabletextheadingCentred"/>
              <w:jc w:val="right"/>
              <w:rPr>
                <w:rFonts w:ascii="Arial" w:hAnsi="Arial"/>
              </w:rPr>
            </w:pPr>
            <w:r w:rsidRPr="00542016">
              <w:rPr>
                <w:rFonts w:ascii="Arial" w:hAnsi="Arial"/>
              </w:rPr>
              <w:t>2012</w:t>
            </w:r>
          </w:p>
        </w:tc>
        <w:tc>
          <w:tcPr>
            <w:tcW w:w="1417" w:type="dxa"/>
            <w:tcBorders>
              <w:top w:val="single" w:sz="4" w:space="0" w:color="auto"/>
              <w:bottom w:val="single" w:sz="4" w:space="0" w:color="auto"/>
            </w:tcBorders>
          </w:tcPr>
          <w:p w:rsidR="00542016" w:rsidRPr="00542016" w:rsidRDefault="00542016" w:rsidP="000C6757">
            <w:pPr>
              <w:pStyle w:val="TabletextheadingCentred"/>
              <w:rPr>
                <w:rFonts w:ascii="Arial" w:hAnsi="Arial"/>
              </w:rPr>
            </w:pPr>
          </w:p>
        </w:tc>
        <w:tc>
          <w:tcPr>
            <w:tcW w:w="1560" w:type="dxa"/>
            <w:tcBorders>
              <w:top w:val="single" w:sz="4" w:space="0" w:color="auto"/>
              <w:bottom w:val="single" w:sz="4" w:space="0" w:color="auto"/>
            </w:tcBorders>
          </w:tcPr>
          <w:p w:rsidR="00542016" w:rsidRPr="00542016" w:rsidRDefault="00542016" w:rsidP="000C6757">
            <w:pPr>
              <w:pStyle w:val="TabletextheadingCentred"/>
              <w:rPr>
                <w:rFonts w:ascii="Arial" w:hAnsi="Arial"/>
              </w:rPr>
            </w:pPr>
          </w:p>
        </w:tc>
        <w:tc>
          <w:tcPr>
            <w:tcW w:w="106" w:type="dxa"/>
            <w:tcBorders>
              <w:top w:val="single" w:sz="4" w:space="0" w:color="auto"/>
              <w:bottom w:val="single" w:sz="4" w:space="0" w:color="auto"/>
            </w:tcBorders>
          </w:tcPr>
          <w:p w:rsidR="00542016" w:rsidRPr="00542016" w:rsidRDefault="00542016" w:rsidP="000C6757">
            <w:pPr>
              <w:pStyle w:val="TabletextheadingCentred"/>
              <w:rPr>
                <w:rFonts w:ascii="Arial" w:hAnsi="Arial"/>
              </w:rPr>
            </w:pPr>
          </w:p>
        </w:tc>
      </w:tr>
      <w:tr w:rsidR="00542016" w:rsidRPr="00542016" w:rsidTr="000C6757">
        <w:trPr>
          <w:cantSplit/>
        </w:trPr>
        <w:tc>
          <w:tcPr>
            <w:tcW w:w="1663" w:type="dxa"/>
            <w:tcBorders>
              <w:top w:val="single" w:sz="4" w:space="0" w:color="auto"/>
              <w:bottom w:val="single" w:sz="12" w:space="0" w:color="auto"/>
            </w:tcBorders>
          </w:tcPr>
          <w:p w:rsidR="00542016" w:rsidRPr="00542016" w:rsidRDefault="00542016" w:rsidP="000C6757">
            <w:pPr>
              <w:pStyle w:val="TableofFigures"/>
              <w:rPr>
                <w:rFonts w:ascii="Arial" w:hAnsi="Arial"/>
              </w:rPr>
            </w:pPr>
            <w:r w:rsidRPr="00542016">
              <w:rPr>
                <w:rFonts w:ascii="Arial" w:hAnsi="Arial"/>
              </w:rPr>
              <w:t>425</w:t>
            </w:r>
            <w:r w:rsidRPr="00542016">
              <w:rPr>
                <w:rFonts w:ascii="Arial" w:hAnsi="Arial"/>
                <w:vertAlign w:val="superscript"/>
              </w:rPr>
              <w:t>(ii)</w:t>
            </w:r>
          </w:p>
        </w:tc>
        <w:tc>
          <w:tcPr>
            <w:tcW w:w="1701" w:type="dxa"/>
            <w:tcBorders>
              <w:top w:val="single" w:sz="4" w:space="0" w:color="auto"/>
              <w:bottom w:val="single" w:sz="12" w:space="0" w:color="auto"/>
            </w:tcBorders>
          </w:tcPr>
          <w:p w:rsidR="00542016" w:rsidRPr="00542016" w:rsidRDefault="00542016" w:rsidP="000C6757">
            <w:pPr>
              <w:pStyle w:val="TableofFigures"/>
              <w:rPr>
                <w:rFonts w:ascii="Arial" w:hAnsi="Arial"/>
              </w:rPr>
            </w:pPr>
            <w:r w:rsidRPr="00542016">
              <w:rPr>
                <w:rFonts w:ascii="Arial" w:hAnsi="Arial"/>
              </w:rPr>
              <w:t>508</w:t>
            </w:r>
            <w:r w:rsidRPr="00542016">
              <w:rPr>
                <w:rFonts w:ascii="Arial" w:hAnsi="Arial"/>
                <w:vertAlign w:val="superscript"/>
              </w:rPr>
              <w:t>(ii)</w:t>
            </w:r>
          </w:p>
        </w:tc>
        <w:tc>
          <w:tcPr>
            <w:tcW w:w="1417" w:type="dxa"/>
            <w:tcBorders>
              <w:top w:val="single" w:sz="4" w:space="0" w:color="auto"/>
              <w:bottom w:val="single" w:sz="12" w:space="0" w:color="auto"/>
            </w:tcBorders>
          </w:tcPr>
          <w:p w:rsidR="00542016" w:rsidRPr="00542016" w:rsidRDefault="00542016" w:rsidP="000C6757">
            <w:pPr>
              <w:pStyle w:val="TableofFigures"/>
              <w:rPr>
                <w:rFonts w:ascii="Arial" w:hAnsi="Arial"/>
              </w:rPr>
            </w:pPr>
          </w:p>
        </w:tc>
        <w:tc>
          <w:tcPr>
            <w:tcW w:w="1560" w:type="dxa"/>
            <w:tcBorders>
              <w:top w:val="single" w:sz="4" w:space="0" w:color="auto"/>
              <w:bottom w:val="single" w:sz="12" w:space="0" w:color="auto"/>
            </w:tcBorders>
          </w:tcPr>
          <w:p w:rsidR="00542016" w:rsidRPr="00542016" w:rsidRDefault="00542016" w:rsidP="000C6757">
            <w:pPr>
              <w:pStyle w:val="TableofFigures"/>
              <w:rPr>
                <w:rFonts w:ascii="Arial" w:hAnsi="Arial"/>
              </w:rPr>
            </w:pPr>
          </w:p>
        </w:tc>
        <w:tc>
          <w:tcPr>
            <w:tcW w:w="106" w:type="dxa"/>
            <w:tcBorders>
              <w:top w:val="single" w:sz="4" w:space="0" w:color="auto"/>
              <w:bottom w:val="single" w:sz="12" w:space="0" w:color="auto"/>
            </w:tcBorders>
          </w:tcPr>
          <w:p w:rsidR="00542016" w:rsidRPr="00542016" w:rsidRDefault="00542016" w:rsidP="000C6757">
            <w:pPr>
              <w:pStyle w:val="TableofFigures"/>
              <w:rPr>
                <w:rFonts w:ascii="Arial" w:hAnsi="Arial"/>
              </w:rPr>
            </w:pPr>
          </w:p>
        </w:tc>
      </w:tr>
    </w:tbl>
    <w:p w:rsidR="00542016" w:rsidRPr="00542016" w:rsidRDefault="00542016" w:rsidP="00542016">
      <w:pPr>
        <w:pStyle w:val="SmallLine"/>
        <w:spacing w:before="0"/>
        <w:rPr>
          <w:rFonts w:ascii="Arial" w:hAnsi="Arial" w:cs="Arial"/>
        </w:rPr>
      </w:pPr>
    </w:p>
    <w:p w:rsidR="00542016" w:rsidRPr="00542016" w:rsidRDefault="00542016" w:rsidP="00542016">
      <w:pPr>
        <w:pStyle w:val="Tableheading0"/>
        <w:spacing w:before="40"/>
        <w:ind w:left="1166" w:hanging="1166"/>
        <w:rPr>
          <w:rFonts w:ascii="Arial" w:hAnsi="Arial"/>
          <w:i/>
          <w:iCs/>
          <w:vertAlign w:val="superscript"/>
        </w:rPr>
      </w:pPr>
      <w:r w:rsidRPr="00542016">
        <w:rPr>
          <w:rFonts w:ascii="Arial" w:hAnsi="Arial"/>
          <w:noProof/>
        </w:rPr>
        <w:t>Table 2: Summary of employment levels in June of 2012 and 2013(i)</w:t>
      </w:r>
    </w:p>
    <w:tbl>
      <w:tblPr>
        <w:tblW w:w="8974" w:type="dxa"/>
        <w:tblLayout w:type="fixed"/>
        <w:tblCellMar>
          <w:left w:w="43" w:type="dxa"/>
          <w:right w:w="43" w:type="dxa"/>
        </w:tblCellMar>
        <w:tblLook w:val="01E0" w:firstRow="1" w:lastRow="1" w:firstColumn="1" w:lastColumn="1" w:noHBand="0" w:noVBand="0"/>
      </w:tblPr>
      <w:tblGrid>
        <w:gridCol w:w="1303"/>
        <w:gridCol w:w="1434"/>
        <w:gridCol w:w="1356"/>
        <w:gridCol w:w="1440"/>
        <w:gridCol w:w="1440"/>
        <w:gridCol w:w="2001"/>
      </w:tblGrid>
      <w:tr w:rsidR="00542016" w:rsidRPr="00542016" w:rsidTr="000C6757">
        <w:trPr>
          <w:cantSplit/>
        </w:trPr>
        <w:tc>
          <w:tcPr>
            <w:tcW w:w="1303" w:type="dxa"/>
            <w:tcBorders>
              <w:top w:val="single" w:sz="4" w:space="0" w:color="auto"/>
              <w:right w:val="single" w:sz="4" w:space="0" w:color="auto"/>
            </w:tcBorders>
          </w:tcPr>
          <w:p w:rsidR="00542016" w:rsidRPr="00542016" w:rsidRDefault="00542016" w:rsidP="000C6757">
            <w:pPr>
              <w:pStyle w:val="Tabletextheading"/>
              <w:rPr>
                <w:rFonts w:ascii="Arial" w:hAnsi="Arial"/>
              </w:rPr>
            </w:pPr>
          </w:p>
        </w:tc>
        <w:tc>
          <w:tcPr>
            <w:tcW w:w="5670" w:type="dxa"/>
            <w:gridSpan w:val="4"/>
            <w:tcBorders>
              <w:top w:val="single" w:sz="4" w:space="0" w:color="auto"/>
              <w:left w:val="single" w:sz="4" w:space="0" w:color="auto"/>
              <w:bottom w:val="single" w:sz="4" w:space="0" w:color="auto"/>
              <w:right w:val="single" w:sz="4" w:space="0" w:color="auto"/>
            </w:tcBorders>
            <w:vAlign w:val="bottom"/>
          </w:tcPr>
          <w:p w:rsidR="00542016" w:rsidRPr="00542016" w:rsidRDefault="00542016" w:rsidP="000C6757">
            <w:pPr>
              <w:pStyle w:val="Tabletextheading"/>
              <w:jc w:val="center"/>
              <w:rPr>
                <w:rFonts w:ascii="Arial" w:hAnsi="Arial"/>
              </w:rPr>
            </w:pPr>
            <w:r w:rsidRPr="00542016">
              <w:rPr>
                <w:rFonts w:ascii="Arial" w:hAnsi="Arial"/>
              </w:rPr>
              <w:t>Ongoing employees</w:t>
            </w:r>
          </w:p>
        </w:tc>
        <w:tc>
          <w:tcPr>
            <w:tcW w:w="2001" w:type="dxa"/>
            <w:tcBorders>
              <w:top w:val="single" w:sz="4" w:space="0" w:color="auto"/>
              <w:left w:val="single" w:sz="4" w:space="0" w:color="auto"/>
              <w:bottom w:val="single" w:sz="4" w:space="0" w:color="auto"/>
            </w:tcBorders>
            <w:vAlign w:val="center"/>
          </w:tcPr>
          <w:p w:rsidR="00542016" w:rsidRPr="00542016" w:rsidRDefault="00542016" w:rsidP="000C6757">
            <w:pPr>
              <w:pStyle w:val="Tabletextheading"/>
              <w:rPr>
                <w:rFonts w:ascii="Arial" w:hAnsi="Arial"/>
              </w:rPr>
            </w:pPr>
            <w:r w:rsidRPr="00542016">
              <w:rPr>
                <w:rFonts w:ascii="Arial" w:hAnsi="Arial"/>
              </w:rPr>
              <w:t>Fixed term and casual employees</w:t>
            </w:r>
          </w:p>
        </w:tc>
      </w:tr>
      <w:tr w:rsidR="00542016" w:rsidRPr="00542016" w:rsidTr="000C6757">
        <w:trPr>
          <w:cantSplit/>
        </w:trPr>
        <w:tc>
          <w:tcPr>
            <w:tcW w:w="1303" w:type="dxa"/>
            <w:tcBorders>
              <w:bottom w:val="single" w:sz="4" w:space="0" w:color="auto"/>
              <w:right w:val="single" w:sz="4" w:space="0" w:color="auto"/>
            </w:tcBorders>
          </w:tcPr>
          <w:p w:rsidR="00542016" w:rsidRPr="00542016" w:rsidRDefault="00542016" w:rsidP="000C6757">
            <w:pPr>
              <w:pStyle w:val="Tabletextheading"/>
              <w:spacing w:before="20" w:after="20"/>
              <w:rPr>
                <w:rFonts w:ascii="Arial" w:hAnsi="Arial"/>
                <w:noProof w:val="0"/>
              </w:rPr>
            </w:pPr>
          </w:p>
        </w:tc>
        <w:tc>
          <w:tcPr>
            <w:tcW w:w="1434" w:type="dxa"/>
            <w:tcBorders>
              <w:top w:val="single" w:sz="4" w:space="0" w:color="auto"/>
              <w:left w:val="single" w:sz="4" w:space="0" w:color="auto"/>
              <w:bottom w:val="single" w:sz="4" w:space="0" w:color="auto"/>
            </w:tcBorders>
          </w:tcPr>
          <w:p w:rsidR="00542016" w:rsidRPr="00542016" w:rsidRDefault="00542016" w:rsidP="000C6757">
            <w:pPr>
              <w:pStyle w:val="Tabletextheading"/>
              <w:spacing w:before="20" w:after="20"/>
              <w:rPr>
                <w:rFonts w:ascii="Arial" w:hAnsi="Arial"/>
                <w:noProof w:val="0"/>
              </w:rPr>
            </w:pPr>
            <w:r w:rsidRPr="00542016">
              <w:rPr>
                <w:rFonts w:ascii="Arial" w:hAnsi="Arial"/>
                <w:noProof w:val="0"/>
              </w:rPr>
              <w:t>Employees</w:t>
            </w:r>
            <w:r w:rsidRPr="00542016">
              <w:rPr>
                <w:rFonts w:ascii="Arial" w:hAnsi="Arial"/>
                <w:noProof w:val="0"/>
              </w:rPr>
              <w:br/>
              <w:t>(headcount)</w:t>
            </w:r>
            <w:r w:rsidRPr="00542016">
              <w:rPr>
                <w:rFonts w:ascii="Arial" w:hAnsi="Arial"/>
                <w:noProof w:val="0"/>
                <w:vertAlign w:val="superscript"/>
              </w:rPr>
              <w:t>()</w:t>
            </w:r>
          </w:p>
        </w:tc>
        <w:tc>
          <w:tcPr>
            <w:tcW w:w="1356" w:type="dxa"/>
            <w:tcBorders>
              <w:top w:val="single" w:sz="4" w:space="0" w:color="auto"/>
              <w:bottom w:val="single" w:sz="4" w:space="0" w:color="auto"/>
            </w:tcBorders>
          </w:tcPr>
          <w:p w:rsidR="00542016" w:rsidRPr="00542016" w:rsidRDefault="00542016" w:rsidP="000C6757">
            <w:pPr>
              <w:pStyle w:val="Tabletextheading"/>
              <w:spacing w:before="20" w:after="20"/>
              <w:rPr>
                <w:rFonts w:ascii="Arial" w:hAnsi="Arial"/>
                <w:noProof w:val="0"/>
              </w:rPr>
            </w:pPr>
            <w:r w:rsidRPr="00542016">
              <w:rPr>
                <w:rFonts w:ascii="Arial" w:hAnsi="Arial"/>
                <w:noProof w:val="0"/>
              </w:rPr>
              <w:t>Full time</w:t>
            </w:r>
            <w:r w:rsidRPr="00542016">
              <w:rPr>
                <w:rFonts w:ascii="Arial" w:hAnsi="Arial"/>
                <w:noProof w:val="0"/>
              </w:rPr>
              <w:br/>
              <w:t>(headcount)</w:t>
            </w:r>
          </w:p>
        </w:tc>
        <w:tc>
          <w:tcPr>
            <w:tcW w:w="1440" w:type="dxa"/>
            <w:tcBorders>
              <w:top w:val="single" w:sz="4" w:space="0" w:color="auto"/>
              <w:bottom w:val="single" w:sz="4" w:space="0" w:color="auto"/>
            </w:tcBorders>
          </w:tcPr>
          <w:p w:rsidR="00542016" w:rsidRPr="00542016" w:rsidRDefault="00542016" w:rsidP="000C6757">
            <w:pPr>
              <w:pStyle w:val="Tabletextheading"/>
              <w:spacing w:before="20" w:after="20"/>
              <w:rPr>
                <w:rFonts w:ascii="Arial" w:hAnsi="Arial"/>
                <w:noProof w:val="0"/>
              </w:rPr>
            </w:pPr>
            <w:r w:rsidRPr="00542016">
              <w:rPr>
                <w:rFonts w:ascii="Arial" w:hAnsi="Arial"/>
                <w:noProof w:val="0"/>
              </w:rPr>
              <w:t>Part time</w:t>
            </w:r>
            <w:r w:rsidRPr="00542016">
              <w:rPr>
                <w:rFonts w:ascii="Arial" w:hAnsi="Arial"/>
                <w:noProof w:val="0"/>
              </w:rPr>
              <w:br/>
              <w:t>(headcount)</w:t>
            </w:r>
          </w:p>
        </w:tc>
        <w:tc>
          <w:tcPr>
            <w:tcW w:w="1440" w:type="dxa"/>
            <w:tcBorders>
              <w:top w:val="single" w:sz="4" w:space="0" w:color="auto"/>
              <w:bottom w:val="single" w:sz="4" w:space="0" w:color="auto"/>
              <w:right w:val="single" w:sz="4" w:space="0" w:color="auto"/>
            </w:tcBorders>
          </w:tcPr>
          <w:p w:rsidR="00542016" w:rsidRPr="00542016" w:rsidRDefault="00542016" w:rsidP="000C6757">
            <w:pPr>
              <w:pStyle w:val="Tabletextheading"/>
              <w:spacing w:before="20" w:after="20"/>
              <w:rPr>
                <w:rFonts w:ascii="Arial" w:hAnsi="Arial"/>
                <w:noProof w:val="0"/>
              </w:rPr>
            </w:pPr>
            <w:r w:rsidRPr="00542016">
              <w:rPr>
                <w:rFonts w:ascii="Arial" w:hAnsi="Arial"/>
                <w:noProof w:val="0"/>
              </w:rPr>
              <w:t>FTE</w:t>
            </w:r>
            <w:r w:rsidRPr="00542016">
              <w:rPr>
                <w:rFonts w:ascii="Arial" w:hAnsi="Arial"/>
                <w:vertAlign w:val="superscript"/>
              </w:rPr>
              <w:t>(ii)</w:t>
            </w:r>
            <w:r w:rsidRPr="00542016">
              <w:rPr>
                <w:rFonts w:ascii="Arial" w:hAnsi="Arial"/>
                <w:noProof w:val="0"/>
              </w:rPr>
              <w:t xml:space="preserve"> </w:t>
            </w:r>
          </w:p>
        </w:tc>
        <w:tc>
          <w:tcPr>
            <w:tcW w:w="2001" w:type="dxa"/>
            <w:tcBorders>
              <w:top w:val="single" w:sz="4" w:space="0" w:color="auto"/>
              <w:left w:val="single" w:sz="4" w:space="0" w:color="auto"/>
              <w:bottom w:val="single" w:sz="4" w:space="0" w:color="auto"/>
            </w:tcBorders>
          </w:tcPr>
          <w:p w:rsidR="00542016" w:rsidRPr="00542016" w:rsidRDefault="00542016" w:rsidP="000C6757">
            <w:pPr>
              <w:pStyle w:val="Tabletextheading"/>
              <w:spacing w:before="20" w:after="20"/>
              <w:rPr>
                <w:rFonts w:ascii="Arial" w:hAnsi="Arial"/>
                <w:noProof w:val="0"/>
              </w:rPr>
            </w:pPr>
            <w:r w:rsidRPr="00542016">
              <w:rPr>
                <w:rFonts w:ascii="Arial" w:hAnsi="Arial"/>
                <w:noProof w:val="0"/>
              </w:rPr>
              <w:t>FTE</w:t>
            </w:r>
            <w:r w:rsidRPr="00542016">
              <w:rPr>
                <w:rFonts w:ascii="Arial" w:hAnsi="Arial"/>
                <w:vertAlign w:val="superscript"/>
              </w:rPr>
              <w:t>(ii)</w:t>
            </w:r>
            <w:r w:rsidRPr="00542016">
              <w:rPr>
                <w:rFonts w:ascii="Arial" w:hAnsi="Arial"/>
                <w:noProof w:val="0"/>
              </w:rPr>
              <w:t xml:space="preserve"> </w:t>
            </w:r>
          </w:p>
        </w:tc>
      </w:tr>
      <w:tr w:rsidR="00542016" w:rsidRPr="00542016" w:rsidTr="000C6757">
        <w:trPr>
          <w:cantSplit/>
        </w:trPr>
        <w:tc>
          <w:tcPr>
            <w:tcW w:w="1303" w:type="dxa"/>
            <w:tcBorders>
              <w:top w:val="single" w:sz="4" w:space="0" w:color="auto"/>
              <w:right w:val="single" w:sz="4" w:space="0" w:color="auto"/>
            </w:tcBorders>
          </w:tcPr>
          <w:p w:rsidR="00542016" w:rsidRPr="00542016" w:rsidRDefault="00542016" w:rsidP="000C6757">
            <w:pPr>
              <w:pStyle w:val="TableofFigures"/>
              <w:spacing w:before="20" w:after="20"/>
              <w:jc w:val="left"/>
              <w:rPr>
                <w:rFonts w:ascii="Arial" w:hAnsi="Arial"/>
                <w:b/>
                <w:bCs/>
                <w:lang w:eastAsia="en-AU"/>
              </w:rPr>
            </w:pPr>
            <w:r w:rsidRPr="00542016">
              <w:rPr>
                <w:rFonts w:ascii="Arial" w:hAnsi="Arial"/>
                <w:b/>
                <w:bCs/>
                <w:lang w:eastAsia="en-AU"/>
              </w:rPr>
              <w:t>June 2013</w:t>
            </w:r>
          </w:p>
        </w:tc>
        <w:tc>
          <w:tcPr>
            <w:tcW w:w="1434" w:type="dxa"/>
            <w:tcBorders>
              <w:top w:val="single" w:sz="4" w:space="0" w:color="auto"/>
              <w:left w:val="single" w:sz="4" w:space="0" w:color="auto"/>
            </w:tcBorders>
          </w:tcPr>
          <w:p w:rsidR="00542016" w:rsidRPr="00542016" w:rsidRDefault="00542016" w:rsidP="000C6757">
            <w:pPr>
              <w:pStyle w:val="TableofFigures"/>
              <w:spacing w:before="20" w:after="20"/>
              <w:rPr>
                <w:rFonts w:ascii="Arial" w:hAnsi="Arial"/>
              </w:rPr>
            </w:pPr>
            <w:r w:rsidRPr="00542016">
              <w:rPr>
                <w:rFonts w:ascii="Arial" w:hAnsi="Arial"/>
              </w:rPr>
              <w:t>377</w:t>
            </w:r>
          </w:p>
        </w:tc>
        <w:tc>
          <w:tcPr>
            <w:tcW w:w="1356" w:type="dxa"/>
            <w:tcBorders>
              <w:top w:val="single" w:sz="4" w:space="0" w:color="auto"/>
            </w:tcBorders>
          </w:tcPr>
          <w:p w:rsidR="00542016" w:rsidRPr="00542016" w:rsidRDefault="00542016" w:rsidP="000C6757">
            <w:pPr>
              <w:pStyle w:val="TableofFigures"/>
              <w:spacing w:before="20" w:after="20"/>
              <w:rPr>
                <w:rFonts w:ascii="Arial" w:hAnsi="Arial"/>
              </w:rPr>
            </w:pPr>
            <w:r w:rsidRPr="00542016">
              <w:rPr>
                <w:rFonts w:ascii="Arial" w:hAnsi="Arial"/>
              </w:rPr>
              <w:t>350</w:t>
            </w:r>
          </w:p>
        </w:tc>
        <w:tc>
          <w:tcPr>
            <w:tcW w:w="1440" w:type="dxa"/>
            <w:tcBorders>
              <w:top w:val="single" w:sz="4" w:space="0" w:color="auto"/>
            </w:tcBorders>
          </w:tcPr>
          <w:p w:rsidR="00542016" w:rsidRPr="00542016" w:rsidRDefault="00542016" w:rsidP="000C6757">
            <w:pPr>
              <w:pStyle w:val="TableofFigures"/>
              <w:spacing w:before="20" w:after="20"/>
              <w:rPr>
                <w:rFonts w:ascii="Arial" w:hAnsi="Arial"/>
              </w:rPr>
            </w:pPr>
            <w:r w:rsidRPr="00542016">
              <w:rPr>
                <w:rFonts w:ascii="Arial" w:hAnsi="Arial"/>
              </w:rPr>
              <w:t>27</w:t>
            </w:r>
          </w:p>
        </w:tc>
        <w:tc>
          <w:tcPr>
            <w:tcW w:w="1440" w:type="dxa"/>
            <w:tcBorders>
              <w:top w:val="single" w:sz="4" w:space="0" w:color="auto"/>
              <w:right w:val="single" w:sz="4" w:space="0" w:color="auto"/>
            </w:tcBorders>
          </w:tcPr>
          <w:p w:rsidR="00542016" w:rsidRPr="00542016" w:rsidRDefault="00542016" w:rsidP="000C6757">
            <w:pPr>
              <w:pStyle w:val="TableofFigures"/>
              <w:spacing w:before="20" w:after="20"/>
              <w:rPr>
                <w:rFonts w:ascii="Arial" w:hAnsi="Arial"/>
              </w:rPr>
            </w:pPr>
            <w:r w:rsidRPr="00542016">
              <w:rPr>
                <w:rFonts w:ascii="Arial" w:hAnsi="Arial"/>
              </w:rPr>
              <w:t>370</w:t>
            </w:r>
          </w:p>
        </w:tc>
        <w:tc>
          <w:tcPr>
            <w:tcW w:w="2001" w:type="dxa"/>
            <w:tcBorders>
              <w:top w:val="single" w:sz="4" w:space="0" w:color="auto"/>
              <w:left w:val="single" w:sz="4" w:space="0" w:color="auto"/>
            </w:tcBorders>
          </w:tcPr>
          <w:p w:rsidR="00542016" w:rsidRPr="00542016" w:rsidRDefault="00542016" w:rsidP="000C6757">
            <w:pPr>
              <w:pStyle w:val="TableofFigures"/>
              <w:spacing w:before="20" w:after="20"/>
              <w:rPr>
                <w:rFonts w:ascii="Arial" w:hAnsi="Arial"/>
              </w:rPr>
            </w:pPr>
            <w:r w:rsidRPr="00542016">
              <w:rPr>
                <w:rFonts w:ascii="Arial" w:hAnsi="Arial"/>
              </w:rPr>
              <w:t>56</w:t>
            </w:r>
          </w:p>
        </w:tc>
      </w:tr>
      <w:tr w:rsidR="00542016" w:rsidRPr="00542016" w:rsidTr="000C6757">
        <w:trPr>
          <w:cantSplit/>
        </w:trPr>
        <w:tc>
          <w:tcPr>
            <w:tcW w:w="1303" w:type="dxa"/>
            <w:tcBorders>
              <w:bottom w:val="single" w:sz="12" w:space="0" w:color="auto"/>
              <w:right w:val="single" w:sz="4" w:space="0" w:color="auto"/>
            </w:tcBorders>
          </w:tcPr>
          <w:p w:rsidR="00542016" w:rsidRPr="00542016" w:rsidRDefault="00542016" w:rsidP="000C6757">
            <w:pPr>
              <w:pStyle w:val="TableofFigures"/>
              <w:spacing w:before="20" w:after="20"/>
              <w:jc w:val="left"/>
              <w:rPr>
                <w:rFonts w:ascii="Arial" w:hAnsi="Arial"/>
                <w:b/>
                <w:bCs/>
                <w:lang w:eastAsia="en-AU"/>
              </w:rPr>
            </w:pPr>
            <w:r w:rsidRPr="00542016">
              <w:rPr>
                <w:rFonts w:ascii="Arial" w:hAnsi="Arial"/>
                <w:b/>
                <w:bCs/>
                <w:lang w:eastAsia="en-AU"/>
              </w:rPr>
              <w:t>June 2012</w:t>
            </w:r>
          </w:p>
        </w:tc>
        <w:tc>
          <w:tcPr>
            <w:tcW w:w="1434" w:type="dxa"/>
            <w:tcBorders>
              <w:left w:val="single" w:sz="4" w:space="0" w:color="auto"/>
              <w:bottom w:val="single" w:sz="12" w:space="0" w:color="auto"/>
            </w:tcBorders>
          </w:tcPr>
          <w:p w:rsidR="00542016" w:rsidRPr="00542016" w:rsidRDefault="00542016" w:rsidP="000C6757">
            <w:pPr>
              <w:pStyle w:val="TableofFigures"/>
              <w:spacing w:before="20" w:after="20"/>
              <w:rPr>
                <w:rFonts w:ascii="Arial" w:hAnsi="Arial"/>
              </w:rPr>
            </w:pPr>
            <w:r w:rsidRPr="00542016">
              <w:rPr>
                <w:rFonts w:ascii="Arial" w:hAnsi="Arial"/>
              </w:rPr>
              <w:t>467</w:t>
            </w:r>
          </w:p>
        </w:tc>
        <w:tc>
          <w:tcPr>
            <w:tcW w:w="1356" w:type="dxa"/>
            <w:tcBorders>
              <w:bottom w:val="single" w:sz="12" w:space="0" w:color="auto"/>
            </w:tcBorders>
          </w:tcPr>
          <w:p w:rsidR="00542016" w:rsidRPr="00542016" w:rsidRDefault="00542016" w:rsidP="000C6757">
            <w:pPr>
              <w:pStyle w:val="TableofFigures"/>
              <w:spacing w:before="20" w:after="20"/>
              <w:rPr>
                <w:rFonts w:ascii="Arial" w:hAnsi="Arial"/>
              </w:rPr>
            </w:pPr>
            <w:r w:rsidRPr="00542016">
              <w:rPr>
                <w:rFonts w:ascii="Arial" w:hAnsi="Arial"/>
              </w:rPr>
              <w:t>433</w:t>
            </w:r>
          </w:p>
        </w:tc>
        <w:tc>
          <w:tcPr>
            <w:tcW w:w="1440" w:type="dxa"/>
            <w:tcBorders>
              <w:bottom w:val="single" w:sz="12" w:space="0" w:color="auto"/>
            </w:tcBorders>
          </w:tcPr>
          <w:p w:rsidR="00542016" w:rsidRPr="00542016" w:rsidRDefault="00542016" w:rsidP="000C6757">
            <w:pPr>
              <w:pStyle w:val="TableofFigures"/>
              <w:spacing w:before="20" w:after="20"/>
              <w:rPr>
                <w:rFonts w:ascii="Arial" w:hAnsi="Arial"/>
              </w:rPr>
            </w:pPr>
            <w:r w:rsidRPr="00542016">
              <w:rPr>
                <w:rFonts w:ascii="Arial" w:hAnsi="Arial"/>
              </w:rPr>
              <w:t>34</w:t>
            </w:r>
          </w:p>
        </w:tc>
        <w:tc>
          <w:tcPr>
            <w:tcW w:w="1440" w:type="dxa"/>
            <w:tcBorders>
              <w:bottom w:val="single" w:sz="12" w:space="0" w:color="auto"/>
              <w:right w:val="single" w:sz="4" w:space="0" w:color="auto"/>
            </w:tcBorders>
          </w:tcPr>
          <w:p w:rsidR="00542016" w:rsidRPr="00542016" w:rsidRDefault="00542016" w:rsidP="000C6757">
            <w:pPr>
              <w:pStyle w:val="TableofFigures"/>
              <w:spacing w:before="20" w:after="20"/>
              <w:rPr>
                <w:rFonts w:ascii="Arial" w:hAnsi="Arial"/>
              </w:rPr>
            </w:pPr>
            <w:r w:rsidRPr="00542016">
              <w:rPr>
                <w:rFonts w:ascii="Arial" w:hAnsi="Arial"/>
              </w:rPr>
              <w:t>456</w:t>
            </w:r>
          </w:p>
        </w:tc>
        <w:tc>
          <w:tcPr>
            <w:tcW w:w="2001" w:type="dxa"/>
            <w:tcBorders>
              <w:left w:val="single" w:sz="4" w:space="0" w:color="auto"/>
              <w:bottom w:val="single" w:sz="12" w:space="0" w:color="auto"/>
            </w:tcBorders>
          </w:tcPr>
          <w:p w:rsidR="00542016" w:rsidRPr="00542016" w:rsidRDefault="00542016" w:rsidP="000C6757">
            <w:pPr>
              <w:pStyle w:val="TableofFigures"/>
              <w:spacing w:before="20" w:after="20"/>
              <w:ind w:left="720"/>
              <w:rPr>
                <w:rFonts w:ascii="Arial" w:hAnsi="Arial"/>
              </w:rPr>
            </w:pPr>
            <w:r w:rsidRPr="00542016">
              <w:rPr>
                <w:rFonts w:ascii="Arial" w:hAnsi="Arial"/>
              </w:rPr>
              <w:t>52</w:t>
            </w:r>
          </w:p>
        </w:tc>
      </w:tr>
    </w:tbl>
    <w:p w:rsidR="00542016" w:rsidRPr="00542016" w:rsidRDefault="00542016" w:rsidP="00542016">
      <w:pPr>
        <w:pStyle w:val="SmallLine"/>
        <w:spacing w:before="60"/>
        <w:rPr>
          <w:rFonts w:ascii="Arial" w:hAnsi="Arial" w:cs="Arial"/>
        </w:rPr>
      </w:pPr>
    </w:p>
    <w:p w:rsidR="00542016" w:rsidRPr="00542016" w:rsidRDefault="00542016" w:rsidP="00542016">
      <w:pPr>
        <w:pStyle w:val="Tableheading0"/>
        <w:spacing w:before="40"/>
        <w:ind w:left="1166" w:hanging="1166"/>
        <w:rPr>
          <w:rFonts w:ascii="Arial" w:hAnsi="Arial"/>
          <w:noProof/>
        </w:rPr>
      </w:pPr>
      <w:r w:rsidRPr="00542016">
        <w:rPr>
          <w:rFonts w:ascii="Arial" w:hAnsi="Arial"/>
          <w:noProof/>
        </w:rPr>
        <w:t>Table 3: Details of employment levels in June of 2012 and 2013(i)</w:t>
      </w:r>
    </w:p>
    <w:p w:rsidR="00542016" w:rsidRPr="00542016" w:rsidRDefault="00542016" w:rsidP="00542016">
      <w:pPr>
        <w:pStyle w:val="SmallLine"/>
        <w:spacing w:before="60"/>
        <w:rPr>
          <w:rFonts w:ascii="Arial" w:hAnsi="Arial" w:cs="Arial"/>
        </w:rPr>
      </w:pPr>
    </w:p>
    <w:tbl>
      <w:tblPr>
        <w:tblW w:w="8974" w:type="dxa"/>
        <w:tblLayout w:type="fixed"/>
        <w:tblCellMar>
          <w:left w:w="43" w:type="dxa"/>
          <w:right w:w="43" w:type="dxa"/>
        </w:tblCellMar>
        <w:tblLook w:val="01E0" w:firstRow="1" w:lastRow="1" w:firstColumn="1" w:lastColumn="1" w:noHBand="0" w:noVBand="0"/>
      </w:tblPr>
      <w:tblGrid>
        <w:gridCol w:w="1303"/>
        <w:gridCol w:w="1080"/>
        <w:gridCol w:w="1080"/>
        <w:gridCol w:w="1350"/>
        <w:gridCol w:w="1184"/>
        <w:gridCol w:w="992"/>
        <w:gridCol w:w="709"/>
        <w:gridCol w:w="1276"/>
      </w:tblGrid>
      <w:tr w:rsidR="00542016" w:rsidRPr="00542016" w:rsidTr="000C6757">
        <w:trPr>
          <w:cantSplit/>
        </w:trPr>
        <w:tc>
          <w:tcPr>
            <w:tcW w:w="1303" w:type="dxa"/>
            <w:tcBorders>
              <w:top w:val="single" w:sz="4" w:space="0" w:color="auto"/>
              <w:bottom w:val="single" w:sz="4" w:space="0" w:color="auto"/>
              <w:right w:val="single" w:sz="4" w:space="0" w:color="auto"/>
            </w:tcBorders>
          </w:tcPr>
          <w:p w:rsidR="00542016" w:rsidRPr="00542016" w:rsidRDefault="00542016" w:rsidP="000C6757">
            <w:pPr>
              <w:pStyle w:val="Tabletextheading"/>
              <w:spacing w:before="20" w:after="0"/>
              <w:jc w:val="center"/>
              <w:rPr>
                <w:rFonts w:ascii="Arial" w:hAnsi="Arial"/>
                <w:b/>
                <w:bCs/>
                <w:noProof w:val="0"/>
              </w:rPr>
            </w:pPr>
          </w:p>
        </w:tc>
        <w:tc>
          <w:tcPr>
            <w:tcW w:w="3510" w:type="dxa"/>
            <w:gridSpan w:val="3"/>
            <w:tcBorders>
              <w:top w:val="single" w:sz="4" w:space="0" w:color="auto"/>
              <w:left w:val="single" w:sz="4" w:space="0" w:color="auto"/>
              <w:bottom w:val="single" w:sz="4" w:space="0" w:color="auto"/>
              <w:right w:val="single" w:sz="4" w:space="0" w:color="auto"/>
            </w:tcBorders>
            <w:vAlign w:val="center"/>
          </w:tcPr>
          <w:p w:rsidR="00542016" w:rsidRPr="00542016" w:rsidRDefault="00542016" w:rsidP="000C6757">
            <w:pPr>
              <w:pStyle w:val="Tabletextheading"/>
              <w:spacing w:before="20" w:after="0"/>
              <w:jc w:val="center"/>
              <w:rPr>
                <w:rFonts w:ascii="Arial" w:hAnsi="Arial"/>
                <w:b/>
                <w:bCs/>
                <w:noProof w:val="0"/>
              </w:rPr>
            </w:pPr>
            <w:r w:rsidRPr="00542016">
              <w:rPr>
                <w:rFonts w:ascii="Arial" w:hAnsi="Arial"/>
                <w:b/>
                <w:bCs/>
                <w:noProof w:val="0"/>
              </w:rPr>
              <w:t>2013</w:t>
            </w:r>
          </w:p>
        </w:tc>
        <w:tc>
          <w:tcPr>
            <w:tcW w:w="1184" w:type="dxa"/>
            <w:tcBorders>
              <w:top w:val="single" w:sz="4" w:space="0" w:color="auto"/>
              <w:left w:val="single" w:sz="4" w:space="0" w:color="auto"/>
              <w:bottom w:val="single" w:sz="4" w:space="0" w:color="auto"/>
              <w:right w:val="single" w:sz="4" w:space="0" w:color="auto"/>
            </w:tcBorders>
          </w:tcPr>
          <w:p w:rsidR="00542016" w:rsidRPr="00542016" w:rsidRDefault="00542016" w:rsidP="000C6757">
            <w:pPr>
              <w:pStyle w:val="Tabletextheading"/>
              <w:spacing w:before="20" w:after="0"/>
              <w:jc w:val="center"/>
              <w:rPr>
                <w:rFonts w:ascii="Arial" w:hAnsi="Arial"/>
                <w:b/>
                <w:bCs/>
                <w:noProof w:val="0"/>
              </w:rPr>
            </w:pPr>
          </w:p>
        </w:tc>
        <w:tc>
          <w:tcPr>
            <w:tcW w:w="2977" w:type="dxa"/>
            <w:gridSpan w:val="3"/>
            <w:tcBorders>
              <w:top w:val="single" w:sz="4" w:space="0" w:color="auto"/>
              <w:left w:val="single" w:sz="4" w:space="0" w:color="auto"/>
              <w:bottom w:val="single" w:sz="4" w:space="0" w:color="auto"/>
            </w:tcBorders>
            <w:vAlign w:val="center"/>
          </w:tcPr>
          <w:p w:rsidR="00542016" w:rsidRPr="00542016" w:rsidRDefault="00542016" w:rsidP="000C6757">
            <w:pPr>
              <w:pStyle w:val="Tabletextheading"/>
              <w:spacing w:before="20" w:after="0"/>
              <w:jc w:val="center"/>
              <w:rPr>
                <w:rFonts w:ascii="Arial" w:hAnsi="Arial"/>
                <w:b/>
                <w:bCs/>
                <w:noProof w:val="0"/>
              </w:rPr>
            </w:pPr>
            <w:r w:rsidRPr="00542016">
              <w:rPr>
                <w:rFonts w:ascii="Arial" w:hAnsi="Arial"/>
                <w:b/>
                <w:bCs/>
                <w:noProof w:val="0"/>
              </w:rPr>
              <w:t>2012</w:t>
            </w:r>
          </w:p>
        </w:tc>
      </w:tr>
      <w:tr w:rsidR="00542016" w:rsidRPr="00542016" w:rsidTr="000C6757">
        <w:trPr>
          <w:cantSplit/>
        </w:trPr>
        <w:tc>
          <w:tcPr>
            <w:tcW w:w="1303" w:type="dxa"/>
            <w:tcBorders>
              <w:top w:val="single" w:sz="4" w:space="0" w:color="auto"/>
              <w:bottom w:val="single" w:sz="4" w:space="0" w:color="auto"/>
              <w:right w:val="single" w:sz="4" w:space="0" w:color="auto"/>
            </w:tcBorders>
          </w:tcPr>
          <w:p w:rsidR="00542016" w:rsidRPr="00542016" w:rsidRDefault="00542016" w:rsidP="000C6757">
            <w:pPr>
              <w:pStyle w:val="Tabletextheading"/>
              <w:spacing w:before="20" w:after="0"/>
              <w:jc w:val="left"/>
              <w:rPr>
                <w:rFonts w:ascii="Arial" w:hAnsi="Arial"/>
                <w:noProof w:val="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42016" w:rsidRPr="00542016" w:rsidRDefault="00542016" w:rsidP="000C6757">
            <w:pPr>
              <w:pStyle w:val="Tabletextheading"/>
              <w:spacing w:before="20" w:after="0"/>
              <w:ind w:right="-133"/>
              <w:jc w:val="center"/>
              <w:rPr>
                <w:rFonts w:ascii="Arial" w:hAnsi="Arial"/>
                <w:noProof w:val="0"/>
              </w:rPr>
            </w:pPr>
            <w:r w:rsidRPr="00542016">
              <w:rPr>
                <w:rFonts w:ascii="Arial" w:hAnsi="Arial"/>
                <w:noProof w:val="0"/>
              </w:rPr>
              <w:t xml:space="preserve">Ongoing </w:t>
            </w:r>
          </w:p>
        </w:tc>
        <w:tc>
          <w:tcPr>
            <w:tcW w:w="1350" w:type="dxa"/>
            <w:tcBorders>
              <w:top w:val="single" w:sz="4" w:space="0" w:color="auto"/>
              <w:left w:val="single" w:sz="4" w:space="0" w:color="auto"/>
              <w:bottom w:val="single" w:sz="4" w:space="0" w:color="auto"/>
              <w:right w:val="single" w:sz="4" w:space="0" w:color="auto"/>
            </w:tcBorders>
          </w:tcPr>
          <w:p w:rsidR="00542016" w:rsidRPr="00542016" w:rsidRDefault="00542016" w:rsidP="000C6757">
            <w:pPr>
              <w:pStyle w:val="Tabletextheading"/>
              <w:spacing w:before="20" w:after="0"/>
              <w:rPr>
                <w:rFonts w:ascii="Arial" w:hAnsi="Arial"/>
                <w:noProof w:val="0"/>
              </w:rPr>
            </w:pPr>
            <w:r w:rsidRPr="00542016">
              <w:rPr>
                <w:rFonts w:ascii="Arial" w:hAnsi="Arial"/>
                <w:noProof w:val="0"/>
              </w:rPr>
              <w:t>Fixed term and casual employees</w:t>
            </w:r>
          </w:p>
        </w:tc>
        <w:tc>
          <w:tcPr>
            <w:tcW w:w="1184" w:type="dxa"/>
            <w:tcBorders>
              <w:top w:val="single" w:sz="4" w:space="0" w:color="auto"/>
              <w:left w:val="single" w:sz="4" w:space="0" w:color="auto"/>
              <w:bottom w:val="single" w:sz="4" w:space="0" w:color="auto"/>
              <w:right w:val="single" w:sz="4" w:space="0" w:color="auto"/>
            </w:tcBorders>
          </w:tcPr>
          <w:p w:rsidR="00542016" w:rsidRPr="00542016" w:rsidRDefault="00542016" w:rsidP="000C6757">
            <w:pPr>
              <w:pStyle w:val="Tabletextheading"/>
              <w:spacing w:before="20" w:after="0"/>
              <w:jc w:val="center"/>
              <w:rPr>
                <w:rFonts w:ascii="Arial" w:hAnsi="Arial"/>
                <w:noProof w:val="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42016" w:rsidRPr="00542016" w:rsidRDefault="00542016" w:rsidP="000C6757">
            <w:pPr>
              <w:pStyle w:val="Tabletextheading"/>
              <w:spacing w:before="20" w:after="0"/>
              <w:jc w:val="center"/>
              <w:rPr>
                <w:rFonts w:ascii="Arial" w:hAnsi="Arial"/>
                <w:noProof w:val="0"/>
              </w:rPr>
            </w:pPr>
            <w:r w:rsidRPr="00542016">
              <w:rPr>
                <w:rFonts w:ascii="Arial" w:hAnsi="Arial"/>
                <w:noProof w:val="0"/>
              </w:rPr>
              <w:t xml:space="preserve">Ongoing </w:t>
            </w:r>
          </w:p>
        </w:tc>
        <w:tc>
          <w:tcPr>
            <w:tcW w:w="1276" w:type="dxa"/>
            <w:tcBorders>
              <w:top w:val="single" w:sz="4" w:space="0" w:color="auto"/>
              <w:left w:val="single" w:sz="4" w:space="0" w:color="auto"/>
              <w:bottom w:val="single" w:sz="4" w:space="0" w:color="auto"/>
            </w:tcBorders>
          </w:tcPr>
          <w:p w:rsidR="00542016" w:rsidRPr="00542016" w:rsidRDefault="00542016" w:rsidP="000C6757">
            <w:pPr>
              <w:pStyle w:val="Tabletextheading"/>
              <w:spacing w:before="20" w:after="0"/>
              <w:rPr>
                <w:rFonts w:ascii="Arial" w:hAnsi="Arial"/>
                <w:noProof w:val="0"/>
              </w:rPr>
            </w:pPr>
            <w:r w:rsidRPr="00542016">
              <w:rPr>
                <w:rFonts w:ascii="Arial" w:hAnsi="Arial"/>
                <w:noProof w:val="0"/>
              </w:rPr>
              <w:t>Fixed term and casual employees</w:t>
            </w:r>
          </w:p>
        </w:tc>
      </w:tr>
      <w:tr w:rsidR="00542016" w:rsidRPr="00542016" w:rsidTr="000C6757">
        <w:trPr>
          <w:cantSplit/>
        </w:trPr>
        <w:tc>
          <w:tcPr>
            <w:tcW w:w="1303" w:type="dxa"/>
            <w:tcBorders>
              <w:top w:val="single" w:sz="4" w:space="0" w:color="auto"/>
              <w:bottom w:val="single" w:sz="4" w:space="0" w:color="auto"/>
              <w:right w:val="single" w:sz="4" w:space="0" w:color="auto"/>
            </w:tcBorders>
          </w:tcPr>
          <w:p w:rsidR="00542016" w:rsidRPr="00542016" w:rsidRDefault="00542016" w:rsidP="000C6757">
            <w:pPr>
              <w:pStyle w:val="Tabletextheading"/>
              <w:spacing w:before="20" w:after="0"/>
              <w:jc w:val="left"/>
              <w:rPr>
                <w:rFonts w:ascii="Arial" w:hAnsi="Arial"/>
                <w:noProof w:val="0"/>
              </w:rPr>
            </w:pPr>
          </w:p>
        </w:tc>
        <w:tc>
          <w:tcPr>
            <w:tcW w:w="1080" w:type="dxa"/>
            <w:tcBorders>
              <w:top w:val="single" w:sz="4" w:space="0" w:color="auto"/>
              <w:left w:val="single" w:sz="4" w:space="0" w:color="auto"/>
              <w:bottom w:val="single" w:sz="4" w:space="0" w:color="auto"/>
            </w:tcBorders>
          </w:tcPr>
          <w:p w:rsidR="00542016" w:rsidRPr="00542016" w:rsidRDefault="00542016" w:rsidP="000C6757">
            <w:pPr>
              <w:pStyle w:val="Tabletextheading"/>
              <w:spacing w:before="20" w:after="0"/>
              <w:rPr>
                <w:rFonts w:ascii="Arial" w:hAnsi="Arial"/>
                <w:noProof w:val="0"/>
              </w:rPr>
            </w:pPr>
            <w:r w:rsidRPr="00542016">
              <w:rPr>
                <w:rFonts w:ascii="Arial" w:hAnsi="Arial"/>
                <w:noProof w:val="0"/>
              </w:rPr>
              <w:t>Employees</w:t>
            </w:r>
            <w:r w:rsidRPr="00542016">
              <w:rPr>
                <w:rFonts w:ascii="Arial" w:hAnsi="Arial"/>
                <w:noProof w:val="0"/>
              </w:rPr>
              <w:br/>
              <w:t>(headcount)</w:t>
            </w:r>
          </w:p>
        </w:tc>
        <w:tc>
          <w:tcPr>
            <w:tcW w:w="1080" w:type="dxa"/>
            <w:tcBorders>
              <w:top w:val="single" w:sz="4" w:space="0" w:color="auto"/>
              <w:bottom w:val="single" w:sz="4" w:space="0" w:color="auto"/>
              <w:right w:val="single" w:sz="4" w:space="0" w:color="auto"/>
            </w:tcBorders>
          </w:tcPr>
          <w:p w:rsidR="00542016" w:rsidRPr="00542016" w:rsidRDefault="00542016" w:rsidP="000C6757">
            <w:pPr>
              <w:pStyle w:val="Tabletextheading"/>
              <w:spacing w:before="20" w:after="0"/>
              <w:rPr>
                <w:rFonts w:ascii="Arial" w:hAnsi="Arial"/>
                <w:noProof w:val="0"/>
              </w:rPr>
            </w:pPr>
            <w:r w:rsidRPr="00542016">
              <w:rPr>
                <w:rFonts w:ascii="Arial" w:hAnsi="Arial"/>
                <w:noProof w:val="0"/>
              </w:rPr>
              <w:t xml:space="preserve">FTE </w:t>
            </w:r>
            <w:r w:rsidRPr="00542016">
              <w:rPr>
                <w:rFonts w:ascii="Arial" w:hAnsi="Arial"/>
                <w:vertAlign w:val="superscript"/>
              </w:rPr>
              <w:t>(</w:t>
            </w:r>
            <w:r w:rsidRPr="00542016">
              <w:rPr>
                <w:rFonts w:ascii="Arial" w:hAnsi="Arial"/>
                <w:i w:val="0"/>
                <w:vertAlign w:val="superscript"/>
              </w:rPr>
              <w:t>i</w:t>
            </w:r>
            <w:r w:rsidRPr="00542016">
              <w:rPr>
                <w:rFonts w:ascii="Arial" w:hAnsi="Arial"/>
                <w:vertAlign w:val="superscript"/>
              </w:rPr>
              <w:t>i)</w:t>
            </w:r>
            <w:r w:rsidRPr="00542016">
              <w:rPr>
                <w:rFonts w:ascii="Arial" w:hAnsi="Arial"/>
                <w:noProof w:val="0"/>
              </w:rPr>
              <w:t xml:space="preserve"> </w:t>
            </w:r>
          </w:p>
        </w:tc>
        <w:tc>
          <w:tcPr>
            <w:tcW w:w="1350" w:type="dxa"/>
            <w:tcBorders>
              <w:top w:val="single" w:sz="4" w:space="0" w:color="auto"/>
              <w:left w:val="single" w:sz="4" w:space="0" w:color="auto"/>
              <w:bottom w:val="single" w:sz="4" w:space="0" w:color="auto"/>
              <w:right w:val="single" w:sz="4" w:space="0" w:color="auto"/>
            </w:tcBorders>
          </w:tcPr>
          <w:p w:rsidR="00542016" w:rsidRPr="00542016" w:rsidRDefault="00542016" w:rsidP="000C6757">
            <w:pPr>
              <w:pStyle w:val="Tabletextheading"/>
              <w:spacing w:before="20" w:after="0"/>
              <w:rPr>
                <w:rFonts w:ascii="Arial" w:hAnsi="Arial"/>
                <w:noProof w:val="0"/>
              </w:rPr>
            </w:pPr>
            <w:r w:rsidRPr="00542016">
              <w:rPr>
                <w:rFonts w:ascii="Arial" w:hAnsi="Arial"/>
                <w:noProof w:val="0"/>
              </w:rPr>
              <w:t xml:space="preserve">FTE </w:t>
            </w:r>
            <w:r w:rsidRPr="00542016">
              <w:rPr>
                <w:rFonts w:ascii="Arial" w:hAnsi="Arial"/>
                <w:vertAlign w:val="superscript"/>
              </w:rPr>
              <w:t>(ii)</w:t>
            </w:r>
          </w:p>
        </w:tc>
        <w:tc>
          <w:tcPr>
            <w:tcW w:w="1184" w:type="dxa"/>
            <w:tcBorders>
              <w:top w:val="single" w:sz="4" w:space="0" w:color="auto"/>
              <w:left w:val="single" w:sz="4" w:space="0" w:color="auto"/>
              <w:bottom w:val="single" w:sz="4" w:space="0" w:color="auto"/>
              <w:right w:val="single" w:sz="4" w:space="0" w:color="auto"/>
            </w:tcBorders>
          </w:tcPr>
          <w:p w:rsidR="00542016" w:rsidRPr="00542016" w:rsidRDefault="00542016" w:rsidP="000C6757">
            <w:pPr>
              <w:pStyle w:val="Tabletextheading"/>
              <w:spacing w:before="20" w:after="0"/>
              <w:rPr>
                <w:rFonts w:ascii="Arial" w:hAnsi="Arial"/>
                <w:noProof w:val="0"/>
              </w:rPr>
            </w:pPr>
          </w:p>
        </w:tc>
        <w:tc>
          <w:tcPr>
            <w:tcW w:w="992" w:type="dxa"/>
            <w:tcBorders>
              <w:top w:val="single" w:sz="4" w:space="0" w:color="auto"/>
              <w:left w:val="single" w:sz="4" w:space="0" w:color="auto"/>
              <w:bottom w:val="single" w:sz="4" w:space="0" w:color="auto"/>
            </w:tcBorders>
          </w:tcPr>
          <w:p w:rsidR="00542016" w:rsidRPr="00542016" w:rsidRDefault="00542016" w:rsidP="000C6757">
            <w:pPr>
              <w:pStyle w:val="Tabletextheading"/>
              <w:spacing w:before="20" w:after="0"/>
              <w:rPr>
                <w:rFonts w:ascii="Arial" w:hAnsi="Arial"/>
                <w:noProof w:val="0"/>
              </w:rPr>
            </w:pPr>
            <w:r w:rsidRPr="00542016">
              <w:rPr>
                <w:rFonts w:ascii="Arial" w:hAnsi="Arial"/>
                <w:noProof w:val="0"/>
              </w:rPr>
              <w:t>Employees</w:t>
            </w:r>
            <w:r w:rsidRPr="00542016">
              <w:rPr>
                <w:rFonts w:ascii="Arial" w:hAnsi="Arial"/>
                <w:noProof w:val="0"/>
              </w:rPr>
              <w:br/>
              <w:t>(headcount)</w:t>
            </w:r>
          </w:p>
        </w:tc>
        <w:tc>
          <w:tcPr>
            <w:tcW w:w="709" w:type="dxa"/>
            <w:tcBorders>
              <w:top w:val="single" w:sz="4" w:space="0" w:color="auto"/>
              <w:bottom w:val="single" w:sz="4" w:space="0" w:color="auto"/>
              <w:right w:val="single" w:sz="4" w:space="0" w:color="auto"/>
            </w:tcBorders>
          </w:tcPr>
          <w:p w:rsidR="00542016" w:rsidRPr="00542016" w:rsidRDefault="00542016" w:rsidP="000C6757">
            <w:pPr>
              <w:pStyle w:val="Tabletextheading"/>
              <w:spacing w:before="20" w:after="0"/>
              <w:rPr>
                <w:rFonts w:ascii="Arial" w:hAnsi="Arial"/>
                <w:noProof w:val="0"/>
              </w:rPr>
            </w:pPr>
            <w:r w:rsidRPr="00542016">
              <w:rPr>
                <w:rFonts w:ascii="Arial" w:hAnsi="Arial"/>
                <w:noProof w:val="0"/>
              </w:rPr>
              <w:t xml:space="preserve">FTE </w:t>
            </w:r>
            <w:r w:rsidRPr="00542016">
              <w:rPr>
                <w:rFonts w:ascii="Arial" w:hAnsi="Arial"/>
                <w:vertAlign w:val="superscript"/>
              </w:rPr>
              <w:t>(ii)</w:t>
            </w:r>
            <w:r w:rsidRPr="00542016">
              <w:rPr>
                <w:rFonts w:ascii="Arial" w:hAnsi="Arial"/>
                <w:noProof w:val="0"/>
              </w:rPr>
              <w:t xml:space="preserve"> </w:t>
            </w:r>
          </w:p>
        </w:tc>
        <w:tc>
          <w:tcPr>
            <w:tcW w:w="1276" w:type="dxa"/>
            <w:tcBorders>
              <w:top w:val="single" w:sz="4" w:space="0" w:color="auto"/>
              <w:left w:val="single" w:sz="4" w:space="0" w:color="auto"/>
              <w:bottom w:val="single" w:sz="4" w:space="0" w:color="auto"/>
            </w:tcBorders>
          </w:tcPr>
          <w:p w:rsidR="00542016" w:rsidRPr="00542016" w:rsidRDefault="00542016" w:rsidP="000C6757">
            <w:pPr>
              <w:pStyle w:val="Tabletextheading"/>
              <w:spacing w:before="20" w:after="0"/>
              <w:rPr>
                <w:rFonts w:ascii="Arial" w:hAnsi="Arial"/>
                <w:noProof w:val="0"/>
              </w:rPr>
            </w:pPr>
            <w:r w:rsidRPr="00542016">
              <w:rPr>
                <w:rFonts w:ascii="Arial" w:hAnsi="Arial"/>
                <w:noProof w:val="0"/>
              </w:rPr>
              <w:t xml:space="preserve">FTE </w:t>
            </w:r>
            <w:r w:rsidRPr="00542016">
              <w:rPr>
                <w:rFonts w:ascii="Arial" w:hAnsi="Arial"/>
                <w:vertAlign w:val="superscript"/>
              </w:rPr>
              <w:t>(ii)</w:t>
            </w:r>
            <w:r w:rsidRPr="00542016">
              <w:rPr>
                <w:rFonts w:ascii="Arial" w:hAnsi="Arial"/>
                <w:noProof w:val="0"/>
              </w:rPr>
              <w:t xml:space="preserve"> </w:t>
            </w:r>
          </w:p>
        </w:tc>
      </w:tr>
      <w:tr w:rsidR="00542016" w:rsidRPr="00542016" w:rsidTr="000C6757">
        <w:trPr>
          <w:cantSplit/>
          <w:trHeight w:hRule="exact" w:val="284"/>
        </w:trPr>
        <w:tc>
          <w:tcPr>
            <w:tcW w:w="1303" w:type="dxa"/>
            <w:tcBorders>
              <w:top w:val="single" w:sz="4" w:space="0" w:color="auto"/>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b/>
                <w:bCs/>
              </w:rPr>
              <w:t>Gender</w:t>
            </w:r>
            <w:r w:rsidRPr="00542016">
              <w:rPr>
                <w:rFonts w:ascii="Arial" w:hAnsi="Arial"/>
              </w:rPr>
              <w:t>:</w:t>
            </w:r>
          </w:p>
        </w:tc>
        <w:tc>
          <w:tcPr>
            <w:tcW w:w="1080" w:type="dxa"/>
            <w:tcBorders>
              <w:top w:val="single" w:sz="4" w:space="0" w:color="auto"/>
              <w:left w:val="single" w:sz="4" w:space="0" w:color="auto"/>
            </w:tcBorders>
          </w:tcPr>
          <w:p w:rsidR="00542016" w:rsidRPr="00542016" w:rsidRDefault="00542016" w:rsidP="000C6757">
            <w:pPr>
              <w:pStyle w:val="TableofFigures"/>
              <w:spacing w:before="20" w:after="0"/>
              <w:rPr>
                <w:rFonts w:ascii="Arial" w:hAnsi="Arial"/>
              </w:rPr>
            </w:pPr>
          </w:p>
        </w:tc>
        <w:tc>
          <w:tcPr>
            <w:tcW w:w="1080" w:type="dxa"/>
            <w:tcBorders>
              <w:top w:val="single" w:sz="4" w:space="0" w:color="auto"/>
              <w:right w:val="single" w:sz="4" w:space="0" w:color="auto"/>
            </w:tcBorders>
          </w:tcPr>
          <w:p w:rsidR="00542016" w:rsidRPr="00542016" w:rsidRDefault="00542016" w:rsidP="000C6757">
            <w:pPr>
              <w:pStyle w:val="TableofFigures"/>
              <w:spacing w:before="20" w:after="0"/>
              <w:rPr>
                <w:rFonts w:ascii="Arial" w:hAnsi="Arial"/>
              </w:rPr>
            </w:pPr>
          </w:p>
        </w:tc>
        <w:tc>
          <w:tcPr>
            <w:tcW w:w="1350" w:type="dxa"/>
            <w:tcBorders>
              <w:top w:val="single" w:sz="4" w:space="0" w:color="auto"/>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p>
        </w:tc>
        <w:tc>
          <w:tcPr>
            <w:tcW w:w="1184" w:type="dxa"/>
            <w:tcBorders>
              <w:top w:val="single" w:sz="4" w:space="0" w:color="auto"/>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b/>
                <w:bCs/>
              </w:rPr>
              <w:t>Gender</w:t>
            </w:r>
            <w:r w:rsidRPr="00542016">
              <w:rPr>
                <w:rFonts w:ascii="Arial" w:hAnsi="Arial"/>
              </w:rPr>
              <w:t>:</w:t>
            </w:r>
          </w:p>
        </w:tc>
        <w:tc>
          <w:tcPr>
            <w:tcW w:w="992" w:type="dxa"/>
            <w:tcBorders>
              <w:top w:val="single" w:sz="4" w:space="0" w:color="auto"/>
              <w:left w:val="single" w:sz="4" w:space="0" w:color="auto"/>
            </w:tcBorders>
          </w:tcPr>
          <w:p w:rsidR="00542016" w:rsidRPr="00542016" w:rsidRDefault="00542016" w:rsidP="000C6757">
            <w:pPr>
              <w:pStyle w:val="TableofFigures"/>
              <w:spacing w:before="20" w:after="0"/>
              <w:rPr>
                <w:rFonts w:ascii="Arial" w:hAnsi="Arial"/>
              </w:rPr>
            </w:pPr>
          </w:p>
        </w:tc>
        <w:tc>
          <w:tcPr>
            <w:tcW w:w="709" w:type="dxa"/>
            <w:tcBorders>
              <w:top w:val="single" w:sz="4" w:space="0" w:color="auto"/>
              <w:right w:val="single" w:sz="4" w:space="0" w:color="auto"/>
            </w:tcBorders>
          </w:tcPr>
          <w:p w:rsidR="00542016" w:rsidRPr="00542016" w:rsidRDefault="00542016" w:rsidP="000C6757">
            <w:pPr>
              <w:pStyle w:val="TableofFigures"/>
              <w:spacing w:before="20" w:after="0"/>
              <w:rPr>
                <w:rFonts w:ascii="Arial" w:hAnsi="Arial"/>
              </w:rPr>
            </w:pPr>
          </w:p>
        </w:tc>
        <w:tc>
          <w:tcPr>
            <w:tcW w:w="1276" w:type="dxa"/>
            <w:tcBorders>
              <w:top w:val="single" w:sz="4" w:space="0" w:color="auto"/>
              <w:left w:val="single" w:sz="4" w:space="0" w:color="auto"/>
            </w:tcBorders>
          </w:tcPr>
          <w:p w:rsidR="00542016" w:rsidRPr="00542016" w:rsidRDefault="00542016" w:rsidP="000C6757">
            <w:pPr>
              <w:pStyle w:val="TableofFigures"/>
              <w:spacing w:before="20" w:after="0"/>
              <w:rPr>
                <w:rFonts w:ascii="Arial" w:hAnsi="Arial"/>
              </w:rPr>
            </w:pP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Male</w:t>
            </w:r>
          </w:p>
        </w:tc>
        <w:tc>
          <w:tcPr>
            <w:tcW w:w="1080" w:type="dxa"/>
            <w:tcBorders>
              <w:left w:val="single" w:sz="4" w:space="0" w:color="auto"/>
            </w:tcBorders>
          </w:tcPr>
          <w:p w:rsidR="00542016" w:rsidRPr="00542016" w:rsidRDefault="00542016" w:rsidP="000C6757">
            <w:pPr>
              <w:pStyle w:val="TableofFigures"/>
              <w:spacing w:after="0"/>
              <w:rPr>
                <w:rFonts w:ascii="Arial" w:hAnsi="Arial"/>
              </w:rPr>
            </w:pPr>
            <w:r w:rsidRPr="00542016">
              <w:rPr>
                <w:rFonts w:ascii="Arial" w:hAnsi="Arial"/>
              </w:rPr>
              <w:t>221</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219</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34</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Male</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239</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238</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45</w:t>
            </w:r>
          </w:p>
        </w:tc>
      </w:tr>
      <w:tr w:rsidR="00542016" w:rsidRPr="00542016" w:rsidTr="000C6757">
        <w:trPr>
          <w:cantSplit/>
          <w:trHeight w:hRule="exact" w:val="227"/>
        </w:trPr>
        <w:tc>
          <w:tcPr>
            <w:tcW w:w="1303" w:type="dxa"/>
            <w:tcBorders>
              <w:bottom w:val="single" w:sz="4" w:space="0" w:color="auto"/>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Female</w:t>
            </w:r>
          </w:p>
        </w:tc>
        <w:tc>
          <w:tcPr>
            <w:tcW w:w="1080" w:type="dxa"/>
            <w:tcBorders>
              <w:left w:val="single" w:sz="4" w:space="0" w:color="auto"/>
              <w:bottom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156</w:t>
            </w:r>
          </w:p>
        </w:tc>
        <w:tc>
          <w:tcPr>
            <w:tcW w:w="1080" w:type="dxa"/>
            <w:tcBorders>
              <w:bottom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150</w:t>
            </w:r>
          </w:p>
        </w:tc>
        <w:tc>
          <w:tcPr>
            <w:tcW w:w="1350" w:type="dxa"/>
            <w:tcBorders>
              <w:left w:val="single" w:sz="4" w:space="0" w:color="auto"/>
              <w:bottom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22</w:t>
            </w:r>
          </w:p>
        </w:tc>
        <w:tc>
          <w:tcPr>
            <w:tcW w:w="1184" w:type="dxa"/>
            <w:tcBorders>
              <w:left w:val="single" w:sz="4" w:space="0" w:color="auto"/>
              <w:bottom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Female</w:t>
            </w:r>
          </w:p>
        </w:tc>
        <w:tc>
          <w:tcPr>
            <w:tcW w:w="992" w:type="dxa"/>
            <w:tcBorders>
              <w:left w:val="single" w:sz="4" w:space="0" w:color="auto"/>
              <w:bottom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210</w:t>
            </w:r>
          </w:p>
        </w:tc>
        <w:tc>
          <w:tcPr>
            <w:tcW w:w="709" w:type="dxa"/>
            <w:tcBorders>
              <w:bottom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200</w:t>
            </w:r>
          </w:p>
        </w:tc>
        <w:tc>
          <w:tcPr>
            <w:tcW w:w="1276" w:type="dxa"/>
            <w:tcBorders>
              <w:left w:val="single" w:sz="4" w:space="0" w:color="auto"/>
              <w:bottom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25</w:t>
            </w:r>
          </w:p>
        </w:tc>
      </w:tr>
      <w:tr w:rsidR="00542016" w:rsidRPr="00542016" w:rsidTr="000C6757">
        <w:trPr>
          <w:cantSplit/>
          <w:trHeight w:hRule="exact" w:val="284"/>
        </w:trPr>
        <w:tc>
          <w:tcPr>
            <w:tcW w:w="1303" w:type="dxa"/>
            <w:tcBorders>
              <w:top w:val="single" w:sz="4" w:space="0" w:color="auto"/>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b/>
                <w:bCs/>
              </w:rPr>
              <w:t>Total</w:t>
            </w:r>
          </w:p>
        </w:tc>
        <w:tc>
          <w:tcPr>
            <w:tcW w:w="1080" w:type="dxa"/>
            <w:tcBorders>
              <w:top w:val="single" w:sz="4" w:space="0" w:color="auto"/>
              <w:lef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377</w:t>
            </w:r>
          </w:p>
        </w:tc>
        <w:tc>
          <w:tcPr>
            <w:tcW w:w="1080" w:type="dxa"/>
            <w:tcBorders>
              <w:top w:val="single" w:sz="4" w:space="0" w:color="auto"/>
              <w:righ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370</w:t>
            </w:r>
          </w:p>
        </w:tc>
        <w:tc>
          <w:tcPr>
            <w:tcW w:w="1350" w:type="dxa"/>
            <w:tcBorders>
              <w:top w:val="single" w:sz="4" w:space="0" w:color="auto"/>
              <w:left w:val="single" w:sz="4" w:space="0" w:color="auto"/>
              <w:righ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56</w:t>
            </w:r>
          </w:p>
        </w:tc>
        <w:tc>
          <w:tcPr>
            <w:tcW w:w="1184" w:type="dxa"/>
            <w:tcBorders>
              <w:top w:val="single" w:sz="4" w:space="0" w:color="auto"/>
              <w:left w:val="single" w:sz="4" w:space="0" w:color="auto"/>
              <w:right w:val="single" w:sz="4" w:space="0" w:color="auto"/>
            </w:tcBorders>
          </w:tcPr>
          <w:p w:rsidR="00542016" w:rsidRPr="00542016" w:rsidRDefault="00542016" w:rsidP="000C6757">
            <w:pPr>
              <w:pStyle w:val="TableofFigures"/>
              <w:spacing w:before="20"/>
              <w:rPr>
                <w:rFonts w:ascii="Arial" w:hAnsi="Arial"/>
                <w:b/>
                <w:bCs/>
              </w:rPr>
            </w:pPr>
            <w:r w:rsidRPr="00542016">
              <w:rPr>
                <w:rFonts w:ascii="Arial" w:hAnsi="Arial"/>
                <w:b/>
                <w:bCs/>
              </w:rPr>
              <w:t>Total</w:t>
            </w:r>
          </w:p>
        </w:tc>
        <w:tc>
          <w:tcPr>
            <w:tcW w:w="992" w:type="dxa"/>
            <w:tcBorders>
              <w:top w:val="single" w:sz="4" w:space="0" w:color="auto"/>
              <w:lef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 xml:space="preserve">449 </w:t>
            </w:r>
            <w:r w:rsidRPr="00542016">
              <w:rPr>
                <w:rFonts w:ascii="Arial" w:hAnsi="Arial"/>
                <w:vertAlign w:val="superscript"/>
              </w:rPr>
              <w:t>(iv)</w:t>
            </w:r>
          </w:p>
        </w:tc>
        <w:tc>
          <w:tcPr>
            <w:tcW w:w="709" w:type="dxa"/>
            <w:tcBorders>
              <w:top w:val="single" w:sz="4" w:space="0" w:color="auto"/>
              <w:righ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 xml:space="preserve">438 </w:t>
            </w:r>
            <w:r w:rsidRPr="00542016">
              <w:rPr>
                <w:rFonts w:ascii="Arial" w:hAnsi="Arial"/>
                <w:vertAlign w:val="superscript"/>
              </w:rPr>
              <w:t>(iv)</w:t>
            </w:r>
          </w:p>
        </w:tc>
        <w:tc>
          <w:tcPr>
            <w:tcW w:w="1276" w:type="dxa"/>
            <w:tcBorders>
              <w:top w:val="single" w:sz="4" w:space="0" w:color="auto"/>
              <w:lef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70</w:t>
            </w:r>
          </w:p>
        </w:tc>
      </w:tr>
      <w:tr w:rsidR="00542016" w:rsidRPr="00542016" w:rsidTr="000C6757">
        <w:trPr>
          <w:cantSplit/>
          <w:trHeight w:hRule="exact" w:val="284"/>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b/>
                <w:bCs/>
              </w:rPr>
              <w:t>Age</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b/>
                <w:bCs/>
              </w:rPr>
              <w:t>Age</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Under 25</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6</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6</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2</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Under 25</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11</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4</w:t>
            </w: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25</w:t>
            </w:r>
            <w:r w:rsidRPr="00542016">
              <w:rPr>
                <w:rFonts w:ascii="Arial" w:hAnsi="Arial"/>
              </w:rPr>
              <w:noBreakHyphen/>
              <w:t>34</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105</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103</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14</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25</w:t>
            </w:r>
            <w:r w:rsidRPr="00542016">
              <w:rPr>
                <w:rFonts w:ascii="Arial" w:hAnsi="Arial"/>
              </w:rPr>
              <w:noBreakHyphen/>
              <w:t>34</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141</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139</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14</w:t>
            </w: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35</w:t>
            </w:r>
            <w:r w:rsidRPr="00542016">
              <w:rPr>
                <w:rFonts w:ascii="Arial" w:hAnsi="Arial"/>
              </w:rPr>
              <w:noBreakHyphen/>
              <w:t>44</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109</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107</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19</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35</w:t>
            </w:r>
            <w:r w:rsidRPr="00542016">
              <w:rPr>
                <w:rFonts w:ascii="Arial" w:hAnsi="Arial"/>
              </w:rPr>
              <w:noBreakHyphen/>
              <w:t>44</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114</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109</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20</w:t>
            </w: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45</w:t>
            </w:r>
            <w:r w:rsidRPr="00542016">
              <w:rPr>
                <w:rFonts w:ascii="Arial" w:hAnsi="Arial"/>
              </w:rPr>
              <w:noBreakHyphen/>
              <w:t>54</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102</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100</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11</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45</w:t>
            </w:r>
            <w:r w:rsidRPr="00542016">
              <w:rPr>
                <w:rFonts w:ascii="Arial" w:hAnsi="Arial"/>
              </w:rPr>
              <w:noBreakHyphen/>
              <w:t>54</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105</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103</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15</w:t>
            </w: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55</w:t>
            </w:r>
            <w:r w:rsidRPr="00542016">
              <w:rPr>
                <w:rFonts w:ascii="Arial" w:hAnsi="Arial"/>
              </w:rPr>
              <w:noBreakHyphen/>
              <w:t>64</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52</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51</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9</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55</w:t>
            </w:r>
            <w:r w:rsidRPr="00542016">
              <w:rPr>
                <w:rFonts w:ascii="Arial" w:hAnsi="Arial"/>
              </w:rPr>
              <w:noBreakHyphen/>
              <w:t>64</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66</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66</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13</w:t>
            </w:r>
          </w:p>
        </w:tc>
      </w:tr>
      <w:tr w:rsidR="00542016" w:rsidRPr="00542016" w:rsidTr="000C6757">
        <w:trPr>
          <w:cantSplit/>
          <w:trHeight w:hRule="exact" w:val="227"/>
        </w:trPr>
        <w:tc>
          <w:tcPr>
            <w:tcW w:w="1303" w:type="dxa"/>
            <w:tcBorders>
              <w:bottom w:val="single" w:sz="4" w:space="0" w:color="auto"/>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Over 64</w:t>
            </w:r>
          </w:p>
        </w:tc>
        <w:tc>
          <w:tcPr>
            <w:tcW w:w="1080" w:type="dxa"/>
            <w:tcBorders>
              <w:left w:val="single" w:sz="4" w:space="0" w:color="auto"/>
              <w:bottom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3</w:t>
            </w:r>
          </w:p>
        </w:tc>
        <w:tc>
          <w:tcPr>
            <w:tcW w:w="1080" w:type="dxa"/>
            <w:tcBorders>
              <w:bottom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3</w:t>
            </w:r>
          </w:p>
        </w:tc>
        <w:tc>
          <w:tcPr>
            <w:tcW w:w="1350" w:type="dxa"/>
            <w:tcBorders>
              <w:left w:val="single" w:sz="4" w:space="0" w:color="auto"/>
              <w:bottom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w:t>
            </w:r>
          </w:p>
        </w:tc>
        <w:tc>
          <w:tcPr>
            <w:tcW w:w="1184" w:type="dxa"/>
            <w:tcBorders>
              <w:left w:val="single" w:sz="4" w:space="0" w:color="auto"/>
              <w:bottom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Over 64</w:t>
            </w:r>
          </w:p>
        </w:tc>
        <w:tc>
          <w:tcPr>
            <w:tcW w:w="992" w:type="dxa"/>
            <w:tcBorders>
              <w:left w:val="single" w:sz="4" w:space="0" w:color="auto"/>
              <w:bottom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12</w:t>
            </w:r>
          </w:p>
        </w:tc>
        <w:tc>
          <w:tcPr>
            <w:tcW w:w="709" w:type="dxa"/>
            <w:tcBorders>
              <w:bottom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11</w:t>
            </w:r>
          </w:p>
        </w:tc>
        <w:tc>
          <w:tcPr>
            <w:tcW w:w="1276" w:type="dxa"/>
            <w:tcBorders>
              <w:left w:val="single" w:sz="4" w:space="0" w:color="auto"/>
              <w:bottom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w:t>
            </w:r>
          </w:p>
        </w:tc>
      </w:tr>
      <w:tr w:rsidR="00542016" w:rsidRPr="00542016" w:rsidTr="000C6757">
        <w:trPr>
          <w:cantSplit/>
          <w:trHeight w:hRule="exact" w:val="284"/>
        </w:trPr>
        <w:tc>
          <w:tcPr>
            <w:tcW w:w="1303" w:type="dxa"/>
            <w:tcBorders>
              <w:top w:val="single" w:sz="4" w:space="0" w:color="auto"/>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b/>
                <w:bCs/>
              </w:rPr>
              <w:t>Total</w:t>
            </w:r>
          </w:p>
        </w:tc>
        <w:tc>
          <w:tcPr>
            <w:tcW w:w="1080" w:type="dxa"/>
            <w:tcBorders>
              <w:top w:val="single" w:sz="4" w:space="0" w:color="auto"/>
              <w:lef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377</w:t>
            </w:r>
          </w:p>
        </w:tc>
        <w:tc>
          <w:tcPr>
            <w:tcW w:w="1080" w:type="dxa"/>
            <w:tcBorders>
              <w:top w:val="single" w:sz="4" w:space="0" w:color="auto"/>
              <w:righ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370</w:t>
            </w:r>
          </w:p>
        </w:tc>
        <w:tc>
          <w:tcPr>
            <w:tcW w:w="1350" w:type="dxa"/>
            <w:tcBorders>
              <w:top w:val="single" w:sz="4" w:space="0" w:color="auto"/>
              <w:left w:val="single" w:sz="4" w:space="0" w:color="auto"/>
              <w:righ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56</w:t>
            </w:r>
          </w:p>
        </w:tc>
        <w:tc>
          <w:tcPr>
            <w:tcW w:w="1184" w:type="dxa"/>
            <w:tcBorders>
              <w:top w:val="single" w:sz="4" w:space="0" w:color="auto"/>
              <w:left w:val="single" w:sz="4" w:space="0" w:color="auto"/>
              <w:right w:val="single" w:sz="4" w:space="0" w:color="auto"/>
            </w:tcBorders>
          </w:tcPr>
          <w:p w:rsidR="00542016" w:rsidRPr="00542016" w:rsidRDefault="00542016" w:rsidP="000C6757">
            <w:pPr>
              <w:pStyle w:val="TableofFigures"/>
              <w:spacing w:before="20"/>
              <w:rPr>
                <w:rFonts w:ascii="Arial" w:hAnsi="Arial"/>
                <w:b/>
                <w:bCs/>
              </w:rPr>
            </w:pPr>
            <w:r w:rsidRPr="00542016">
              <w:rPr>
                <w:rFonts w:ascii="Arial" w:hAnsi="Arial"/>
                <w:b/>
                <w:bCs/>
              </w:rPr>
              <w:t>Total</w:t>
            </w:r>
          </w:p>
        </w:tc>
        <w:tc>
          <w:tcPr>
            <w:tcW w:w="992" w:type="dxa"/>
            <w:tcBorders>
              <w:top w:val="single" w:sz="4" w:space="0" w:color="auto"/>
              <w:lef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 xml:space="preserve">449 </w:t>
            </w:r>
            <w:r w:rsidRPr="00542016">
              <w:rPr>
                <w:rFonts w:ascii="Arial" w:hAnsi="Arial"/>
                <w:vertAlign w:val="superscript"/>
              </w:rPr>
              <w:t>(iv)</w:t>
            </w:r>
          </w:p>
        </w:tc>
        <w:tc>
          <w:tcPr>
            <w:tcW w:w="709" w:type="dxa"/>
            <w:tcBorders>
              <w:top w:val="single" w:sz="4" w:space="0" w:color="auto"/>
              <w:righ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 xml:space="preserve">438 </w:t>
            </w:r>
            <w:r w:rsidRPr="00542016">
              <w:rPr>
                <w:rFonts w:ascii="Arial" w:hAnsi="Arial"/>
                <w:vertAlign w:val="superscript"/>
              </w:rPr>
              <w:t>(iv)</w:t>
            </w:r>
          </w:p>
        </w:tc>
        <w:tc>
          <w:tcPr>
            <w:tcW w:w="1276" w:type="dxa"/>
            <w:tcBorders>
              <w:top w:val="single" w:sz="4" w:space="0" w:color="auto"/>
              <w:lef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70</w:t>
            </w:r>
          </w:p>
        </w:tc>
      </w:tr>
      <w:tr w:rsidR="00542016" w:rsidRPr="00542016" w:rsidTr="000C6757">
        <w:trPr>
          <w:cantSplit/>
          <w:trHeight w:hRule="exact" w:val="284"/>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b/>
                <w:bCs/>
              </w:rPr>
              <w:t>Classification</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b/>
                <w:bCs/>
              </w:rPr>
              <w:t>Classification</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PTV 1</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14</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VPS 1</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PTV 2</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VPS 2</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w:t>
            </w: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PTV 3</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52</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50</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VPS 3</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52</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51</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6</w:t>
            </w: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PTV 4</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64</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64</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VPS 4</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58</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55</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3</w:t>
            </w: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PTV 5</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110</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107</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15</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VPS 5</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90</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88</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9</w:t>
            </w: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PTV 6</w:t>
            </w: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103</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101</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w:t>
            </w:r>
          </w:p>
        </w:tc>
        <w:tc>
          <w:tcPr>
            <w:tcW w:w="1184" w:type="dxa"/>
            <w:tcBorders>
              <w:left w:val="single" w:sz="4" w:space="0" w:color="auto"/>
              <w:right w:val="single" w:sz="4" w:space="0" w:color="auto"/>
            </w:tcBorders>
          </w:tcPr>
          <w:p w:rsidR="00542016" w:rsidRPr="00542016" w:rsidRDefault="00542016" w:rsidP="000C6757">
            <w:pPr>
              <w:pStyle w:val="TableofFigures"/>
              <w:spacing w:before="20"/>
              <w:rPr>
                <w:rFonts w:ascii="Arial" w:hAnsi="Arial"/>
              </w:rPr>
            </w:pPr>
            <w:r w:rsidRPr="00542016">
              <w:rPr>
                <w:rFonts w:ascii="Arial" w:hAnsi="Arial"/>
              </w:rPr>
              <w:t>VPS 6</w:t>
            </w: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110</w:t>
            </w: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106</w:t>
            </w: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4</w:t>
            </w:r>
          </w:p>
        </w:tc>
      </w:tr>
      <w:tr w:rsidR="00542016" w:rsidRPr="00542016" w:rsidTr="000C6757">
        <w:trPr>
          <w:cantSplit/>
          <w:trHeight w:hRule="exact" w:val="227"/>
        </w:trPr>
        <w:tc>
          <w:tcPr>
            <w:tcW w:w="1303" w:type="dxa"/>
            <w:tcBorders>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STS</w:t>
            </w:r>
          </w:p>
          <w:p w:rsidR="00542016" w:rsidRPr="00542016" w:rsidRDefault="00542016" w:rsidP="000C6757">
            <w:pPr>
              <w:pStyle w:val="Tabletext"/>
              <w:spacing w:after="0"/>
              <w:rPr>
                <w:rFonts w:ascii="Arial" w:hAnsi="Arial"/>
              </w:rPr>
            </w:pPr>
          </w:p>
        </w:tc>
        <w:tc>
          <w:tcPr>
            <w:tcW w:w="1080" w:type="dxa"/>
            <w:tcBorders>
              <w:lef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w:t>
            </w:r>
          </w:p>
        </w:tc>
        <w:tc>
          <w:tcPr>
            <w:tcW w:w="1080" w:type="dxa"/>
            <w:tcBorders>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5</w:t>
            </w:r>
          </w:p>
        </w:tc>
        <w:tc>
          <w:tcPr>
            <w:tcW w:w="1350" w:type="dxa"/>
            <w:tcBorders>
              <w:left w:val="single" w:sz="4" w:space="0" w:color="auto"/>
              <w:right w:val="single" w:sz="4" w:space="0" w:color="auto"/>
            </w:tcBorders>
          </w:tcPr>
          <w:p w:rsidR="00542016" w:rsidRPr="00542016" w:rsidRDefault="00542016" w:rsidP="000C6757">
            <w:pPr>
              <w:pStyle w:val="TableofFigures"/>
              <w:spacing w:before="20" w:after="0"/>
              <w:rPr>
                <w:rFonts w:ascii="Arial" w:hAnsi="Arial"/>
              </w:rPr>
            </w:pPr>
          </w:p>
        </w:tc>
        <w:tc>
          <w:tcPr>
            <w:tcW w:w="1184" w:type="dxa"/>
            <w:tcBorders>
              <w:left w:val="single" w:sz="4" w:space="0" w:color="auto"/>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STS</w:t>
            </w:r>
          </w:p>
          <w:p w:rsidR="00542016" w:rsidRPr="00542016" w:rsidRDefault="00542016" w:rsidP="000C6757">
            <w:pPr>
              <w:pStyle w:val="TableofFigures"/>
              <w:spacing w:before="20"/>
              <w:rPr>
                <w:rFonts w:ascii="Arial" w:hAnsi="Arial"/>
              </w:rPr>
            </w:pPr>
          </w:p>
        </w:tc>
        <w:tc>
          <w:tcPr>
            <w:tcW w:w="992" w:type="dxa"/>
            <w:tcBorders>
              <w:left w:val="single" w:sz="4" w:space="0" w:color="auto"/>
            </w:tcBorders>
          </w:tcPr>
          <w:p w:rsidR="00542016" w:rsidRPr="00542016" w:rsidRDefault="00542016" w:rsidP="000C6757">
            <w:pPr>
              <w:pStyle w:val="TableofFigures"/>
              <w:spacing w:before="20" w:after="0"/>
              <w:rPr>
                <w:rFonts w:ascii="Arial" w:hAnsi="Arial"/>
              </w:rPr>
            </w:pPr>
          </w:p>
        </w:tc>
        <w:tc>
          <w:tcPr>
            <w:tcW w:w="709" w:type="dxa"/>
            <w:tcBorders>
              <w:right w:val="single" w:sz="4" w:space="0" w:color="auto"/>
            </w:tcBorders>
          </w:tcPr>
          <w:p w:rsidR="00542016" w:rsidRPr="00542016" w:rsidRDefault="00542016" w:rsidP="000C6757">
            <w:pPr>
              <w:pStyle w:val="TableofFigures"/>
              <w:spacing w:before="20" w:after="0"/>
              <w:rPr>
                <w:rFonts w:ascii="Arial" w:hAnsi="Arial"/>
              </w:rPr>
            </w:pPr>
          </w:p>
        </w:tc>
        <w:tc>
          <w:tcPr>
            <w:tcW w:w="1276" w:type="dxa"/>
            <w:tcBorders>
              <w:left w:val="single" w:sz="4" w:space="0" w:color="auto"/>
            </w:tcBorders>
          </w:tcPr>
          <w:p w:rsidR="00542016" w:rsidRPr="00542016" w:rsidRDefault="00542016" w:rsidP="000C6757">
            <w:pPr>
              <w:pStyle w:val="TableofFigures"/>
              <w:spacing w:before="20" w:after="0"/>
              <w:rPr>
                <w:rFonts w:ascii="Arial" w:hAnsi="Arial"/>
              </w:rPr>
            </w:pPr>
          </w:p>
          <w:p w:rsidR="00542016" w:rsidRPr="00542016" w:rsidRDefault="00542016" w:rsidP="000C6757">
            <w:pPr>
              <w:rPr>
                <w:rFonts w:ascii="Arial" w:hAnsi="Arial" w:cs="Arial"/>
              </w:rPr>
            </w:pPr>
          </w:p>
          <w:p w:rsidR="00542016" w:rsidRPr="00542016" w:rsidRDefault="00542016" w:rsidP="000C6757">
            <w:pPr>
              <w:rPr>
                <w:rFonts w:ascii="Arial" w:hAnsi="Arial" w:cs="Arial"/>
              </w:rPr>
            </w:pPr>
          </w:p>
          <w:p w:rsidR="00542016" w:rsidRPr="00542016" w:rsidRDefault="00542016" w:rsidP="000C6757">
            <w:pPr>
              <w:rPr>
                <w:rFonts w:ascii="Arial" w:hAnsi="Arial" w:cs="Arial"/>
              </w:rPr>
            </w:pPr>
          </w:p>
        </w:tc>
      </w:tr>
      <w:tr w:rsidR="00542016" w:rsidRPr="00542016" w:rsidTr="000C6757">
        <w:trPr>
          <w:cantSplit/>
          <w:trHeight w:hRule="exact" w:val="561"/>
        </w:trPr>
        <w:tc>
          <w:tcPr>
            <w:tcW w:w="1303" w:type="dxa"/>
            <w:tcBorders>
              <w:bottom w:val="single" w:sz="4" w:space="0" w:color="auto"/>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Executives</w:t>
            </w:r>
          </w:p>
          <w:p w:rsidR="00542016" w:rsidRPr="00542016" w:rsidRDefault="00542016" w:rsidP="000C6757">
            <w:pPr>
              <w:pStyle w:val="Tabletext"/>
              <w:spacing w:after="0"/>
              <w:rPr>
                <w:rFonts w:ascii="Arial" w:hAnsi="Arial"/>
              </w:rPr>
            </w:pPr>
            <w:r w:rsidRPr="00542016">
              <w:rPr>
                <w:rFonts w:ascii="Arial" w:hAnsi="Arial"/>
              </w:rPr>
              <w:t>Other</w:t>
            </w:r>
            <w:r w:rsidRPr="00542016">
              <w:rPr>
                <w:rFonts w:ascii="Arial" w:hAnsi="Arial"/>
                <w:vertAlign w:val="superscript"/>
              </w:rPr>
              <w:t>(iii)</w:t>
            </w:r>
          </w:p>
        </w:tc>
        <w:tc>
          <w:tcPr>
            <w:tcW w:w="1080" w:type="dxa"/>
            <w:tcBorders>
              <w:left w:val="single" w:sz="4" w:space="0" w:color="auto"/>
              <w:bottom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36</w:t>
            </w:r>
          </w:p>
          <w:p w:rsidR="00542016" w:rsidRPr="00542016" w:rsidRDefault="00542016" w:rsidP="000C6757">
            <w:pPr>
              <w:jc w:val="right"/>
              <w:rPr>
                <w:rFonts w:ascii="Arial" w:hAnsi="Arial" w:cs="Arial"/>
              </w:rPr>
            </w:pPr>
            <w:r w:rsidRPr="00542016">
              <w:rPr>
                <w:rFonts w:ascii="Arial" w:hAnsi="Arial" w:cs="Arial"/>
                <w:sz w:val="18"/>
                <w:szCs w:val="18"/>
                <w:lang w:eastAsia="en-US"/>
              </w:rPr>
              <w:t>7</w:t>
            </w:r>
          </w:p>
        </w:tc>
        <w:tc>
          <w:tcPr>
            <w:tcW w:w="1080" w:type="dxa"/>
            <w:tcBorders>
              <w:bottom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36</w:t>
            </w:r>
          </w:p>
          <w:p w:rsidR="00542016" w:rsidRPr="00542016" w:rsidRDefault="00542016" w:rsidP="000C6757">
            <w:pPr>
              <w:jc w:val="right"/>
              <w:rPr>
                <w:rFonts w:ascii="Arial" w:hAnsi="Arial" w:cs="Arial"/>
              </w:rPr>
            </w:pPr>
            <w:r w:rsidRPr="00542016">
              <w:rPr>
                <w:rFonts w:ascii="Arial" w:hAnsi="Arial" w:cs="Arial"/>
                <w:sz w:val="18"/>
                <w:szCs w:val="18"/>
                <w:lang w:eastAsia="en-US"/>
              </w:rPr>
              <w:t>7</w:t>
            </w:r>
          </w:p>
        </w:tc>
        <w:tc>
          <w:tcPr>
            <w:tcW w:w="1350" w:type="dxa"/>
            <w:tcBorders>
              <w:left w:val="single" w:sz="4" w:space="0" w:color="auto"/>
              <w:bottom w:val="single" w:sz="4" w:space="0" w:color="auto"/>
              <w:right w:val="single" w:sz="4" w:space="0" w:color="auto"/>
            </w:tcBorders>
          </w:tcPr>
          <w:p w:rsidR="00542016" w:rsidRPr="00542016" w:rsidRDefault="00542016" w:rsidP="000C6757">
            <w:pPr>
              <w:pStyle w:val="TableofFigures"/>
              <w:spacing w:before="20" w:after="0"/>
              <w:rPr>
                <w:rFonts w:ascii="Arial" w:hAnsi="Arial"/>
              </w:rPr>
            </w:pPr>
          </w:p>
          <w:p w:rsidR="00542016" w:rsidRPr="00542016" w:rsidRDefault="00542016" w:rsidP="000C6757">
            <w:pPr>
              <w:jc w:val="right"/>
              <w:rPr>
                <w:rFonts w:ascii="Arial" w:hAnsi="Arial" w:cs="Arial"/>
              </w:rPr>
            </w:pPr>
            <w:r w:rsidRPr="00542016">
              <w:rPr>
                <w:rFonts w:ascii="Arial" w:hAnsi="Arial" w:cs="Arial"/>
                <w:sz w:val="18"/>
                <w:szCs w:val="18"/>
                <w:lang w:eastAsia="en-US"/>
              </w:rPr>
              <w:t>3</w:t>
            </w:r>
          </w:p>
        </w:tc>
        <w:tc>
          <w:tcPr>
            <w:tcW w:w="1184" w:type="dxa"/>
            <w:tcBorders>
              <w:left w:val="single" w:sz="4" w:space="0" w:color="auto"/>
              <w:bottom w:val="single" w:sz="4" w:space="0" w:color="auto"/>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rPr>
              <w:t>Executives</w:t>
            </w:r>
          </w:p>
          <w:p w:rsidR="00542016" w:rsidRPr="00542016" w:rsidRDefault="00542016" w:rsidP="000C6757">
            <w:pPr>
              <w:pStyle w:val="TableofFigures"/>
              <w:spacing w:before="20"/>
              <w:rPr>
                <w:rFonts w:ascii="Arial" w:hAnsi="Arial"/>
              </w:rPr>
            </w:pPr>
            <w:r w:rsidRPr="00542016">
              <w:rPr>
                <w:rFonts w:ascii="Arial" w:hAnsi="Arial"/>
              </w:rPr>
              <w:t>Other</w:t>
            </w:r>
            <w:r w:rsidRPr="00542016">
              <w:rPr>
                <w:rFonts w:ascii="Arial" w:hAnsi="Arial"/>
                <w:vertAlign w:val="superscript"/>
              </w:rPr>
              <w:t>(iii)</w:t>
            </w:r>
          </w:p>
        </w:tc>
        <w:tc>
          <w:tcPr>
            <w:tcW w:w="992" w:type="dxa"/>
            <w:tcBorders>
              <w:left w:val="single" w:sz="4" w:space="0" w:color="auto"/>
              <w:bottom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18</w:t>
            </w:r>
          </w:p>
          <w:p w:rsidR="00542016" w:rsidRPr="00542016" w:rsidRDefault="00542016" w:rsidP="000C6757">
            <w:pPr>
              <w:jc w:val="right"/>
              <w:rPr>
                <w:rFonts w:ascii="Arial" w:hAnsi="Arial" w:cs="Arial"/>
              </w:rPr>
            </w:pPr>
            <w:r w:rsidRPr="00542016">
              <w:rPr>
                <w:rFonts w:ascii="Arial" w:hAnsi="Arial" w:cs="Arial"/>
                <w:sz w:val="18"/>
                <w:szCs w:val="18"/>
                <w:lang w:eastAsia="en-US"/>
              </w:rPr>
              <w:t>138</w:t>
            </w:r>
          </w:p>
        </w:tc>
        <w:tc>
          <w:tcPr>
            <w:tcW w:w="709" w:type="dxa"/>
            <w:tcBorders>
              <w:bottom w:val="single" w:sz="4" w:space="0" w:color="auto"/>
              <w:right w:val="single" w:sz="4" w:space="0" w:color="auto"/>
            </w:tcBorders>
          </w:tcPr>
          <w:p w:rsidR="00542016" w:rsidRPr="00542016" w:rsidRDefault="00542016" w:rsidP="000C6757">
            <w:pPr>
              <w:pStyle w:val="TableofFigures"/>
              <w:spacing w:before="20" w:after="0"/>
              <w:rPr>
                <w:rFonts w:ascii="Arial" w:hAnsi="Arial"/>
              </w:rPr>
            </w:pPr>
            <w:r w:rsidRPr="00542016">
              <w:rPr>
                <w:rFonts w:ascii="Arial" w:hAnsi="Arial"/>
              </w:rPr>
              <w:t>18</w:t>
            </w:r>
          </w:p>
          <w:p w:rsidR="00542016" w:rsidRPr="00542016" w:rsidRDefault="00542016" w:rsidP="000C6757">
            <w:pPr>
              <w:jc w:val="right"/>
              <w:rPr>
                <w:rFonts w:ascii="Arial" w:hAnsi="Arial" w:cs="Arial"/>
              </w:rPr>
            </w:pPr>
            <w:r w:rsidRPr="00542016">
              <w:rPr>
                <w:rFonts w:ascii="Arial" w:hAnsi="Arial" w:cs="Arial"/>
                <w:sz w:val="18"/>
                <w:szCs w:val="18"/>
                <w:lang w:eastAsia="en-US"/>
              </w:rPr>
              <w:t>136</w:t>
            </w:r>
          </w:p>
        </w:tc>
        <w:tc>
          <w:tcPr>
            <w:tcW w:w="1276" w:type="dxa"/>
            <w:tcBorders>
              <w:left w:val="single" w:sz="4" w:space="0" w:color="auto"/>
              <w:bottom w:val="single" w:sz="4" w:space="0" w:color="auto"/>
            </w:tcBorders>
          </w:tcPr>
          <w:p w:rsidR="00542016" w:rsidRPr="00542016" w:rsidRDefault="00542016" w:rsidP="000C6757">
            <w:pPr>
              <w:rPr>
                <w:rFonts w:ascii="Arial" w:hAnsi="Arial" w:cs="Arial"/>
              </w:rPr>
            </w:pPr>
          </w:p>
          <w:p w:rsidR="00542016" w:rsidRPr="00542016" w:rsidRDefault="00542016" w:rsidP="000C6757">
            <w:pPr>
              <w:jc w:val="right"/>
              <w:rPr>
                <w:rFonts w:ascii="Arial" w:hAnsi="Arial" w:cs="Arial"/>
              </w:rPr>
            </w:pPr>
            <w:r w:rsidRPr="00542016">
              <w:rPr>
                <w:rFonts w:ascii="Arial" w:hAnsi="Arial" w:cs="Arial"/>
                <w:sz w:val="18"/>
                <w:szCs w:val="18"/>
                <w:lang w:eastAsia="en-US"/>
              </w:rPr>
              <w:t>30</w:t>
            </w:r>
          </w:p>
        </w:tc>
      </w:tr>
      <w:tr w:rsidR="00542016" w:rsidRPr="00542016" w:rsidTr="000C6757">
        <w:trPr>
          <w:cantSplit/>
          <w:trHeight w:hRule="exact" w:val="284"/>
        </w:trPr>
        <w:tc>
          <w:tcPr>
            <w:tcW w:w="1303" w:type="dxa"/>
            <w:tcBorders>
              <w:top w:val="single" w:sz="4" w:space="0" w:color="auto"/>
              <w:bottom w:val="single" w:sz="12" w:space="0" w:color="auto"/>
              <w:right w:val="single" w:sz="4" w:space="0" w:color="auto"/>
            </w:tcBorders>
          </w:tcPr>
          <w:p w:rsidR="00542016" w:rsidRPr="00542016" w:rsidRDefault="00542016" w:rsidP="000C6757">
            <w:pPr>
              <w:pStyle w:val="Tabletext"/>
              <w:spacing w:after="0"/>
              <w:rPr>
                <w:rFonts w:ascii="Arial" w:hAnsi="Arial"/>
              </w:rPr>
            </w:pPr>
            <w:r w:rsidRPr="00542016">
              <w:rPr>
                <w:rFonts w:ascii="Arial" w:hAnsi="Arial"/>
                <w:b/>
                <w:bCs/>
              </w:rPr>
              <w:t>Total</w:t>
            </w:r>
          </w:p>
        </w:tc>
        <w:tc>
          <w:tcPr>
            <w:tcW w:w="1080" w:type="dxa"/>
            <w:tcBorders>
              <w:top w:val="single" w:sz="4" w:space="0" w:color="auto"/>
              <w:left w:val="single" w:sz="4" w:space="0" w:color="auto"/>
              <w:bottom w:val="single" w:sz="12"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377</w:t>
            </w:r>
          </w:p>
        </w:tc>
        <w:tc>
          <w:tcPr>
            <w:tcW w:w="1080" w:type="dxa"/>
            <w:tcBorders>
              <w:top w:val="single" w:sz="4" w:space="0" w:color="auto"/>
              <w:bottom w:val="single" w:sz="12" w:space="0" w:color="auto"/>
              <w:righ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370</w:t>
            </w:r>
          </w:p>
        </w:tc>
        <w:tc>
          <w:tcPr>
            <w:tcW w:w="1350" w:type="dxa"/>
            <w:tcBorders>
              <w:top w:val="single" w:sz="4" w:space="0" w:color="auto"/>
              <w:left w:val="single" w:sz="4" w:space="0" w:color="auto"/>
              <w:bottom w:val="single" w:sz="12" w:space="0" w:color="auto"/>
              <w:righ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56</w:t>
            </w:r>
          </w:p>
        </w:tc>
        <w:tc>
          <w:tcPr>
            <w:tcW w:w="1184" w:type="dxa"/>
            <w:tcBorders>
              <w:top w:val="single" w:sz="4" w:space="0" w:color="auto"/>
              <w:left w:val="single" w:sz="4" w:space="0" w:color="auto"/>
              <w:bottom w:val="single" w:sz="12" w:space="0" w:color="auto"/>
              <w:right w:val="single" w:sz="4" w:space="0" w:color="auto"/>
            </w:tcBorders>
          </w:tcPr>
          <w:p w:rsidR="00542016" w:rsidRPr="00542016" w:rsidRDefault="00542016" w:rsidP="000C6757">
            <w:pPr>
              <w:pStyle w:val="TableofFigures"/>
              <w:spacing w:before="20" w:after="0"/>
              <w:rPr>
                <w:rFonts w:ascii="Arial" w:hAnsi="Arial"/>
                <w:b/>
                <w:bCs/>
              </w:rPr>
            </w:pPr>
          </w:p>
        </w:tc>
        <w:tc>
          <w:tcPr>
            <w:tcW w:w="992" w:type="dxa"/>
            <w:tcBorders>
              <w:top w:val="single" w:sz="4" w:space="0" w:color="auto"/>
              <w:left w:val="single" w:sz="4" w:space="0" w:color="auto"/>
              <w:bottom w:val="single" w:sz="12"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467</w:t>
            </w:r>
          </w:p>
        </w:tc>
        <w:tc>
          <w:tcPr>
            <w:tcW w:w="709" w:type="dxa"/>
            <w:tcBorders>
              <w:top w:val="single" w:sz="4" w:space="0" w:color="auto"/>
              <w:bottom w:val="single" w:sz="12" w:space="0" w:color="auto"/>
              <w:right w:val="single" w:sz="4"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456</w:t>
            </w:r>
          </w:p>
        </w:tc>
        <w:tc>
          <w:tcPr>
            <w:tcW w:w="1276" w:type="dxa"/>
            <w:tcBorders>
              <w:top w:val="single" w:sz="4" w:space="0" w:color="auto"/>
              <w:left w:val="single" w:sz="4" w:space="0" w:color="auto"/>
              <w:bottom w:val="single" w:sz="12" w:space="0" w:color="auto"/>
            </w:tcBorders>
          </w:tcPr>
          <w:p w:rsidR="00542016" w:rsidRPr="00542016" w:rsidRDefault="00542016" w:rsidP="000C6757">
            <w:pPr>
              <w:pStyle w:val="TableofFigures"/>
              <w:spacing w:before="20" w:after="0"/>
              <w:rPr>
                <w:rFonts w:ascii="Arial" w:hAnsi="Arial"/>
                <w:b/>
                <w:bCs/>
              </w:rPr>
            </w:pPr>
            <w:r w:rsidRPr="00542016">
              <w:rPr>
                <w:rFonts w:ascii="Arial" w:hAnsi="Arial"/>
                <w:b/>
                <w:bCs/>
              </w:rPr>
              <w:t>52</w:t>
            </w:r>
          </w:p>
        </w:tc>
      </w:tr>
    </w:tbl>
    <w:p w:rsidR="00542016" w:rsidRPr="00542016" w:rsidRDefault="00542016" w:rsidP="00542016">
      <w:pPr>
        <w:pStyle w:val="Notes"/>
        <w:ind w:left="0" w:firstLine="0"/>
        <w:rPr>
          <w:rFonts w:ascii="Arial" w:hAnsi="Arial" w:cs="Arial"/>
        </w:rPr>
      </w:pPr>
      <w:r w:rsidRPr="00542016">
        <w:rPr>
          <w:rFonts w:ascii="Arial" w:hAnsi="Arial" w:cs="Arial"/>
        </w:rPr>
        <w:t>Notes:</w:t>
      </w:r>
    </w:p>
    <w:p w:rsidR="00542016" w:rsidRPr="00542016" w:rsidRDefault="00542016" w:rsidP="002D77DA">
      <w:pPr>
        <w:pStyle w:val="Notes"/>
        <w:numPr>
          <w:ilvl w:val="0"/>
          <w:numId w:val="5"/>
        </w:numPr>
        <w:rPr>
          <w:rFonts w:ascii="Arial" w:hAnsi="Arial" w:cs="Arial"/>
        </w:rPr>
      </w:pPr>
      <w:r w:rsidRPr="00542016">
        <w:rPr>
          <w:rFonts w:ascii="Arial" w:hAnsi="Arial" w:cs="Arial"/>
        </w:rPr>
        <w:t>Headcount and FTE figures reflect employment levels during the last full pay period in June of each year.</w:t>
      </w:r>
    </w:p>
    <w:p w:rsidR="00542016" w:rsidRPr="00542016" w:rsidRDefault="00542016" w:rsidP="002D77DA">
      <w:pPr>
        <w:pStyle w:val="Notes"/>
        <w:numPr>
          <w:ilvl w:val="0"/>
          <w:numId w:val="5"/>
        </w:numPr>
        <w:ind w:left="426" w:hanging="426"/>
        <w:rPr>
          <w:rFonts w:ascii="Arial" w:hAnsi="Arial" w:cs="Arial"/>
        </w:rPr>
      </w:pPr>
      <w:r w:rsidRPr="00542016">
        <w:rPr>
          <w:rFonts w:ascii="Arial" w:hAnsi="Arial" w:cs="Arial"/>
        </w:rPr>
        <w:t>FTE numbers have been rounded to nearest whole number, therefore some variances between individual FTE’s and the FTE totals appear.</w:t>
      </w:r>
    </w:p>
    <w:p w:rsidR="00542016" w:rsidRPr="00542016" w:rsidRDefault="00542016" w:rsidP="002D77DA">
      <w:pPr>
        <w:pStyle w:val="Notes"/>
        <w:numPr>
          <w:ilvl w:val="0"/>
          <w:numId w:val="5"/>
        </w:numPr>
        <w:rPr>
          <w:rFonts w:ascii="Arial" w:hAnsi="Arial" w:cs="Arial"/>
        </w:rPr>
      </w:pPr>
      <w:r w:rsidRPr="00542016">
        <w:rPr>
          <w:rFonts w:ascii="Arial" w:hAnsi="Arial" w:cs="Arial"/>
        </w:rPr>
        <w:t>Classification 'Other' includes staff on agreements/contracts other than the PTV Agreement.</w:t>
      </w:r>
    </w:p>
    <w:p w:rsidR="00542016" w:rsidRPr="00542016" w:rsidRDefault="00542016" w:rsidP="002D77DA">
      <w:pPr>
        <w:pStyle w:val="Notes"/>
        <w:numPr>
          <w:ilvl w:val="0"/>
          <w:numId w:val="5"/>
        </w:numPr>
        <w:rPr>
          <w:rFonts w:ascii="Arial" w:hAnsi="Arial" w:cs="Arial"/>
        </w:rPr>
      </w:pPr>
      <w:r w:rsidRPr="00542016">
        <w:rPr>
          <w:rFonts w:ascii="Arial" w:hAnsi="Arial" w:cs="Arial"/>
        </w:rPr>
        <w:t>Excludes Executive staff.</w:t>
      </w:r>
    </w:p>
    <w:p w:rsidR="00542016" w:rsidRPr="00542016" w:rsidRDefault="00542016" w:rsidP="00542016">
      <w:pPr>
        <w:rPr>
          <w:rFonts w:ascii="Arial" w:hAnsi="Arial" w:cs="Arial"/>
          <w:b/>
          <w:sz w:val="28"/>
          <w:szCs w:val="28"/>
        </w:rPr>
      </w:pPr>
      <w:r w:rsidRPr="00542016">
        <w:rPr>
          <w:rFonts w:ascii="Arial" w:hAnsi="Arial" w:cs="Arial"/>
          <w:b/>
          <w:sz w:val="28"/>
          <w:szCs w:val="28"/>
        </w:rPr>
        <w:br w:type="page"/>
      </w:r>
    </w:p>
    <w:p w:rsidR="00542016" w:rsidRPr="00F82C5A" w:rsidRDefault="00542016" w:rsidP="00ED42C3">
      <w:pPr>
        <w:pStyle w:val="Heading20"/>
      </w:pPr>
      <w:r w:rsidRPr="00F82C5A">
        <w:t>Employment and conduct principles</w:t>
      </w:r>
    </w:p>
    <w:p w:rsidR="00542016" w:rsidRPr="00F82C5A" w:rsidRDefault="00542016" w:rsidP="00542016">
      <w:pPr>
        <w:rPr>
          <w:rFonts w:ascii="Arial" w:hAnsi="Arial" w:cs="Arial"/>
        </w:rPr>
      </w:pPr>
      <w:r w:rsidRPr="00F82C5A">
        <w:rPr>
          <w:rFonts w:ascii="Arial" w:hAnsi="Arial" w:cs="Arial"/>
        </w:rPr>
        <w:t>PTV is committed to applying merit and equity principles when appointing staff. The selection processes ensure that applicants are assessed and evaluated fairly and equitably on the basis of the key selection criteria and other accountabilities without discrimination.</w:t>
      </w:r>
    </w:p>
    <w:p w:rsidR="00542016" w:rsidRPr="00F82C5A" w:rsidRDefault="00542016" w:rsidP="00542016">
      <w:pPr>
        <w:rPr>
          <w:rFonts w:ascii="Arial" w:hAnsi="Arial" w:cs="Arial"/>
          <w:lang w:val="en-GB" w:eastAsia="en-US"/>
        </w:rPr>
      </w:pPr>
    </w:p>
    <w:p w:rsidR="00542016" w:rsidRPr="00F82C5A" w:rsidRDefault="00542016" w:rsidP="00ED42C3">
      <w:pPr>
        <w:pStyle w:val="Heading20"/>
      </w:pPr>
      <w:r w:rsidRPr="00F82C5A">
        <w:t>Public administration values and employment principles</w:t>
      </w:r>
    </w:p>
    <w:p w:rsidR="00542016" w:rsidRPr="00F82C5A" w:rsidRDefault="00542016" w:rsidP="00542016">
      <w:pPr>
        <w:rPr>
          <w:rFonts w:ascii="Arial" w:hAnsi="Arial" w:cs="Arial"/>
        </w:rPr>
      </w:pPr>
      <w:r>
        <w:rPr>
          <w:rFonts w:ascii="Arial" w:hAnsi="Arial" w:cs="Arial"/>
        </w:rPr>
        <w:t xml:space="preserve">PTV implements directions and policies </w:t>
      </w:r>
      <w:r w:rsidRPr="00F82C5A">
        <w:rPr>
          <w:rFonts w:ascii="Arial" w:hAnsi="Arial" w:cs="Arial"/>
        </w:rPr>
        <w:t xml:space="preserve">with respect to upholding public sector conduct, managing and valuing diversity, managing underperformance, reviewing personal grievances, and selecting on merit. </w:t>
      </w:r>
    </w:p>
    <w:p w:rsidR="00542016" w:rsidRPr="00F82C5A" w:rsidRDefault="00542016" w:rsidP="00542016">
      <w:pPr>
        <w:rPr>
          <w:rFonts w:ascii="Arial" w:hAnsi="Arial" w:cs="Arial"/>
        </w:rPr>
      </w:pPr>
    </w:p>
    <w:p w:rsidR="00542016" w:rsidRDefault="00542016" w:rsidP="00542016">
      <w:pPr>
        <w:rPr>
          <w:rFonts w:ascii="Arial" w:hAnsi="Arial" w:cs="Arial"/>
        </w:rPr>
      </w:pPr>
      <w:r w:rsidRPr="00F82C5A">
        <w:rPr>
          <w:rFonts w:ascii="Arial" w:hAnsi="Arial" w:cs="Arial"/>
        </w:rPr>
        <w:t>PTV</w:t>
      </w:r>
      <w:r>
        <w:rPr>
          <w:rFonts w:ascii="Arial" w:hAnsi="Arial" w:cs="Arial"/>
        </w:rPr>
        <w:t xml:space="preserve"> has</w:t>
      </w:r>
      <w:r w:rsidRPr="00F82C5A">
        <w:rPr>
          <w:rFonts w:ascii="Arial" w:hAnsi="Arial" w:cs="Arial"/>
        </w:rPr>
        <w:t xml:space="preserve"> introduced a suite of detailed employment policies, including policies with respect to grievance resolution, recruitment, and redeployment. Policies with respect to managing underperformance and discipline were produced and have been implemented across PTV.</w:t>
      </w:r>
    </w:p>
    <w:p w:rsidR="00542016" w:rsidRDefault="00542016" w:rsidP="00542016">
      <w:pPr>
        <w:rPr>
          <w:rFonts w:ascii="Arial" w:hAnsi="Arial" w:cs="Arial"/>
        </w:rPr>
      </w:pPr>
    </w:p>
    <w:p w:rsidR="00542016" w:rsidRPr="00F82C5A" w:rsidRDefault="00542016" w:rsidP="00ED42C3">
      <w:pPr>
        <w:pStyle w:val="Heading20"/>
      </w:pPr>
      <w:r w:rsidRPr="00F82C5A">
        <w:t xml:space="preserve">Occupational </w:t>
      </w:r>
      <w:r>
        <w:t>h</w:t>
      </w:r>
      <w:r w:rsidRPr="00F82C5A">
        <w:t>ealth</w:t>
      </w:r>
      <w:r>
        <w:t>,</w:t>
      </w:r>
      <w:r w:rsidRPr="00F82C5A">
        <w:t xml:space="preserve"> </w:t>
      </w:r>
      <w:r>
        <w:t>s</w:t>
      </w:r>
      <w:r w:rsidRPr="00F82C5A">
        <w:t xml:space="preserve">afety and </w:t>
      </w:r>
      <w:r>
        <w:t>w</w:t>
      </w:r>
      <w:r w:rsidRPr="00F82C5A">
        <w:t>ellbeing</w:t>
      </w:r>
    </w:p>
    <w:p w:rsidR="00542016" w:rsidRPr="00F82C5A" w:rsidRDefault="00542016" w:rsidP="00542016">
      <w:pPr>
        <w:rPr>
          <w:rFonts w:ascii="Arial" w:hAnsi="Arial" w:cs="Arial"/>
        </w:rPr>
      </w:pPr>
      <w:r w:rsidRPr="00F82C5A">
        <w:rPr>
          <w:rFonts w:ascii="Arial" w:hAnsi="Arial" w:cs="Arial"/>
        </w:rPr>
        <w:t>The goal of the PTV’s occ</w:t>
      </w:r>
      <w:r>
        <w:rPr>
          <w:rFonts w:ascii="Arial" w:hAnsi="Arial" w:cs="Arial"/>
        </w:rPr>
        <w:t>upational health and safety (OH</w:t>
      </w:r>
      <w:r w:rsidRPr="00F82C5A">
        <w:rPr>
          <w:rFonts w:ascii="Arial" w:hAnsi="Arial" w:cs="Arial"/>
        </w:rPr>
        <w:t xml:space="preserve">S) plan is to prevent harm to all staff, to achieve the highest standard of occupational health, safety and wellbeing, and to comply with relevant legislative requirements.  Health and safety policies, procedures and guidance materials are in place to support PTV in achieving its goal.  Performance measures are in place and performance trends are monitored and reported for effective issues management. </w:t>
      </w:r>
    </w:p>
    <w:p w:rsidR="00542016" w:rsidRPr="00F82C5A" w:rsidRDefault="00542016" w:rsidP="00542016">
      <w:pPr>
        <w:rPr>
          <w:rFonts w:ascii="Arial" w:hAnsi="Arial" w:cs="Arial"/>
        </w:rPr>
      </w:pPr>
    </w:p>
    <w:p w:rsidR="00542016" w:rsidRPr="00F82C5A" w:rsidRDefault="00542016" w:rsidP="00542016">
      <w:pPr>
        <w:rPr>
          <w:rFonts w:ascii="Arial" w:hAnsi="Arial" w:cs="Arial"/>
        </w:rPr>
      </w:pPr>
      <w:r w:rsidRPr="00F82C5A">
        <w:rPr>
          <w:rFonts w:ascii="Arial" w:hAnsi="Arial" w:cs="Arial"/>
        </w:rPr>
        <w:t>During the 2012</w:t>
      </w:r>
      <w:r w:rsidRPr="00F82C5A">
        <w:rPr>
          <w:rFonts w:ascii="Arial" w:hAnsi="Arial" w:cs="Arial"/>
        </w:rPr>
        <w:noBreakHyphen/>
        <w:t>13 financial year, PTV developed a number of initiatives to improve the health and safety of staff including ergonomic assessments, chair assessments, influenza vaccinations and workplace safety inspections  to identify and address any workplace risks.</w:t>
      </w:r>
    </w:p>
    <w:p w:rsidR="00542016" w:rsidRPr="00F82C5A" w:rsidRDefault="00542016" w:rsidP="00542016">
      <w:pPr>
        <w:rPr>
          <w:rFonts w:ascii="Arial" w:hAnsi="Arial" w:cs="Arial"/>
        </w:rPr>
      </w:pPr>
    </w:p>
    <w:p w:rsidR="00542016" w:rsidRPr="00F82C5A" w:rsidRDefault="00542016" w:rsidP="00542016">
      <w:pPr>
        <w:rPr>
          <w:rFonts w:ascii="Arial" w:hAnsi="Arial" w:cs="Arial"/>
        </w:rPr>
      </w:pPr>
      <w:r w:rsidRPr="00F82C5A">
        <w:rPr>
          <w:rFonts w:ascii="Arial" w:hAnsi="Arial" w:cs="Arial"/>
        </w:rPr>
        <w:t xml:space="preserve">PTV’s consultative arrangements were strengthened </w:t>
      </w:r>
      <w:r>
        <w:rPr>
          <w:rFonts w:ascii="Arial" w:hAnsi="Arial" w:cs="Arial"/>
        </w:rPr>
        <w:t xml:space="preserve">by </w:t>
      </w:r>
      <w:r w:rsidRPr="00F82C5A">
        <w:rPr>
          <w:rFonts w:ascii="Arial" w:hAnsi="Arial" w:cs="Arial"/>
        </w:rPr>
        <w:t xml:space="preserve">the appointment of divisional safety leaders by </w:t>
      </w:r>
      <w:r>
        <w:rPr>
          <w:rFonts w:ascii="Arial" w:hAnsi="Arial" w:cs="Arial"/>
        </w:rPr>
        <w:t xml:space="preserve">the </w:t>
      </w:r>
      <w:r w:rsidRPr="00F82C5A">
        <w:rPr>
          <w:rFonts w:ascii="Arial" w:hAnsi="Arial" w:cs="Arial"/>
        </w:rPr>
        <w:t xml:space="preserve">PTV executive. The </w:t>
      </w:r>
      <w:r>
        <w:rPr>
          <w:rFonts w:ascii="Arial" w:hAnsi="Arial" w:cs="Arial"/>
        </w:rPr>
        <w:t>OH</w:t>
      </w:r>
      <w:r w:rsidRPr="00F82C5A">
        <w:rPr>
          <w:rFonts w:ascii="Arial" w:hAnsi="Arial" w:cs="Arial"/>
        </w:rPr>
        <w:t>S Consultative Forum continued to meet every two months.</w:t>
      </w:r>
    </w:p>
    <w:p w:rsidR="00542016" w:rsidRPr="00F82C5A" w:rsidRDefault="00542016" w:rsidP="00542016">
      <w:pPr>
        <w:rPr>
          <w:rFonts w:ascii="Arial" w:hAnsi="Arial" w:cs="Arial"/>
        </w:rPr>
      </w:pPr>
    </w:p>
    <w:p w:rsidR="00542016" w:rsidRPr="00F82C5A" w:rsidRDefault="00542016" w:rsidP="00542016">
      <w:pPr>
        <w:rPr>
          <w:rFonts w:ascii="Arial" w:hAnsi="Arial" w:cs="Arial"/>
        </w:rPr>
      </w:pPr>
      <w:r w:rsidRPr="00F82C5A">
        <w:rPr>
          <w:rFonts w:ascii="Arial" w:hAnsi="Arial" w:cs="Arial"/>
        </w:rPr>
        <w:t>PTV’s first aid program was reviewed</w:t>
      </w:r>
      <w:r>
        <w:rPr>
          <w:rFonts w:ascii="Arial" w:hAnsi="Arial" w:cs="Arial"/>
        </w:rPr>
        <w:t>.</w:t>
      </w:r>
      <w:r w:rsidRPr="00F82C5A">
        <w:rPr>
          <w:rFonts w:ascii="Arial" w:hAnsi="Arial" w:cs="Arial"/>
        </w:rPr>
        <w:t xml:space="preserve"> </w:t>
      </w:r>
      <w:r>
        <w:rPr>
          <w:rFonts w:ascii="Arial" w:hAnsi="Arial" w:cs="Arial"/>
        </w:rPr>
        <w:t>A</w:t>
      </w:r>
      <w:r w:rsidRPr="00F82C5A">
        <w:rPr>
          <w:rFonts w:ascii="Arial" w:hAnsi="Arial" w:cs="Arial"/>
        </w:rPr>
        <w:t xml:space="preserve">n </w:t>
      </w:r>
      <w:r>
        <w:rPr>
          <w:rFonts w:ascii="Arial" w:hAnsi="Arial" w:cs="Arial"/>
        </w:rPr>
        <w:t>a</w:t>
      </w:r>
      <w:r w:rsidRPr="00F82C5A">
        <w:rPr>
          <w:rFonts w:ascii="Arial" w:hAnsi="Arial" w:cs="Arial"/>
        </w:rPr>
        <w:t xml:space="preserve">utomated </w:t>
      </w:r>
      <w:r>
        <w:rPr>
          <w:rFonts w:ascii="Arial" w:hAnsi="Arial" w:cs="Arial"/>
        </w:rPr>
        <w:t>e</w:t>
      </w:r>
      <w:r w:rsidRPr="00F82C5A">
        <w:rPr>
          <w:rFonts w:ascii="Arial" w:hAnsi="Arial" w:cs="Arial"/>
        </w:rPr>
        <w:t xml:space="preserve">xternal </w:t>
      </w:r>
      <w:r>
        <w:rPr>
          <w:rFonts w:ascii="Arial" w:hAnsi="Arial" w:cs="Arial"/>
        </w:rPr>
        <w:t>d</w:t>
      </w:r>
      <w:r w:rsidRPr="00F82C5A">
        <w:rPr>
          <w:rFonts w:ascii="Arial" w:hAnsi="Arial" w:cs="Arial"/>
        </w:rPr>
        <w:t>efibrillator was installed for use in the case of suspected cardiac arrest and all first aid officers were trained in its use.</w:t>
      </w:r>
    </w:p>
    <w:p w:rsidR="00542016" w:rsidRPr="00F82C5A" w:rsidRDefault="00542016" w:rsidP="00542016">
      <w:pPr>
        <w:rPr>
          <w:rFonts w:ascii="Arial" w:hAnsi="Arial" w:cs="Arial"/>
        </w:rPr>
      </w:pPr>
    </w:p>
    <w:p w:rsidR="00542016" w:rsidRDefault="00542016" w:rsidP="00542016">
      <w:pPr>
        <w:rPr>
          <w:rFonts w:ascii="Arial" w:hAnsi="Arial" w:cs="Arial"/>
        </w:rPr>
      </w:pPr>
      <w:r w:rsidRPr="00F82C5A">
        <w:rPr>
          <w:rFonts w:ascii="Arial" w:hAnsi="Arial" w:cs="Arial"/>
        </w:rPr>
        <w:br w:type="page"/>
      </w:r>
    </w:p>
    <w:p w:rsidR="00542016" w:rsidRPr="00542016" w:rsidRDefault="00542016" w:rsidP="00ED42C3">
      <w:pPr>
        <w:pStyle w:val="Heading20"/>
      </w:pPr>
      <w:r w:rsidRPr="00542016">
        <w:t>PTV’s performance against OHS management measures</w:t>
      </w:r>
    </w:p>
    <w:p w:rsidR="00542016" w:rsidRPr="00542016" w:rsidRDefault="00542016" w:rsidP="00542016">
      <w:pPr>
        <w:pStyle w:val="SmallLine"/>
        <w:rPr>
          <w:rFonts w:ascii="Arial" w:hAnsi="Arial" w:cs="Arial"/>
        </w:rPr>
      </w:pPr>
    </w:p>
    <w:tbl>
      <w:tblPr>
        <w:tblW w:w="4765" w:type="pct"/>
        <w:tblLook w:val="01E0" w:firstRow="1" w:lastRow="1" w:firstColumn="1" w:lastColumn="1" w:noHBand="0" w:noVBand="0"/>
      </w:tblPr>
      <w:tblGrid>
        <w:gridCol w:w="1506"/>
        <w:gridCol w:w="4148"/>
        <w:gridCol w:w="1137"/>
        <w:gridCol w:w="1330"/>
      </w:tblGrid>
      <w:tr w:rsidR="00542016" w:rsidRPr="00542016" w:rsidTr="000C6757">
        <w:tc>
          <w:tcPr>
            <w:tcW w:w="959" w:type="pct"/>
            <w:tcBorders>
              <w:top w:val="single" w:sz="4" w:space="0" w:color="auto"/>
              <w:bottom w:val="single" w:sz="4" w:space="0" w:color="auto"/>
            </w:tcBorders>
            <w:shd w:val="clear" w:color="auto" w:fill="auto"/>
            <w:vAlign w:val="bottom"/>
          </w:tcPr>
          <w:p w:rsidR="00542016" w:rsidRPr="00542016" w:rsidRDefault="00542016" w:rsidP="000C6757">
            <w:pPr>
              <w:pStyle w:val="Tabletextheading"/>
              <w:jc w:val="left"/>
              <w:rPr>
                <w:rFonts w:ascii="Arial" w:hAnsi="Arial"/>
              </w:rPr>
            </w:pPr>
            <w:r w:rsidRPr="00542016">
              <w:rPr>
                <w:rFonts w:ascii="Arial" w:hAnsi="Arial"/>
              </w:rPr>
              <w:t>Measure</w:t>
            </w:r>
          </w:p>
        </w:tc>
        <w:tc>
          <w:tcPr>
            <w:tcW w:w="2586" w:type="pct"/>
            <w:tcBorders>
              <w:top w:val="single" w:sz="4" w:space="0" w:color="auto"/>
              <w:bottom w:val="single" w:sz="4" w:space="0" w:color="auto"/>
            </w:tcBorders>
            <w:shd w:val="clear" w:color="auto" w:fill="auto"/>
            <w:vAlign w:val="bottom"/>
          </w:tcPr>
          <w:p w:rsidR="00542016" w:rsidRPr="00542016" w:rsidRDefault="00542016" w:rsidP="000C6757">
            <w:pPr>
              <w:pStyle w:val="Tabletextheading"/>
              <w:jc w:val="center"/>
              <w:rPr>
                <w:rFonts w:ascii="Arial" w:hAnsi="Arial"/>
              </w:rPr>
            </w:pPr>
            <w:r w:rsidRPr="00542016">
              <w:rPr>
                <w:rFonts w:ascii="Arial" w:hAnsi="Arial"/>
              </w:rPr>
              <w:t>KPI</w:t>
            </w:r>
          </w:p>
        </w:tc>
        <w:tc>
          <w:tcPr>
            <w:tcW w:w="605" w:type="pct"/>
            <w:tcBorders>
              <w:top w:val="single" w:sz="4" w:space="0" w:color="auto"/>
              <w:bottom w:val="single" w:sz="4" w:space="0" w:color="auto"/>
            </w:tcBorders>
            <w:shd w:val="clear" w:color="auto" w:fill="auto"/>
            <w:vAlign w:val="bottom"/>
          </w:tcPr>
          <w:p w:rsidR="00542016" w:rsidRPr="00542016" w:rsidRDefault="00542016" w:rsidP="000C6757">
            <w:pPr>
              <w:pStyle w:val="Tabletextheading"/>
              <w:rPr>
                <w:rFonts w:ascii="Arial" w:hAnsi="Arial"/>
              </w:rPr>
            </w:pPr>
            <w:r w:rsidRPr="00542016">
              <w:rPr>
                <w:rFonts w:ascii="Arial" w:hAnsi="Arial"/>
              </w:rPr>
              <w:t>2011</w:t>
            </w:r>
            <w:r w:rsidRPr="00542016">
              <w:rPr>
                <w:rFonts w:ascii="Arial" w:hAnsi="Arial"/>
              </w:rPr>
              <w:noBreakHyphen/>
              <w:t>12</w:t>
            </w:r>
          </w:p>
          <w:p w:rsidR="00542016" w:rsidRPr="00542016" w:rsidRDefault="00542016" w:rsidP="000C6757">
            <w:pPr>
              <w:pStyle w:val="Tabletextheading"/>
              <w:ind w:right="470"/>
              <w:rPr>
                <w:rFonts w:ascii="Arial" w:hAnsi="Arial"/>
              </w:rPr>
            </w:pPr>
            <w:r w:rsidRPr="00542016">
              <w:rPr>
                <w:rFonts w:ascii="Arial" w:hAnsi="Arial"/>
              </w:rPr>
              <w:t>(2 April to 30 June)</w:t>
            </w:r>
          </w:p>
        </w:tc>
        <w:tc>
          <w:tcPr>
            <w:tcW w:w="851" w:type="pct"/>
            <w:tcBorders>
              <w:top w:val="single" w:sz="4" w:space="0" w:color="auto"/>
              <w:bottom w:val="single" w:sz="4" w:space="0" w:color="auto"/>
            </w:tcBorders>
            <w:shd w:val="clear" w:color="auto" w:fill="auto"/>
            <w:vAlign w:val="bottom"/>
          </w:tcPr>
          <w:p w:rsidR="00542016" w:rsidRPr="00542016" w:rsidRDefault="00542016" w:rsidP="000C6757">
            <w:pPr>
              <w:pStyle w:val="Tabletextheading"/>
              <w:rPr>
                <w:rFonts w:ascii="Arial" w:hAnsi="Arial"/>
              </w:rPr>
            </w:pPr>
            <w:r w:rsidRPr="00542016">
              <w:rPr>
                <w:rFonts w:ascii="Arial" w:hAnsi="Arial"/>
              </w:rPr>
              <w:t>2012</w:t>
            </w:r>
            <w:r w:rsidRPr="00542016">
              <w:rPr>
                <w:rFonts w:ascii="Arial" w:hAnsi="Arial"/>
              </w:rPr>
              <w:noBreakHyphen/>
              <w:t>13</w:t>
            </w:r>
          </w:p>
        </w:tc>
      </w:tr>
      <w:tr w:rsidR="00542016" w:rsidRPr="00542016" w:rsidTr="000C6757">
        <w:trPr>
          <w:trHeight w:val="170"/>
        </w:trPr>
        <w:tc>
          <w:tcPr>
            <w:tcW w:w="959"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Incidents</w:t>
            </w:r>
          </w:p>
        </w:tc>
        <w:tc>
          <w:tcPr>
            <w:tcW w:w="2586"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No. of incidents</w:t>
            </w:r>
          </w:p>
        </w:tc>
        <w:tc>
          <w:tcPr>
            <w:tcW w:w="605" w:type="pct"/>
            <w:tcBorders>
              <w:top w:val="single" w:sz="4" w:space="0" w:color="auto"/>
              <w:bottom w:val="single" w:sz="4" w:space="0" w:color="FFFFFF"/>
            </w:tcBorders>
            <w:shd w:val="clear" w:color="auto" w:fill="auto"/>
          </w:tcPr>
          <w:p w:rsidR="00542016" w:rsidRPr="00542016" w:rsidRDefault="00542016" w:rsidP="000C6757">
            <w:pPr>
              <w:pStyle w:val="TableofFigures"/>
              <w:jc w:val="center"/>
              <w:rPr>
                <w:rFonts w:ascii="Arial" w:hAnsi="Arial"/>
              </w:rPr>
            </w:pPr>
            <w:r w:rsidRPr="00542016">
              <w:rPr>
                <w:rFonts w:ascii="Arial" w:hAnsi="Arial"/>
              </w:rPr>
              <w:t>2</w:t>
            </w:r>
          </w:p>
          <w:p w:rsidR="00542016" w:rsidRPr="00542016" w:rsidRDefault="00542016" w:rsidP="000C6757">
            <w:pPr>
              <w:ind w:left="389"/>
              <w:rPr>
                <w:rFonts w:ascii="Arial" w:hAnsi="Arial" w:cs="Arial"/>
                <w:sz w:val="20"/>
              </w:rPr>
            </w:pPr>
          </w:p>
        </w:tc>
        <w:tc>
          <w:tcPr>
            <w:tcW w:w="851" w:type="pct"/>
            <w:tcBorders>
              <w:top w:val="single" w:sz="4" w:space="0" w:color="auto"/>
              <w:bottom w:val="single" w:sz="4" w:space="0" w:color="FFFFFF"/>
            </w:tcBorders>
            <w:shd w:val="clear" w:color="auto" w:fill="auto"/>
          </w:tcPr>
          <w:p w:rsidR="00542016" w:rsidRPr="00542016" w:rsidRDefault="00542016" w:rsidP="000C6757">
            <w:pPr>
              <w:pStyle w:val="TableofFigures"/>
              <w:rPr>
                <w:rFonts w:ascii="Arial" w:hAnsi="Arial"/>
              </w:rPr>
            </w:pPr>
            <w:r w:rsidRPr="00542016">
              <w:rPr>
                <w:rFonts w:ascii="Arial" w:hAnsi="Arial"/>
              </w:rPr>
              <w:t>9</w:t>
            </w:r>
          </w:p>
          <w:p w:rsidR="00542016" w:rsidRPr="00542016" w:rsidRDefault="00542016" w:rsidP="000C6757">
            <w:pPr>
              <w:ind w:left="442"/>
              <w:rPr>
                <w:rFonts w:ascii="Arial" w:hAnsi="Arial" w:cs="Arial"/>
              </w:rPr>
            </w:pPr>
            <w:r w:rsidRPr="00542016">
              <w:rPr>
                <w:rFonts w:ascii="Arial" w:hAnsi="Arial" w:cs="Arial"/>
                <w:lang w:eastAsia="en-US"/>
              </w:rPr>
              <w:t xml:space="preserve">                                   </w:t>
            </w:r>
          </w:p>
          <w:p w:rsidR="00542016" w:rsidRPr="00542016" w:rsidRDefault="00542016" w:rsidP="000C6757">
            <w:pPr>
              <w:ind w:left="442"/>
              <w:rPr>
                <w:rFonts w:ascii="Arial" w:hAnsi="Arial" w:cs="Arial"/>
              </w:rPr>
            </w:pPr>
          </w:p>
          <w:p w:rsidR="00542016" w:rsidRPr="00542016" w:rsidRDefault="00542016" w:rsidP="000C6757">
            <w:pPr>
              <w:ind w:left="442"/>
              <w:rPr>
                <w:rFonts w:ascii="Arial" w:hAnsi="Arial" w:cs="Arial"/>
                <w:sz w:val="20"/>
              </w:rPr>
            </w:pPr>
          </w:p>
        </w:tc>
      </w:tr>
      <w:tr w:rsidR="00542016" w:rsidRPr="00542016" w:rsidTr="000C6757">
        <w:trPr>
          <w:trHeight w:val="106"/>
        </w:trPr>
        <w:tc>
          <w:tcPr>
            <w:tcW w:w="959"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p>
        </w:tc>
        <w:tc>
          <w:tcPr>
            <w:tcW w:w="2586"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Rate per 100 FTE</w:t>
            </w:r>
          </w:p>
        </w:tc>
        <w:tc>
          <w:tcPr>
            <w:tcW w:w="605" w:type="pct"/>
            <w:tcBorders>
              <w:top w:val="single" w:sz="4" w:space="0" w:color="FFFFFF"/>
              <w:bottom w:val="single" w:sz="4" w:space="0" w:color="auto"/>
            </w:tcBorders>
            <w:shd w:val="clear" w:color="auto" w:fill="auto"/>
          </w:tcPr>
          <w:p w:rsidR="00542016" w:rsidRPr="00542016" w:rsidRDefault="00542016" w:rsidP="000C6757">
            <w:pPr>
              <w:pStyle w:val="TableofFigures"/>
              <w:tabs>
                <w:tab w:val="left" w:pos="672"/>
              </w:tabs>
              <w:ind w:right="470"/>
              <w:rPr>
                <w:rFonts w:ascii="Arial" w:hAnsi="Arial"/>
              </w:rPr>
            </w:pPr>
            <w:r w:rsidRPr="00542016">
              <w:rPr>
                <w:rFonts w:ascii="Arial" w:hAnsi="Arial"/>
              </w:rPr>
              <w:t>.39</w:t>
            </w:r>
          </w:p>
        </w:tc>
        <w:tc>
          <w:tcPr>
            <w:tcW w:w="851" w:type="pct"/>
            <w:tcBorders>
              <w:top w:val="single" w:sz="4" w:space="0" w:color="FFFFFF"/>
              <w:bottom w:val="single" w:sz="4" w:space="0" w:color="auto"/>
            </w:tcBorders>
            <w:shd w:val="clear" w:color="auto" w:fill="auto"/>
          </w:tcPr>
          <w:p w:rsidR="00542016" w:rsidRPr="00542016" w:rsidRDefault="00542016" w:rsidP="000C6757">
            <w:pPr>
              <w:pStyle w:val="TableofFigures"/>
              <w:rPr>
                <w:rFonts w:ascii="Arial" w:hAnsi="Arial"/>
              </w:rPr>
            </w:pPr>
            <w:r w:rsidRPr="00542016">
              <w:rPr>
                <w:rFonts w:ascii="Arial" w:hAnsi="Arial"/>
              </w:rPr>
              <w:t>1.99</w:t>
            </w:r>
          </w:p>
        </w:tc>
      </w:tr>
      <w:tr w:rsidR="00542016" w:rsidRPr="00542016" w:rsidTr="000C6757">
        <w:trPr>
          <w:trHeight w:val="177"/>
        </w:trPr>
        <w:tc>
          <w:tcPr>
            <w:tcW w:w="959"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Claims</w:t>
            </w:r>
          </w:p>
        </w:tc>
        <w:tc>
          <w:tcPr>
            <w:tcW w:w="2586"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No. of standard claims</w:t>
            </w:r>
            <w:r w:rsidRPr="00542016">
              <w:rPr>
                <w:rFonts w:ascii="Arial" w:hAnsi="Arial"/>
                <w:vertAlign w:val="superscript"/>
              </w:rPr>
              <w:t>(i)</w:t>
            </w:r>
          </w:p>
        </w:tc>
        <w:tc>
          <w:tcPr>
            <w:tcW w:w="605" w:type="pct"/>
            <w:tcBorders>
              <w:top w:val="single" w:sz="4" w:space="0" w:color="auto"/>
              <w:bottom w:val="single" w:sz="4" w:space="0" w:color="FFFFFF"/>
            </w:tcBorders>
            <w:shd w:val="clear" w:color="auto" w:fill="auto"/>
          </w:tcPr>
          <w:p w:rsidR="00542016" w:rsidRPr="00542016" w:rsidRDefault="00542016" w:rsidP="000C6757">
            <w:pPr>
              <w:pStyle w:val="TableofFigures"/>
              <w:jc w:val="center"/>
              <w:rPr>
                <w:rFonts w:ascii="Arial" w:hAnsi="Arial"/>
              </w:rPr>
            </w:pPr>
            <w:r w:rsidRPr="00542016">
              <w:rPr>
                <w:rFonts w:ascii="Arial" w:hAnsi="Arial"/>
              </w:rPr>
              <w:t>0</w:t>
            </w:r>
          </w:p>
        </w:tc>
        <w:tc>
          <w:tcPr>
            <w:tcW w:w="851" w:type="pct"/>
            <w:tcBorders>
              <w:top w:val="single" w:sz="4" w:space="0" w:color="auto"/>
              <w:bottom w:val="single" w:sz="4" w:space="0" w:color="FFFFFF"/>
            </w:tcBorders>
            <w:shd w:val="clear" w:color="auto" w:fill="auto"/>
          </w:tcPr>
          <w:p w:rsidR="00542016" w:rsidRPr="00542016" w:rsidRDefault="00542016" w:rsidP="000C6757">
            <w:pPr>
              <w:pStyle w:val="TableofFigures"/>
              <w:rPr>
                <w:rFonts w:ascii="Arial" w:hAnsi="Arial"/>
              </w:rPr>
            </w:pPr>
            <w:r w:rsidRPr="00542016">
              <w:rPr>
                <w:rFonts w:ascii="Arial" w:hAnsi="Arial"/>
              </w:rPr>
              <w:t>1</w:t>
            </w:r>
          </w:p>
        </w:tc>
      </w:tr>
      <w:tr w:rsidR="00542016" w:rsidRPr="00542016" w:rsidTr="000C6757">
        <w:trPr>
          <w:trHeight w:val="226"/>
        </w:trPr>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Rate per 100 FTE</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ofFigures"/>
              <w:rPr>
                <w:rFonts w:ascii="Arial" w:hAnsi="Arial"/>
              </w:rPr>
            </w:pP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ofFigures"/>
              <w:rPr>
                <w:rFonts w:ascii="Arial" w:hAnsi="Arial"/>
              </w:rPr>
            </w:pPr>
            <w:r w:rsidRPr="00542016">
              <w:rPr>
                <w:rFonts w:ascii="Arial" w:hAnsi="Arial"/>
              </w:rPr>
              <w:t>0.22</w:t>
            </w: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No. of lost time claims</w:t>
            </w:r>
            <w:r w:rsidRPr="00542016">
              <w:rPr>
                <w:rFonts w:ascii="Arial" w:hAnsi="Arial"/>
                <w:vertAlign w:val="superscript"/>
              </w:rPr>
              <w:t>(i)</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ofFigures"/>
              <w:jc w:val="center"/>
              <w:rPr>
                <w:rFonts w:ascii="Arial" w:hAnsi="Arial"/>
              </w:rPr>
            </w:pPr>
            <w:r w:rsidRPr="00542016">
              <w:rPr>
                <w:rFonts w:ascii="Arial" w:hAnsi="Arial"/>
              </w:rPr>
              <w:t>0</w:t>
            </w: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ofFigures"/>
              <w:rPr>
                <w:rFonts w:ascii="Arial" w:hAnsi="Arial"/>
              </w:rPr>
            </w:pPr>
            <w:r w:rsidRPr="00542016">
              <w:rPr>
                <w:rFonts w:ascii="Arial" w:hAnsi="Arial"/>
              </w:rPr>
              <w:t>0</w:t>
            </w: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Rate per 100 FTE</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ofFigures"/>
              <w:rPr>
                <w:rFonts w:ascii="Arial" w:hAnsi="Arial"/>
              </w:rPr>
            </w:pP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ofFigures"/>
              <w:rPr>
                <w:rFonts w:ascii="Arial" w:hAnsi="Arial"/>
              </w:rPr>
            </w:pPr>
          </w:p>
        </w:tc>
      </w:tr>
      <w:tr w:rsidR="00542016" w:rsidRPr="00542016" w:rsidTr="000C6757">
        <w:trPr>
          <w:trHeight w:val="207"/>
        </w:trPr>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No. of claims exceeding 13 weeks </w:t>
            </w:r>
            <w:r w:rsidRPr="00542016">
              <w:rPr>
                <w:rFonts w:ascii="Arial" w:hAnsi="Arial"/>
                <w:vertAlign w:val="superscript"/>
              </w:rPr>
              <w:t>(i)</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ofFigures"/>
              <w:jc w:val="center"/>
              <w:rPr>
                <w:rFonts w:ascii="Arial" w:hAnsi="Arial"/>
              </w:rPr>
            </w:pPr>
            <w:r w:rsidRPr="00542016">
              <w:rPr>
                <w:rFonts w:ascii="Arial" w:hAnsi="Arial"/>
              </w:rPr>
              <w:t>0</w:t>
            </w: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ofFigures"/>
              <w:rPr>
                <w:rFonts w:ascii="Arial" w:hAnsi="Arial"/>
              </w:rPr>
            </w:pPr>
            <w:r w:rsidRPr="00542016">
              <w:rPr>
                <w:rFonts w:ascii="Arial" w:hAnsi="Arial"/>
              </w:rPr>
              <w:t>0</w:t>
            </w:r>
          </w:p>
        </w:tc>
      </w:tr>
      <w:tr w:rsidR="00542016" w:rsidRPr="00542016" w:rsidTr="000C6757">
        <w:tc>
          <w:tcPr>
            <w:tcW w:w="959"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p>
        </w:tc>
        <w:tc>
          <w:tcPr>
            <w:tcW w:w="2586"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Rate per 100 FTE</w:t>
            </w:r>
          </w:p>
        </w:tc>
        <w:tc>
          <w:tcPr>
            <w:tcW w:w="605" w:type="pct"/>
            <w:tcBorders>
              <w:top w:val="single" w:sz="4" w:space="0" w:color="FFFFFF"/>
              <w:bottom w:val="single" w:sz="4" w:space="0" w:color="auto"/>
            </w:tcBorders>
            <w:shd w:val="clear" w:color="auto" w:fill="auto"/>
          </w:tcPr>
          <w:p w:rsidR="00542016" w:rsidRPr="00542016" w:rsidRDefault="00542016" w:rsidP="000C6757">
            <w:pPr>
              <w:pStyle w:val="TableofFigures"/>
              <w:rPr>
                <w:rFonts w:ascii="Arial" w:hAnsi="Arial"/>
              </w:rPr>
            </w:pPr>
          </w:p>
        </w:tc>
        <w:tc>
          <w:tcPr>
            <w:tcW w:w="851" w:type="pct"/>
            <w:tcBorders>
              <w:top w:val="single" w:sz="4" w:space="0" w:color="FFFFFF"/>
              <w:bottom w:val="single" w:sz="4" w:space="0" w:color="auto"/>
            </w:tcBorders>
            <w:shd w:val="clear" w:color="auto" w:fill="auto"/>
          </w:tcPr>
          <w:p w:rsidR="00542016" w:rsidRPr="00542016" w:rsidRDefault="00542016" w:rsidP="000C6757">
            <w:pPr>
              <w:pStyle w:val="TableofFigures"/>
              <w:rPr>
                <w:rFonts w:ascii="Arial" w:hAnsi="Arial"/>
              </w:rPr>
            </w:pPr>
          </w:p>
        </w:tc>
      </w:tr>
      <w:tr w:rsidR="00542016" w:rsidRPr="00542016" w:rsidTr="000C6757">
        <w:tc>
          <w:tcPr>
            <w:tcW w:w="959" w:type="pct"/>
            <w:tcBorders>
              <w:top w:val="single" w:sz="4" w:space="0" w:color="auto"/>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Fatalities</w:t>
            </w:r>
          </w:p>
        </w:tc>
        <w:tc>
          <w:tcPr>
            <w:tcW w:w="2586" w:type="pct"/>
            <w:tcBorders>
              <w:top w:val="single" w:sz="4" w:space="0" w:color="auto"/>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Fatality claims</w:t>
            </w:r>
            <w:r w:rsidRPr="00542016">
              <w:rPr>
                <w:rFonts w:ascii="Arial" w:hAnsi="Arial"/>
                <w:vertAlign w:val="superscript"/>
              </w:rPr>
              <w:t>(</w:t>
            </w:r>
          </w:p>
        </w:tc>
        <w:tc>
          <w:tcPr>
            <w:tcW w:w="605" w:type="pct"/>
            <w:tcBorders>
              <w:top w:val="single" w:sz="4" w:space="0" w:color="auto"/>
              <w:bottom w:val="single" w:sz="4" w:space="0" w:color="auto"/>
            </w:tcBorders>
            <w:shd w:val="clear" w:color="auto" w:fill="auto"/>
          </w:tcPr>
          <w:p w:rsidR="00542016" w:rsidRPr="00542016" w:rsidRDefault="00542016" w:rsidP="000C6757">
            <w:pPr>
              <w:pStyle w:val="TableofFigures"/>
              <w:jc w:val="center"/>
              <w:rPr>
                <w:rFonts w:ascii="Arial" w:hAnsi="Arial"/>
              </w:rPr>
            </w:pPr>
            <w:r w:rsidRPr="00542016">
              <w:rPr>
                <w:rFonts w:ascii="Arial" w:hAnsi="Arial"/>
              </w:rPr>
              <w:t>0..</w:t>
            </w:r>
          </w:p>
        </w:tc>
        <w:tc>
          <w:tcPr>
            <w:tcW w:w="851" w:type="pct"/>
            <w:tcBorders>
              <w:top w:val="single" w:sz="4" w:space="0" w:color="auto"/>
              <w:bottom w:val="single" w:sz="4" w:space="0" w:color="auto"/>
            </w:tcBorders>
            <w:shd w:val="clear" w:color="auto" w:fill="auto"/>
          </w:tcPr>
          <w:p w:rsidR="00542016" w:rsidRPr="00542016" w:rsidRDefault="00542016" w:rsidP="000C6757">
            <w:pPr>
              <w:pStyle w:val="TableofFigures"/>
              <w:rPr>
                <w:rFonts w:ascii="Arial" w:hAnsi="Arial"/>
              </w:rPr>
            </w:pPr>
            <w:r w:rsidRPr="00542016">
              <w:rPr>
                <w:rFonts w:ascii="Arial" w:hAnsi="Arial"/>
              </w:rPr>
              <w:t>0</w:t>
            </w:r>
          </w:p>
        </w:tc>
      </w:tr>
      <w:tr w:rsidR="00542016" w:rsidRPr="00542016" w:rsidTr="000C6757">
        <w:tc>
          <w:tcPr>
            <w:tcW w:w="959" w:type="pct"/>
            <w:tcBorders>
              <w:top w:val="single" w:sz="4" w:space="0" w:color="auto"/>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Claim costs</w:t>
            </w:r>
          </w:p>
        </w:tc>
        <w:tc>
          <w:tcPr>
            <w:tcW w:w="2586" w:type="pct"/>
            <w:tcBorders>
              <w:top w:val="single" w:sz="4" w:space="0" w:color="auto"/>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Average cost per standard claim.</w:t>
            </w:r>
            <w:r w:rsidRPr="00542016">
              <w:rPr>
                <w:rFonts w:ascii="Arial" w:hAnsi="Arial"/>
                <w:vertAlign w:val="superscript"/>
              </w:rPr>
              <w:t>(i)</w:t>
            </w:r>
          </w:p>
        </w:tc>
        <w:tc>
          <w:tcPr>
            <w:tcW w:w="605" w:type="pct"/>
            <w:tcBorders>
              <w:top w:val="single" w:sz="4" w:space="0" w:color="auto"/>
              <w:bottom w:val="single" w:sz="4" w:space="0" w:color="auto"/>
            </w:tcBorders>
            <w:shd w:val="clear" w:color="auto" w:fill="auto"/>
          </w:tcPr>
          <w:p w:rsidR="00542016" w:rsidRPr="00542016" w:rsidRDefault="00542016" w:rsidP="000C6757">
            <w:pPr>
              <w:pStyle w:val="TableofFigures"/>
              <w:jc w:val="center"/>
              <w:rPr>
                <w:rFonts w:ascii="Arial" w:hAnsi="Arial"/>
              </w:rPr>
            </w:pPr>
            <w:r w:rsidRPr="00542016">
              <w:rPr>
                <w:rFonts w:ascii="Arial" w:hAnsi="Arial"/>
              </w:rPr>
              <w:t>0</w:t>
            </w:r>
          </w:p>
        </w:tc>
        <w:tc>
          <w:tcPr>
            <w:tcW w:w="851" w:type="pct"/>
            <w:tcBorders>
              <w:top w:val="single" w:sz="4" w:space="0" w:color="auto"/>
              <w:bottom w:val="single" w:sz="4" w:space="0" w:color="auto"/>
            </w:tcBorders>
            <w:shd w:val="clear" w:color="auto" w:fill="auto"/>
          </w:tcPr>
          <w:p w:rsidR="00542016" w:rsidRPr="00542016" w:rsidRDefault="00542016" w:rsidP="000C6757">
            <w:pPr>
              <w:pStyle w:val="TableofFigures"/>
              <w:rPr>
                <w:rFonts w:ascii="Arial" w:hAnsi="Arial"/>
              </w:rPr>
            </w:pPr>
            <w:r w:rsidRPr="00542016">
              <w:rPr>
                <w:rFonts w:ascii="Arial" w:hAnsi="Arial"/>
              </w:rPr>
              <w:t>$725</w:t>
            </w:r>
          </w:p>
        </w:tc>
      </w:tr>
      <w:tr w:rsidR="00542016" w:rsidRPr="00542016" w:rsidTr="000C6757">
        <w:tc>
          <w:tcPr>
            <w:tcW w:w="959" w:type="pct"/>
            <w:tcBorders>
              <w:top w:val="single" w:sz="4" w:space="0" w:color="auto"/>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Return to work</w:t>
            </w:r>
          </w:p>
        </w:tc>
        <w:tc>
          <w:tcPr>
            <w:tcW w:w="2586" w:type="pct"/>
            <w:tcBorders>
              <w:top w:val="single" w:sz="4" w:space="0" w:color="auto"/>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Percentage of claims with RTW plan &lt;30 days.</w:t>
            </w:r>
          </w:p>
        </w:tc>
        <w:tc>
          <w:tcPr>
            <w:tcW w:w="605" w:type="pct"/>
            <w:tcBorders>
              <w:top w:val="single" w:sz="4" w:space="0" w:color="auto"/>
              <w:bottom w:val="single" w:sz="4" w:space="0" w:color="auto"/>
            </w:tcBorders>
            <w:shd w:val="clear" w:color="auto" w:fill="auto"/>
          </w:tcPr>
          <w:p w:rsidR="00542016" w:rsidRPr="00542016" w:rsidRDefault="00542016" w:rsidP="000C6757">
            <w:pPr>
              <w:pStyle w:val="TableofFigures"/>
              <w:jc w:val="center"/>
              <w:rPr>
                <w:rFonts w:ascii="Arial" w:hAnsi="Arial"/>
              </w:rPr>
            </w:pPr>
            <w:r w:rsidRPr="00542016">
              <w:rPr>
                <w:rFonts w:ascii="Arial" w:hAnsi="Arial"/>
              </w:rPr>
              <w:t>N/A</w:t>
            </w:r>
          </w:p>
        </w:tc>
        <w:tc>
          <w:tcPr>
            <w:tcW w:w="851" w:type="pct"/>
            <w:tcBorders>
              <w:top w:val="single" w:sz="4" w:space="0" w:color="auto"/>
              <w:bottom w:val="single" w:sz="4" w:space="0" w:color="auto"/>
            </w:tcBorders>
            <w:shd w:val="clear" w:color="auto" w:fill="auto"/>
          </w:tcPr>
          <w:p w:rsidR="00542016" w:rsidRPr="00542016" w:rsidRDefault="00542016" w:rsidP="000C6757">
            <w:pPr>
              <w:pStyle w:val="TableofFigures"/>
              <w:rPr>
                <w:rFonts w:ascii="Arial" w:hAnsi="Arial"/>
              </w:rPr>
            </w:pPr>
            <w:r w:rsidRPr="00542016">
              <w:rPr>
                <w:rFonts w:ascii="Arial" w:hAnsi="Arial"/>
              </w:rPr>
              <w:t>N/A</w:t>
            </w:r>
          </w:p>
        </w:tc>
      </w:tr>
      <w:tr w:rsidR="00542016" w:rsidRPr="00542016" w:rsidTr="000C6757">
        <w:tc>
          <w:tcPr>
            <w:tcW w:w="959"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Management commitment</w:t>
            </w:r>
          </w:p>
        </w:tc>
        <w:tc>
          <w:tcPr>
            <w:tcW w:w="2586"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Evidence of OHS policy statement, OHS objectives, regular reporting to senior management of OHS, and OHS plans (signed by CEO or equivalent).</w:t>
            </w:r>
          </w:p>
        </w:tc>
        <w:tc>
          <w:tcPr>
            <w:tcW w:w="605"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completed</w:t>
            </w:r>
          </w:p>
        </w:tc>
        <w:tc>
          <w:tcPr>
            <w:tcW w:w="851"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completed</w:t>
            </w:r>
          </w:p>
        </w:tc>
      </w:tr>
      <w:tr w:rsidR="00542016" w:rsidRPr="00542016" w:rsidTr="000C6757">
        <w:tc>
          <w:tcPr>
            <w:tcW w:w="959"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p>
        </w:tc>
        <w:tc>
          <w:tcPr>
            <w:tcW w:w="2586"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Evidence of OHS criteria(s) in purchasing guidelines (including goods, services and personnel).</w:t>
            </w:r>
          </w:p>
        </w:tc>
        <w:tc>
          <w:tcPr>
            <w:tcW w:w="605"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completed</w:t>
            </w:r>
          </w:p>
        </w:tc>
        <w:tc>
          <w:tcPr>
            <w:tcW w:w="851"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completed</w:t>
            </w:r>
          </w:p>
        </w:tc>
      </w:tr>
      <w:tr w:rsidR="00542016" w:rsidRPr="00542016" w:rsidTr="000C6757">
        <w:tc>
          <w:tcPr>
            <w:tcW w:w="959" w:type="pct"/>
            <w:vMerge w:val="restart"/>
            <w:tcBorders>
              <w:top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Consultation and participation</w:t>
            </w:r>
          </w:p>
        </w:tc>
        <w:tc>
          <w:tcPr>
            <w:tcW w:w="2586"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 xml:space="preserve">Evidence of agreed structure of designated workgroups (DWGs), health and safety representatives (HSRs), and issue resolution procedures (IRPs). </w:t>
            </w:r>
          </w:p>
        </w:tc>
        <w:tc>
          <w:tcPr>
            <w:tcW w:w="605"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completed</w:t>
            </w:r>
          </w:p>
        </w:tc>
        <w:tc>
          <w:tcPr>
            <w:tcW w:w="851"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completed</w:t>
            </w:r>
          </w:p>
        </w:tc>
      </w:tr>
      <w:tr w:rsidR="00542016" w:rsidRPr="00542016" w:rsidTr="000C6757">
        <w:tc>
          <w:tcPr>
            <w:tcW w:w="959" w:type="pct"/>
            <w:vMerge/>
            <w:tcBorders>
              <w:bottom w:val="single" w:sz="4" w:space="0" w:color="auto"/>
            </w:tcBorders>
            <w:shd w:val="clear" w:color="auto" w:fill="auto"/>
          </w:tcPr>
          <w:p w:rsidR="00542016" w:rsidRPr="00542016" w:rsidRDefault="00542016" w:rsidP="000C6757">
            <w:pPr>
              <w:pStyle w:val="Tabletext"/>
              <w:rPr>
                <w:rFonts w:ascii="Arial" w:hAnsi="Arial"/>
              </w:rPr>
            </w:pPr>
          </w:p>
        </w:tc>
        <w:tc>
          <w:tcPr>
            <w:tcW w:w="2586"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Compliance with agreed structure on DWGs, HSRs, and IRPs.</w:t>
            </w:r>
          </w:p>
        </w:tc>
        <w:tc>
          <w:tcPr>
            <w:tcW w:w="605"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completed</w:t>
            </w:r>
          </w:p>
        </w:tc>
        <w:tc>
          <w:tcPr>
            <w:tcW w:w="851"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completed</w:t>
            </w:r>
          </w:p>
        </w:tc>
      </w:tr>
      <w:tr w:rsidR="00542016" w:rsidRPr="00542016" w:rsidTr="000C6757">
        <w:tc>
          <w:tcPr>
            <w:tcW w:w="959"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Risk management</w:t>
            </w:r>
          </w:p>
        </w:tc>
        <w:tc>
          <w:tcPr>
            <w:tcW w:w="2586"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Percentage of internal audits/inspections conducted as planned.</w:t>
            </w:r>
          </w:p>
        </w:tc>
        <w:tc>
          <w:tcPr>
            <w:tcW w:w="605"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100%</w:t>
            </w:r>
          </w:p>
        </w:tc>
        <w:tc>
          <w:tcPr>
            <w:tcW w:w="851"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100%</w:t>
            </w: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Percentage of issues identified actioned arising from:</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Text0"/>
              <w:jc w:val="right"/>
              <w:rPr>
                <w:rFonts w:ascii="Arial" w:hAnsi="Arial"/>
              </w:rPr>
            </w:pP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Indent2"/>
              <w:rPr>
                <w:rFonts w:ascii="Arial" w:hAnsi="Arial"/>
              </w:rPr>
            </w:pPr>
            <w:r w:rsidRPr="00542016">
              <w:rPr>
                <w:rFonts w:ascii="Arial" w:hAnsi="Arial"/>
              </w:rPr>
              <w:t>–</w:t>
            </w:r>
            <w:r w:rsidRPr="00542016">
              <w:rPr>
                <w:rFonts w:ascii="Arial" w:hAnsi="Arial"/>
              </w:rPr>
              <w:tab/>
              <w:t>internal audits;</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100%</w:t>
            </w: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100%</w:t>
            </w: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Indent2"/>
              <w:rPr>
                <w:rFonts w:ascii="Arial" w:hAnsi="Arial"/>
              </w:rPr>
            </w:pPr>
            <w:r w:rsidRPr="00542016">
              <w:rPr>
                <w:rFonts w:ascii="Arial" w:hAnsi="Arial"/>
              </w:rPr>
              <w:t>–</w:t>
            </w:r>
            <w:r w:rsidRPr="00542016">
              <w:rPr>
                <w:rFonts w:ascii="Arial" w:hAnsi="Arial"/>
              </w:rPr>
              <w:tab/>
              <w:t>HSR provisional improvement notices (PINs); and</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r>
      <w:tr w:rsidR="00542016" w:rsidRPr="00542016" w:rsidTr="000C6757">
        <w:tc>
          <w:tcPr>
            <w:tcW w:w="959" w:type="pct"/>
            <w:tcBorders>
              <w:top w:val="single" w:sz="4" w:space="0" w:color="FFFFFF"/>
              <w:bottom w:val="single" w:sz="4" w:space="0" w:color="auto"/>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4" w:space="0" w:color="auto"/>
            </w:tcBorders>
            <w:shd w:val="clear" w:color="auto" w:fill="auto"/>
          </w:tcPr>
          <w:p w:rsidR="00542016" w:rsidRPr="00542016" w:rsidRDefault="00542016" w:rsidP="000C6757">
            <w:pPr>
              <w:pStyle w:val="TabletextIndent2"/>
              <w:rPr>
                <w:rFonts w:ascii="Arial" w:hAnsi="Arial"/>
              </w:rPr>
            </w:pPr>
            <w:r w:rsidRPr="00542016">
              <w:rPr>
                <w:rFonts w:ascii="Arial" w:hAnsi="Arial"/>
              </w:rPr>
              <w:t>–</w:t>
            </w:r>
            <w:r w:rsidRPr="00542016">
              <w:rPr>
                <w:rFonts w:ascii="Arial" w:hAnsi="Arial"/>
              </w:rPr>
              <w:tab/>
              <w:t>WorkSafe notices</w:t>
            </w:r>
          </w:p>
        </w:tc>
        <w:tc>
          <w:tcPr>
            <w:tcW w:w="605"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c>
          <w:tcPr>
            <w:tcW w:w="851" w:type="pct"/>
            <w:tcBorders>
              <w:top w:val="single" w:sz="4" w:space="0" w:color="FFFFFF"/>
              <w:bottom w:val="single" w:sz="4"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r>
      <w:tr w:rsidR="00542016" w:rsidRPr="00542016" w:rsidTr="000C6757">
        <w:tc>
          <w:tcPr>
            <w:tcW w:w="959"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i/>
                <w:sz w:val="16"/>
                <w:szCs w:val="16"/>
              </w:rPr>
            </w:pPr>
            <w:r w:rsidRPr="00542016">
              <w:rPr>
                <w:rFonts w:ascii="Arial" w:hAnsi="Arial"/>
              </w:rPr>
              <w:t xml:space="preserve">Training </w:t>
            </w:r>
            <w:r w:rsidRPr="00542016">
              <w:rPr>
                <w:rFonts w:ascii="Arial" w:hAnsi="Arial"/>
                <w:i/>
              </w:rPr>
              <w:t>(ii)</w:t>
            </w:r>
          </w:p>
        </w:tc>
        <w:tc>
          <w:tcPr>
            <w:tcW w:w="2586"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Percentage of managers and staff that have received OHS training:</w:t>
            </w:r>
          </w:p>
        </w:tc>
        <w:tc>
          <w:tcPr>
            <w:tcW w:w="605" w:type="pct"/>
            <w:tcBorders>
              <w:top w:val="single" w:sz="4" w:space="0" w:color="auto"/>
              <w:bottom w:val="single" w:sz="4" w:space="0" w:color="FFFFFF"/>
            </w:tcBorders>
            <w:shd w:val="clear" w:color="auto" w:fill="auto"/>
          </w:tcPr>
          <w:p w:rsidR="00542016" w:rsidRPr="00542016" w:rsidRDefault="00542016" w:rsidP="000C6757">
            <w:pPr>
              <w:pStyle w:val="TableText0"/>
              <w:jc w:val="right"/>
              <w:rPr>
                <w:rFonts w:ascii="Arial" w:hAnsi="Arial"/>
              </w:rPr>
            </w:pPr>
          </w:p>
        </w:tc>
        <w:tc>
          <w:tcPr>
            <w:tcW w:w="851" w:type="pct"/>
            <w:tcBorders>
              <w:top w:val="single" w:sz="4" w:space="0" w:color="auto"/>
              <w:bottom w:val="single" w:sz="4" w:space="0" w:color="FFFFFF"/>
            </w:tcBorders>
            <w:shd w:val="clear" w:color="auto" w:fill="auto"/>
          </w:tcPr>
          <w:p w:rsidR="00542016" w:rsidRPr="00542016" w:rsidRDefault="00542016" w:rsidP="000C6757">
            <w:pPr>
              <w:pStyle w:val="Tabletext"/>
              <w:rPr>
                <w:rFonts w:ascii="Arial" w:hAnsi="Arial"/>
              </w:rPr>
            </w:pP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Indent2"/>
              <w:rPr>
                <w:rFonts w:ascii="Arial" w:hAnsi="Arial"/>
              </w:rPr>
            </w:pPr>
            <w:r w:rsidRPr="00542016">
              <w:rPr>
                <w:rFonts w:ascii="Arial" w:hAnsi="Arial"/>
              </w:rPr>
              <w:t xml:space="preserve">– </w:t>
            </w:r>
            <w:r w:rsidRPr="00542016">
              <w:rPr>
                <w:rFonts w:ascii="Arial" w:hAnsi="Arial"/>
              </w:rPr>
              <w:tab/>
              <w:t>induction;</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0%</w:t>
            </w: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0%</w:t>
            </w: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Indent2"/>
              <w:rPr>
                <w:rFonts w:ascii="Arial" w:hAnsi="Arial"/>
              </w:rPr>
            </w:pPr>
            <w:r w:rsidRPr="00542016">
              <w:rPr>
                <w:rFonts w:ascii="Arial" w:hAnsi="Arial"/>
              </w:rPr>
              <w:t xml:space="preserve">– </w:t>
            </w:r>
            <w:r w:rsidRPr="00542016">
              <w:rPr>
                <w:rFonts w:ascii="Arial" w:hAnsi="Arial"/>
              </w:rPr>
              <w:tab/>
              <w:t>management training; and</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0%</w:t>
            </w: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0%</w:t>
            </w: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Indent2"/>
              <w:rPr>
                <w:rFonts w:ascii="Arial" w:hAnsi="Arial"/>
              </w:rPr>
            </w:pPr>
            <w:r w:rsidRPr="00542016">
              <w:rPr>
                <w:rFonts w:ascii="Arial" w:hAnsi="Arial"/>
              </w:rPr>
              <w:t xml:space="preserve">– </w:t>
            </w:r>
            <w:r w:rsidRPr="00542016">
              <w:rPr>
                <w:rFonts w:ascii="Arial" w:hAnsi="Arial"/>
              </w:rPr>
              <w:tab/>
              <w:t>contractors, temps, and visitors.</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Percentage of HSRs trained:</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Text0"/>
              <w:jc w:val="right"/>
              <w:rPr>
                <w:rFonts w:ascii="Arial" w:hAnsi="Arial"/>
              </w:rPr>
            </w:pP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Indent2"/>
              <w:rPr>
                <w:rFonts w:ascii="Arial" w:hAnsi="Arial"/>
              </w:rPr>
            </w:pPr>
            <w:r w:rsidRPr="00542016">
              <w:rPr>
                <w:rFonts w:ascii="Arial" w:hAnsi="Arial"/>
              </w:rPr>
              <w:t xml:space="preserve">– </w:t>
            </w:r>
            <w:r w:rsidRPr="00542016">
              <w:rPr>
                <w:rFonts w:ascii="Arial" w:hAnsi="Arial"/>
              </w:rPr>
              <w:tab/>
              <w:t>acceptance of role;</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100%</w:t>
            </w: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100%</w:t>
            </w:r>
          </w:p>
        </w:tc>
      </w:tr>
      <w:tr w:rsidR="00542016" w:rsidRPr="00542016" w:rsidTr="000C6757">
        <w:tc>
          <w:tcPr>
            <w:tcW w:w="959" w:type="pct"/>
            <w:tcBorders>
              <w:top w:val="single" w:sz="4" w:space="0" w:color="FFFFFF"/>
              <w:bottom w:val="single" w:sz="4" w:space="0" w:color="FFFFFF"/>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4" w:space="0" w:color="FFFFFF"/>
            </w:tcBorders>
            <w:shd w:val="clear" w:color="auto" w:fill="auto"/>
          </w:tcPr>
          <w:p w:rsidR="00542016" w:rsidRPr="00542016" w:rsidRDefault="00542016" w:rsidP="000C6757">
            <w:pPr>
              <w:pStyle w:val="TabletextIndent2"/>
              <w:rPr>
                <w:rFonts w:ascii="Arial" w:hAnsi="Arial"/>
              </w:rPr>
            </w:pPr>
            <w:r w:rsidRPr="00542016">
              <w:rPr>
                <w:rFonts w:ascii="Arial" w:hAnsi="Arial"/>
              </w:rPr>
              <w:t>–</w:t>
            </w:r>
            <w:r w:rsidRPr="00542016">
              <w:rPr>
                <w:rFonts w:ascii="Arial" w:hAnsi="Arial"/>
              </w:rPr>
              <w:tab/>
              <w:t>re</w:t>
            </w:r>
            <w:r w:rsidRPr="00542016">
              <w:rPr>
                <w:rFonts w:ascii="Arial" w:hAnsi="Arial"/>
              </w:rPr>
              <w:noBreakHyphen/>
              <w:t>training (refresher); and</w:t>
            </w:r>
          </w:p>
        </w:tc>
        <w:tc>
          <w:tcPr>
            <w:tcW w:w="605"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c>
          <w:tcPr>
            <w:tcW w:w="851" w:type="pct"/>
            <w:tcBorders>
              <w:top w:val="single" w:sz="4" w:space="0" w:color="FFFFFF"/>
              <w:bottom w:val="single" w:sz="4" w:space="0" w:color="FFFFFF"/>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r>
      <w:tr w:rsidR="00542016" w:rsidRPr="00542016" w:rsidTr="000C6757">
        <w:tc>
          <w:tcPr>
            <w:tcW w:w="959" w:type="pct"/>
            <w:tcBorders>
              <w:top w:val="single" w:sz="4" w:space="0" w:color="FFFFFF"/>
              <w:bottom w:val="single" w:sz="12" w:space="0" w:color="auto"/>
            </w:tcBorders>
            <w:shd w:val="clear" w:color="auto" w:fill="auto"/>
          </w:tcPr>
          <w:p w:rsidR="00542016" w:rsidRPr="00542016" w:rsidRDefault="00542016" w:rsidP="000C6757">
            <w:pPr>
              <w:pStyle w:val="TableText0"/>
              <w:jc w:val="both"/>
              <w:rPr>
                <w:rFonts w:ascii="Arial" w:hAnsi="Arial"/>
              </w:rPr>
            </w:pPr>
          </w:p>
        </w:tc>
        <w:tc>
          <w:tcPr>
            <w:tcW w:w="2586" w:type="pct"/>
            <w:tcBorders>
              <w:top w:val="single" w:sz="4" w:space="0" w:color="FFFFFF"/>
              <w:bottom w:val="single" w:sz="12" w:space="0" w:color="auto"/>
            </w:tcBorders>
            <w:shd w:val="clear" w:color="auto" w:fill="auto"/>
          </w:tcPr>
          <w:p w:rsidR="00542016" w:rsidRPr="00542016" w:rsidRDefault="00542016" w:rsidP="000C6757">
            <w:pPr>
              <w:pStyle w:val="TabletextIndent2"/>
              <w:rPr>
                <w:rFonts w:ascii="Arial" w:hAnsi="Arial"/>
              </w:rPr>
            </w:pPr>
            <w:r w:rsidRPr="00542016">
              <w:rPr>
                <w:rFonts w:ascii="Arial" w:hAnsi="Arial"/>
              </w:rPr>
              <w:t xml:space="preserve">– </w:t>
            </w:r>
            <w:r w:rsidRPr="00542016">
              <w:rPr>
                <w:rFonts w:ascii="Arial" w:hAnsi="Arial"/>
              </w:rPr>
              <w:tab/>
              <w:t>reporting of incidents and injuries.</w:t>
            </w:r>
          </w:p>
        </w:tc>
        <w:tc>
          <w:tcPr>
            <w:tcW w:w="605" w:type="pct"/>
            <w:tcBorders>
              <w:top w:val="single" w:sz="4" w:space="0" w:color="FFFFFF"/>
              <w:bottom w:val="single" w:sz="12"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c>
          <w:tcPr>
            <w:tcW w:w="851" w:type="pct"/>
            <w:tcBorders>
              <w:top w:val="single" w:sz="4" w:space="0" w:color="FFFFFF"/>
              <w:bottom w:val="single" w:sz="12" w:space="0" w:color="auto"/>
            </w:tcBorders>
            <w:shd w:val="clear" w:color="auto" w:fill="auto"/>
          </w:tcPr>
          <w:p w:rsidR="00542016" w:rsidRPr="00542016" w:rsidRDefault="00542016" w:rsidP="000C6757">
            <w:pPr>
              <w:pStyle w:val="Tabletext"/>
              <w:rPr>
                <w:rFonts w:ascii="Arial" w:hAnsi="Arial"/>
              </w:rPr>
            </w:pPr>
            <w:r w:rsidRPr="00542016">
              <w:rPr>
                <w:rFonts w:ascii="Arial" w:hAnsi="Arial"/>
              </w:rPr>
              <w:t>N/A</w:t>
            </w:r>
          </w:p>
        </w:tc>
      </w:tr>
    </w:tbl>
    <w:p w:rsidR="00542016" w:rsidRPr="00542016" w:rsidRDefault="00542016" w:rsidP="00542016">
      <w:pPr>
        <w:pStyle w:val="Notes"/>
        <w:rPr>
          <w:rFonts w:ascii="Arial" w:hAnsi="Arial" w:cs="Arial"/>
        </w:rPr>
      </w:pPr>
      <w:r w:rsidRPr="00542016">
        <w:rPr>
          <w:rFonts w:ascii="Arial" w:hAnsi="Arial" w:cs="Arial"/>
        </w:rPr>
        <w:t>Notes:</w:t>
      </w:r>
    </w:p>
    <w:p w:rsidR="00542016" w:rsidRPr="00542016" w:rsidRDefault="00542016" w:rsidP="00542016">
      <w:pPr>
        <w:pStyle w:val="Notes"/>
        <w:tabs>
          <w:tab w:val="clear" w:pos="454"/>
          <w:tab w:val="left" w:pos="426"/>
        </w:tabs>
        <w:rPr>
          <w:rFonts w:ascii="Arial" w:hAnsi="Arial" w:cs="Arial"/>
        </w:rPr>
      </w:pPr>
      <w:r w:rsidRPr="00542016">
        <w:rPr>
          <w:rFonts w:ascii="Arial" w:hAnsi="Arial" w:cs="Arial"/>
        </w:rPr>
        <w:t>(i)</w:t>
      </w:r>
      <w:r w:rsidRPr="00542016">
        <w:rPr>
          <w:rFonts w:ascii="Arial" w:hAnsi="Arial" w:cs="Arial"/>
        </w:rPr>
        <w:tab/>
        <w:t>Claims Data sourced from Victorian WorkCover Authority (VWA).</w:t>
      </w:r>
    </w:p>
    <w:p w:rsidR="00542016" w:rsidRPr="00542016" w:rsidRDefault="00542016" w:rsidP="00542016">
      <w:pPr>
        <w:pStyle w:val="Notes"/>
        <w:tabs>
          <w:tab w:val="clear" w:pos="454"/>
          <w:tab w:val="left" w:pos="426"/>
        </w:tabs>
        <w:rPr>
          <w:rFonts w:ascii="Arial" w:hAnsi="Arial" w:cs="Arial"/>
        </w:rPr>
      </w:pPr>
      <w:r w:rsidRPr="00542016">
        <w:rPr>
          <w:rFonts w:ascii="Arial" w:hAnsi="Arial" w:cs="Arial"/>
        </w:rPr>
        <w:t>(ii)</w:t>
      </w:r>
      <w:r w:rsidRPr="00542016">
        <w:rPr>
          <w:rFonts w:ascii="Arial" w:hAnsi="Arial" w:cs="Arial"/>
        </w:rPr>
        <w:tab/>
        <w:t>OHS training and induction for all PTV managers, staff, contractors and temporary staff  has been developed for implementation in 2013- 2014</w:t>
      </w:r>
    </w:p>
    <w:p w:rsidR="00542016" w:rsidRPr="009F179C" w:rsidRDefault="00542016" w:rsidP="00542016">
      <w:pPr>
        <w:pStyle w:val="Notes"/>
        <w:tabs>
          <w:tab w:val="left" w:pos="426"/>
        </w:tabs>
        <w:ind w:left="720"/>
      </w:pPr>
    </w:p>
    <w:p w:rsidR="00542016" w:rsidRPr="00F82C5A" w:rsidRDefault="00542016" w:rsidP="00542016">
      <w:pPr>
        <w:rPr>
          <w:rFonts w:ascii="Arial" w:hAnsi="Arial" w:cs="Arial"/>
        </w:rPr>
      </w:pPr>
    </w:p>
    <w:p w:rsidR="00A73F5E" w:rsidRPr="00A73F5E" w:rsidRDefault="00A73F5E" w:rsidP="00A73F5E">
      <w:pPr>
        <w:pStyle w:val="Heading10"/>
        <w:outlineLvl w:val="0"/>
      </w:pPr>
      <w:bookmarkStart w:id="305" w:name="_Toc365383087"/>
      <w:bookmarkStart w:id="306" w:name="_Toc366672117"/>
      <w:r w:rsidRPr="00A73F5E">
        <w:t>Environmental performance</w:t>
      </w:r>
      <w:bookmarkEnd w:id="305"/>
      <w:bookmarkEnd w:id="306"/>
    </w:p>
    <w:p w:rsidR="00A73F5E" w:rsidRDefault="00A73F5E" w:rsidP="00542016">
      <w:pPr>
        <w:pStyle w:val="Heading10"/>
      </w:pPr>
    </w:p>
    <w:p w:rsidR="00542016" w:rsidRDefault="00542016" w:rsidP="00ED42C3">
      <w:pPr>
        <w:pStyle w:val="Heading20"/>
      </w:pPr>
      <w:r>
        <w:t>Office-based environmental performance</w:t>
      </w:r>
    </w:p>
    <w:p w:rsidR="00542016" w:rsidRPr="00542016" w:rsidRDefault="00542016" w:rsidP="00542016">
      <w:pPr>
        <w:autoSpaceDE w:val="0"/>
        <w:autoSpaceDN w:val="0"/>
        <w:adjustRightInd w:val="0"/>
        <w:spacing w:after="120"/>
        <w:rPr>
          <w:rFonts w:ascii="Arial" w:hAnsi="Arial" w:cs="Arial"/>
        </w:rPr>
      </w:pPr>
      <w:r w:rsidRPr="00542016">
        <w:rPr>
          <w:rFonts w:ascii="Arial" w:hAnsi="Arial" w:cs="Arial"/>
        </w:rPr>
        <w:t xml:space="preserve">In 2012-13 PTV relocated from tenancies at 121 Exhibition St, 575 Bourke St and 80 Collins St to one location at 750 Collins St in 2012 - 2013. </w:t>
      </w:r>
    </w:p>
    <w:p w:rsidR="00542016" w:rsidRDefault="00542016" w:rsidP="00542016">
      <w:pPr>
        <w:autoSpaceDE w:val="0"/>
        <w:autoSpaceDN w:val="0"/>
        <w:adjustRightInd w:val="0"/>
        <w:rPr>
          <w:rFonts w:ascii="Arial" w:hAnsi="Arial" w:cs="Arial"/>
        </w:rPr>
      </w:pPr>
      <w:r w:rsidRPr="00542016">
        <w:rPr>
          <w:rFonts w:ascii="Arial" w:hAnsi="Arial" w:cs="Arial"/>
        </w:rPr>
        <w:t>Actions have been undertaken at the new premises to minimise energy, paper and water consumption, as well as reduce waste. Office equipment and lighting are set to use minimal resources, and staff are encouraged to follow environmentally friendly practices.  PTV has reduced its vehicle fleet and installed a bike cage for staff use.</w:t>
      </w:r>
    </w:p>
    <w:p w:rsidR="00542016" w:rsidRDefault="00542016" w:rsidP="00542016">
      <w:pPr>
        <w:autoSpaceDE w:val="0"/>
        <w:autoSpaceDN w:val="0"/>
        <w:adjustRightInd w:val="0"/>
        <w:rPr>
          <w:rFonts w:ascii="Arial" w:hAnsi="Arial" w:cs="Arial"/>
        </w:rPr>
      </w:pPr>
    </w:p>
    <w:p w:rsidR="00542016" w:rsidRPr="00A73F5E" w:rsidRDefault="00542016" w:rsidP="00ED42C3">
      <w:pPr>
        <w:pStyle w:val="Heading20"/>
      </w:pPr>
      <w:r w:rsidRPr="00A73F5E">
        <w:t>Environmental improvements on the public transport network</w:t>
      </w:r>
    </w:p>
    <w:p w:rsidR="00542016" w:rsidRPr="00542016" w:rsidRDefault="00542016" w:rsidP="00542016">
      <w:pPr>
        <w:autoSpaceDE w:val="0"/>
        <w:autoSpaceDN w:val="0"/>
        <w:adjustRightInd w:val="0"/>
        <w:rPr>
          <w:rFonts w:ascii="Arial" w:hAnsi="Arial" w:cs="Arial"/>
        </w:rPr>
      </w:pPr>
      <w:r w:rsidRPr="00542016">
        <w:rPr>
          <w:rFonts w:ascii="Arial" w:hAnsi="Arial" w:cs="Arial"/>
        </w:rPr>
        <w:t>Environmental improvements across the public</w:t>
      </w:r>
      <w:r>
        <w:rPr>
          <w:rFonts w:ascii="Arial" w:hAnsi="Arial" w:cs="Arial"/>
        </w:rPr>
        <w:t xml:space="preserve"> </w:t>
      </w:r>
      <w:r w:rsidRPr="00542016">
        <w:rPr>
          <w:rFonts w:ascii="Arial" w:hAnsi="Arial" w:cs="Arial"/>
        </w:rPr>
        <w:t>transport network include:</w:t>
      </w:r>
    </w:p>
    <w:p w:rsidR="00542016" w:rsidRPr="00542016" w:rsidRDefault="00542016" w:rsidP="002D77DA">
      <w:pPr>
        <w:pStyle w:val="ListParagraph"/>
        <w:numPr>
          <w:ilvl w:val="0"/>
          <w:numId w:val="8"/>
        </w:numPr>
        <w:autoSpaceDE w:val="0"/>
        <w:autoSpaceDN w:val="0"/>
        <w:adjustRightInd w:val="0"/>
        <w:rPr>
          <w:rFonts w:ascii="Arial" w:hAnsi="Arial" w:cs="Arial"/>
        </w:rPr>
      </w:pPr>
      <w:r w:rsidRPr="00542016">
        <w:rPr>
          <w:rFonts w:ascii="Arial" w:hAnsi="Arial" w:cs="Arial"/>
        </w:rPr>
        <w:t>a public place recycling campaign</w:t>
      </w:r>
    </w:p>
    <w:p w:rsidR="00542016" w:rsidRPr="00542016" w:rsidRDefault="00542016" w:rsidP="002D77DA">
      <w:pPr>
        <w:pStyle w:val="ListParagraph"/>
        <w:numPr>
          <w:ilvl w:val="0"/>
          <w:numId w:val="8"/>
        </w:numPr>
        <w:autoSpaceDE w:val="0"/>
        <w:autoSpaceDN w:val="0"/>
        <w:adjustRightInd w:val="0"/>
        <w:rPr>
          <w:rFonts w:ascii="Arial" w:hAnsi="Arial" w:cs="Arial"/>
        </w:rPr>
      </w:pPr>
      <w:r w:rsidRPr="00542016">
        <w:rPr>
          <w:rFonts w:ascii="Arial" w:hAnsi="Arial" w:cs="Arial"/>
        </w:rPr>
        <w:t>water management action plans in depots</w:t>
      </w:r>
    </w:p>
    <w:p w:rsidR="00542016" w:rsidRPr="00542016" w:rsidRDefault="00542016" w:rsidP="002D77DA">
      <w:pPr>
        <w:pStyle w:val="ListParagraph"/>
        <w:numPr>
          <w:ilvl w:val="0"/>
          <w:numId w:val="8"/>
        </w:numPr>
        <w:autoSpaceDE w:val="0"/>
        <w:autoSpaceDN w:val="0"/>
        <w:adjustRightInd w:val="0"/>
        <w:rPr>
          <w:rFonts w:ascii="Arial" w:hAnsi="Arial" w:cs="Arial"/>
        </w:rPr>
      </w:pPr>
      <w:r w:rsidRPr="00542016">
        <w:rPr>
          <w:rFonts w:ascii="Arial" w:hAnsi="Arial" w:cs="Arial"/>
        </w:rPr>
        <w:t>“Green Depot” program</w:t>
      </w:r>
    </w:p>
    <w:p w:rsidR="00542016" w:rsidRPr="00542016" w:rsidRDefault="00542016" w:rsidP="002D77DA">
      <w:pPr>
        <w:pStyle w:val="ListParagraph"/>
        <w:numPr>
          <w:ilvl w:val="0"/>
          <w:numId w:val="8"/>
        </w:numPr>
        <w:autoSpaceDE w:val="0"/>
        <w:autoSpaceDN w:val="0"/>
        <w:adjustRightInd w:val="0"/>
        <w:rPr>
          <w:rFonts w:ascii="Arial" w:hAnsi="Arial" w:cs="Arial"/>
        </w:rPr>
      </w:pPr>
      <w:r w:rsidRPr="00542016">
        <w:rPr>
          <w:rFonts w:ascii="Arial" w:hAnsi="Arial" w:cs="Arial"/>
        </w:rPr>
        <w:t>a trial to identify optimal driving procedures on trains and buses that improve energy consumption</w:t>
      </w:r>
    </w:p>
    <w:p w:rsidR="00542016" w:rsidRPr="00542016" w:rsidRDefault="00542016" w:rsidP="002D77DA">
      <w:pPr>
        <w:pStyle w:val="ListParagraph"/>
        <w:numPr>
          <w:ilvl w:val="0"/>
          <w:numId w:val="8"/>
        </w:numPr>
        <w:autoSpaceDE w:val="0"/>
        <w:autoSpaceDN w:val="0"/>
        <w:adjustRightInd w:val="0"/>
        <w:rPr>
          <w:rFonts w:ascii="Arial" w:hAnsi="Arial" w:cs="Arial"/>
        </w:rPr>
      </w:pPr>
      <w:r w:rsidRPr="00542016">
        <w:rPr>
          <w:rFonts w:ascii="Arial" w:hAnsi="Arial" w:cs="Arial"/>
        </w:rPr>
        <w:t>environmental management plans implemented at fuel points resulting in improved infrastructure and no major spills for the year</w:t>
      </w:r>
    </w:p>
    <w:p w:rsidR="00542016" w:rsidRPr="00542016" w:rsidRDefault="00542016" w:rsidP="002D77DA">
      <w:pPr>
        <w:pStyle w:val="ListParagraph"/>
        <w:numPr>
          <w:ilvl w:val="0"/>
          <w:numId w:val="8"/>
        </w:numPr>
        <w:autoSpaceDE w:val="0"/>
        <w:autoSpaceDN w:val="0"/>
        <w:adjustRightInd w:val="0"/>
        <w:rPr>
          <w:rFonts w:ascii="Arial" w:hAnsi="Arial" w:cs="Arial"/>
        </w:rPr>
      </w:pPr>
      <w:r w:rsidRPr="00542016">
        <w:rPr>
          <w:rFonts w:ascii="Arial" w:hAnsi="Arial" w:cs="Arial"/>
        </w:rPr>
        <w:t>invasive weeds controlled and identification and mapping of protected vegetation on rail reserves.</w:t>
      </w:r>
      <w:r w:rsidRPr="00542016">
        <w:rPr>
          <w:rFonts w:ascii="Arial" w:hAnsi="Arial" w:cs="Arial"/>
        </w:rPr>
        <w:br w:type="page"/>
      </w:r>
    </w:p>
    <w:p w:rsidR="00542016" w:rsidRPr="00644DC9" w:rsidRDefault="00542016" w:rsidP="00A73F5E">
      <w:pPr>
        <w:pStyle w:val="Heading10"/>
        <w:outlineLvl w:val="0"/>
      </w:pPr>
      <w:bookmarkStart w:id="307" w:name="_Toc365383088"/>
      <w:bookmarkStart w:id="308" w:name="_Toc366672118"/>
      <w:r w:rsidRPr="00644DC9">
        <w:t>Protected Disclosure Act 2012 and Whistleblowers Protection Act 2001</w:t>
      </w:r>
      <w:bookmarkEnd w:id="307"/>
      <w:bookmarkEnd w:id="308"/>
    </w:p>
    <w:p w:rsidR="00542016" w:rsidRPr="00644DC9" w:rsidRDefault="00542016" w:rsidP="00542016">
      <w:pPr>
        <w:pStyle w:val="ListParagraph"/>
        <w:ind w:left="0"/>
        <w:rPr>
          <w:rFonts w:ascii="Arial" w:hAnsi="Arial" w:cs="Arial"/>
          <w:b/>
          <w:sz w:val="28"/>
          <w:szCs w:val="28"/>
        </w:rPr>
      </w:pPr>
    </w:p>
    <w:p w:rsidR="00542016" w:rsidRPr="00644DC9" w:rsidRDefault="00542016" w:rsidP="00542016">
      <w:pPr>
        <w:rPr>
          <w:rFonts w:ascii="Arial" w:hAnsi="Arial" w:cs="Arial"/>
          <w:szCs w:val="20"/>
        </w:rPr>
      </w:pPr>
      <w:r w:rsidRPr="00644DC9">
        <w:rPr>
          <w:rFonts w:ascii="Arial" w:hAnsi="Arial" w:cs="Arial"/>
          <w:szCs w:val="20"/>
        </w:rPr>
        <w:t xml:space="preserve">On 10 February 2013, the </w:t>
      </w:r>
      <w:r w:rsidRPr="00644DC9">
        <w:rPr>
          <w:rFonts w:ascii="Arial" w:hAnsi="Arial" w:cs="Arial"/>
          <w:i/>
          <w:szCs w:val="20"/>
        </w:rPr>
        <w:t>Protected Disclosure Act 2012</w:t>
      </w:r>
      <w:r w:rsidRPr="00644DC9">
        <w:rPr>
          <w:rFonts w:ascii="Arial" w:hAnsi="Arial" w:cs="Arial"/>
          <w:szCs w:val="20"/>
        </w:rPr>
        <w:t xml:space="preserve"> came into effect. This Act repealed the </w:t>
      </w:r>
      <w:r w:rsidRPr="00644DC9">
        <w:rPr>
          <w:rFonts w:ascii="Arial" w:hAnsi="Arial" w:cs="Arial"/>
          <w:i/>
          <w:szCs w:val="20"/>
        </w:rPr>
        <w:t>Whistleblowers Protection Act 2001</w:t>
      </w:r>
      <w:r w:rsidRPr="00644DC9">
        <w:rPr>
          <w:rFonts w:ascii="Arial" w:hAnsi="Arial" w:cs="Arial"/>
          <w:szCs w:val="20"/>
        </w:rPr>
        <w:t xml:space="preserve"> and created a new legislative framework for receiving protected disclosures and protecting those who make them. For the 2012-13 financial year, PTV is required to report on disclosures received under both Acts. </w:t>
      </w:r>
    </w:p>
    <w:p w:rsidR="00542016" w:rsidRPr="00644DC9" w:rsidRDefault="00542016" w:rsidP="00542016">
      <w:pPr>
        <w:rPr>
          <w:rFonts w:ascii="Arial" w:hAnsi="Arial" w:cs="Arial"/>
          <w:szCs w:val="20"/>
        </w:rPr>
      </w:pPr>
    </w:p>
    <w:p w:rsidR="00542016" w:rsidRPr="00644DC9" w:rsidRDefault="00542016" w:rsidP="00542016">
      <w:pPr>
        <w:rPr>
          <w:rFonts w:ascii="Arial" w:hAnsi="Arial" w:cs="Arial"/>
          <w:szCs w:val="20"/>
        </w:rPr>
      </w:pPr>
      <w:r w:rsidRPr="00644DC9">
        <w:rPr>
          <w:rFonts w:ascii="Arial" w:hAnsi="Arial" w:cs="Arial"/>
          <w:szCs w:val="20"/>
        </w:rPr>
        <w:t>The Protected Disclosure Act encourages and assists people in making disclosures of improper and corrupt conduct by public officers and public bodies. The Act provides protection to people who make disclosures in accordance with the Act and establishes a new system for the matters disclosed to be investigated and rectifying action to be taken.</w:t>
      </w:r>
    </w:p>
    <w:p w:rsidR="00542016" w:rsidRPr="00644DC9" w:rsidRDefault="00542016" w:rsidP="00542016">
      <w:pPr>
        <w:rPr>
          <w:rFonts w:ascii="Arial" w:hAnsi="Arial" w:cs="Arial"/>
          <w:szCs w:val="20"/>
        </w:rPr>
      </w:pPr>
    </w:p>
    <w:p w:rsidR="00542016" w:rsidRPr="00644DC9" w:rsidRDefault="00542016" w:rsidP="00542016">
      <w:pPr>
        <w:rPr>
          <w:rFonts w:ascii="Arial" w:hAnsi="Arial" w:cs="Arial"/>
          <w:szCs w:val="20"/>
        </w:rPr>
      </w:pPr>
      <w:r w:rsidRPr="00644DC9">
        <w:rPr>
          <w:rFonts w:ascii="Arial" w:hAnsi="Arial" w:cs="Arial"/>
          <w:szCs w:val="20"/>
        </w:rPr>
        <w:t>The Independent Broad-Based Anti-Corruption Commission (IBAC) now has a key role in receiving, assessing and investigating disclosures about corrupt or improper conduct and police personnel conduct as well as responsibility for preparing and publishing guidelines to assist public bodies to interpret and comply with the new protected disclosures regime.</w:t>
      </w:r>
    </w:p>
    <w:p w:rsidR="00542016" w:rsidRPr="00644DC9" w:rsidRDefault="00542016" w:rsidP="00542016">
      <w:pPr>
        <w:rPr>
          <w:rFonts w:ascii="Arial" w:hAnsi="Arial" w:cs="Arial"/>
          <w:szCs w:val="20"/>
        </w:rPr>
      </w:pPr>
    </w:p>
    <w:p w:rsidR="00542016" w:rsidRPr="00644DC9" w:rsidRDefault="00542016" w:rsidP="00542016">
      <w:pPr>
        <w:rPr>
          <w:rFonts w:ascii="Arial" w:hAnsi="Arial" w:cs="Arial"/>
          <w:szCs w:val="20"/>
        </w:rPr>
      </w:pPr>
      <w:r w:rsidRPr="00644DC9">
        <w:rPr>
          <w:rFonts w:ascii="Arial" w:hAnsi="Arial" w:cs="Arial"/>
          <w:szCs w:val="20"/>
        </w:rPr>
        <w:t xml:space="preserve">PTV does not tolerate improper conduct by employees or the taking of reprisals against those who come forward to disclose such conduct. PTV is committed to ensuring transparency and accountability in its administrative and management practices and supports the making of disclosures that reveal corrupt conduct, conduct involving a substantial mismanagement of public resources, or conduct involving a substantial risk to public health and safety or the environment. </w:t>
      </w:r>
    </w:p>
    <w:p w:rsidR="00542016" w:rsidRPr="00644DC9" w:rsidRDefault="00542016" w:rsidP="00542016">
      <w:pPr>
        <w:rPr>
          <w:rFonts w:ascii="Arial" w:hAnsi="Arial" w:cs="Arial"/>
          <w:szCs w:val="20"/>
        </w:rPr>
      </w:pPr>
    </w:p>
    <w:p w:rsidR="00542016" w:rsidRPr="00644DC9" w:rsidRDefault="00542016" w:rsidP="00542016">
      <w:pPr>
        <w:rPr>
          <w:rFonts w:ascii="Arial" w:hAnsi="Arial" w:cs="Arial"/>
          <w:szCs w:val="20"/>
        </w:rPr>
      </w:pPr>
      <w:r w:rsidRPr="00644DC9">
        <w:rPr>
          <w:rFonts w:ascii="Arial" w:hAnsi="Arial" w:cs="Arial"/>
          <w:szCs w:val="20"/>
        </w:rPr>
        <w:t>PTV will take all reasonable steps to protect people who make such disclosures from any detrimental action in reprisal for making the disclosure. It will also afford natural justice to the person who is the subject of the disclosure to the extent it is legally possible.</w:t>
      </w:r>
    </w:p>
    <w:p w:rsidR="00542016" w:rsidRPr="00644DC9" w:rsidRDefault="00542016" w:rsidP="00542016">
      <w:pPr>
        <w:rPr>
          <w:rFonts w:ascii="Arial" w:hAnsi="Arial" w:cs="Arial"/>
          <w:b/>
          <w:bCs/>
          <w:iCs/>
          <w:szCs w:val="20"/>
        </w:rPr>
      </w:pPr>
    </w:p>
    <w:p w:rsidR="00542016" w:rsidRPr="00644DC9" w:rsidRDefault="00542016" w:rsidP="00ED42C3">
      <w:pPr>
        <w:pStyle w:val="Heading20"/>
      </w:pPr>
      <w:r w:rsidRPr="00644DC9">
        <w:t>Reporting procedures</w:t>
      </w:r>
    </w:p>
    <w:p w:rsidR="00542016" w:rsidRPr="00644DC9" w:rsidRDefault="00542016" w:rsidP="00542016">
      <w:pPr>
        <w:rPr>
          <w:rFonts w:ascii="Arial" w:hAnsi="Arial" w:cs="Arial"/>
          <w:szCs w:val="20"/>
        </w:rPr>
      </w:pPr>
      <w:r w:rsidRPr="00644DC9">
        <w:rPr>
          <w:rFonts w:ascii="Arial" w:hAnsi="Arial" w:cs="Arial"/>
          <w:szCs w:val="20"/>
        </w:rPr>
        <w:t>Disclosures of improper conduct or detrimental action by PTV or its employees may be made to:</w:t>
      </w:r>
    </w:p>
    <w:p w:rsidR="003A6EBA" w:rsidRDefault="003A6EBA" w:rsidP="003A6EBA">
      <w:pPr>
        <w:rPr>
          <w:rFonts w:ascii="Arial" w:hAnsi="Arial" w:cs="Arial"/>
          <w:szCs w:val="20"/>
        </w:rPr>
      </w:pPr>
    </w:p>
    <w:p w:rsidR="003A6EBA" w:rsidRPr="00644DC9" w:rsidRDefault="003A6EBA" w:rsidP="003A6EBA">
      <w:pPr>
        <w:rPr>
          <w:rFonts w:ascii="Arial" w:hAnsi="Arial" w:cs="Arial"/>
          <w:szCs w:val="20"/>
        </w:rPr>
      </w:pPr>
      <w:r w:rsidRPr="00644DC9">
        <w:rPr>
          <w:rFonts w:ascii="Arial" w:hAnsi="Arial" w:cs="Arial"/>
          <w:szCs w:val="20"/>
        </w:rPr>
        <w:t xml:space="preserve">Independent Broad-Based Anti-Corruption Commission </w:t>
      </w:r>
    </w:p>
    <w:p w:rsidR="003A6EBA" w:rsidRPr="00644DC9" w:rsidRDefault="003A6EBA" w:rsidP="003A6EBA">
      <w:pPr>
        <w:rPr>
          <w:rFonts w:ascii="Arial" w:hAnsi="Arial" w:cs="Arial"/>
          <w:szCs w:val="20"/>
        </w:rPr>
      </w:pPr>
      <w:r w:rsidRPr="00644DC9">
        <w:rPr>
          <w:rFonts w:ascii="Arial" w:hAnsi="Arial" w:cs="Arial"/>
          <w:szCs w:val="20"/>
        </w:rPr>
        <w:t>Level 1, North Tower, 459 Collins Street, Melbourne VIC 3000</w:t>
      </w:r>
    </w:p>
    <w:p w:rsidR="003A6EBA" w:rsidRPr="00644DC9" w:rsidRDefault="003A6EBA" w:rsidP="003A6EBA">
      <w:pPr>
        <w:rPr>
          <w:rFonts w:ascii="Arial" w:hAnsi="Arial" w:cs="Arial"/>
          <w:szCs w:val="20"/>
        </w:rPr>
      </w:pPr>
      <w:r w:rsidRPr="00644DC9">
        <w:rPr>
          <w:rFonts w:ascii="Arial" w:hAnsi="Arial" w:cs="Arial"/>
          <w:szCs w:val="20"/>
        </w:rPr>
        <w:t>Toll free: 1300 735 135</w:t>
      </w:r>
    </w:p>
    <w:p w:rsidR="003A6EBA" w:rsidRPr="00644DC9" w:rsidRDefault="003A6EBA" w:rsidP="003A6EBA">
      <w:pPr>
        <w:rPr>
          <w:rFonts w:ascii="Arial" w:hAnsi="Arial" w:cs="Arial"/>
          <w:szCs w:val="20"/>
        </w:rPr>
      </w:pPr>
      <w:r w:rsidRPr="00644DC9">
        <w:rPr>
          <w:rFonts w:ascii="Arial" w:hAnsi="Arial" w:cs="Arial"/>
          <w:szCs w:val="20"/>
        </w:rPr>
        <w:t xml:space="preserve">Internet: ibac.vic.gov.au/contact-us </w:t>
      </w:r>
    </w:p>
    <w:p w:rsidR="003A6EBA" w:rsidRPr="00644DC9" w:rsidRDefault="003A6EBA" w:rsidP="003A6EBA">
      <w:pPr>
        <w:rPr>
          <w:rFonts w:ascii="Arial" w:hAnsi="Arial" w:cs="Arial"/>
          <w:szCs w:val="20"/>
        </w:rPr>
      </w:pPr>
      <w:r>
        <w:rPr>
          <w:rFonts w:ascii="Arial" w:hAnsi="Arial" w:cs="Arial"/>
          <w:szCs w:val="20"/>
        </w:rPr>
        <w:t>Online complaints form</w:t>
      </w:r>
      <w:r w:rsidRPr="00644DC9">
        <w:rPr>
          <w:rFonts w:ascii="Arial" w:hAnsi="Arial" w:cs="Arial"/>
          <w:szCs w:val="20"/>
        </w:rPr>
        <w:t>: ibac.vic.gov.au/report-corruption-or-misconduct/online-form</w:t>
      </w:r>
    </w:p>
    <w:p w:rsidR="00542016" w:rsidRPr="003A6EBA" w:rsidRDefault="00542016" w:rsidP="00542016">
      <w:pPr>
        <w:rPr>
          <w:rFonts w:ascii="Arial" w:hAnsi="Arial" w:cs="Arial"/>
          <w:iCs/>
          <w:szCs w:val="20"/>
        </w:rPr>
      </w:pPr>
    </w:p>
    <w:p w:rsidR="003A6EBA" w:rsidRDefault="003A6EBA" w:rsidP="00542016">
      <w:pPr>
        <w:rPr>
          <w:rFonts w:ascii="Arial" w:hAnsi="Arial" w:cs="Arial"/>
          <w:iCs/>
          <w:szCs w:val="20"/>
        </w:rPr>
      </w:pPr>
      <w:r>
        <w:rPr>
          <w:rFonts w:ascii="Arial" w:hAnsi="Arial" w:cs="Arial"/>
          <w:iCs/>
          <w:szCs w:val="20"/>
        </w:rPr>
        <w:t>Information about PTV’s policies and procedures in relation to protected disclosures is available from:</w:t>
      </w:r>
    </w:p>
    <w:p w:rsidR="003A6EBA" w:rsidRPr="003A6EBA" w:rsidRDefault="003A6EBA" w:rsidP="00542016">
      <w:pPr>
        <w:rPr>
          <w:rFonts w:ascii="Arial" w:hAnsi="Arial" w:cs="Arial"/>
          <w:iCs/>
          <w:szCs w:val="20"/>
        </w:rPr>
      </w:pPr>
    </w:p>
    <w:p w:rsidR="00542016" w:rsidRPr="00644DC9" w:rsidRDefault="00542016" w:rsidP="00542016">
      <w:pPr>
        <w:rPr>
          <w:rFonts w:ascii="Arial" w:hAnsi="Arial" w:cs="Arial"/>
          <w:szCs w:val="20"/>
        </w:rPr>
      </w:pPr>
      <w:r w:rsidRPr="00644DC9">
        <w:rPr>
          <w:rFonts w:ascii="Arial" w:hAnsi="Arial" w:cs="Arial"/>
          <w:szCs w:val="20"/>
        </w:rPr>
        <w:t>Guy Schuurman</w:t>
      </w:r>
    </w:p>
    <w:p w:rsidR="00542016" w:rsidRPr="00644DC9" w:rsidRDefault="00542016" w:rsidP="00542016">
      <w:pPr>
        <w:rPr>
          <w:rFonts w:ascii="Arial" w:hAnsi="Arial" w:cs="Arial"/>
          <w:iCs/>
          <w:szCs w:val="20"/>
        </w:rPr>
      </w:pPr>
      <w:r w:rsidRPr="00644DC9">
        <w:rPr>
          <w:rFonts w:ascii="Arial" w:hAnsi="Arial" w:cs="Arial"/>
          <w:iCs/>
          <w:szCs w:val="20"/>
        </w:rPr>
        <w:t>Protected Disclosure Coordinator</w:t>
      </w:r>
    </w:p>
    <w:p w:rsidR="00542016" w:rsidRPr="00644DC9" w:rsidRDefault="00542016" w:rsidP="00542016">
      <w:pPr>
        <w:rPr>
          <w:rFonts w:ascii="Arial" w:hAnsi="Arial" w:cs="Arial"/>
          <w:szCs w:val="20"/>
        </w:rPr>
      </w:pPr>
      <w:r w:rsidRPr="00644DC9">
        <w:rPr>
          <w:rFonts w:ascii="Arial" w:hAnsi="Arial" w:cs="Arial"/>
          <w:szCs w:val="20"/>
        </w:rPr>
        <w:t>Public Transport Victoria</w:t>
      </w:r>
    </w:p>
    <w:p w:rsidR="00542016" w:rsidRPr="00644DC9" w:rsidRDefault="00542016" w:rsidP="00542016">
      <w:pPr>
        <w:rPr>
          <w:rFonts w:ascii="Arial" w:hAnsi="Arial" w:cs="Arial"/>
          <w:szCs w:val="20"/>
        </w:rPr>
      </w:pPr>
      <w:r w:rsidRPr="00644DC9">
        <w:rPr>
          <w:rFonts w:ascii="Arial" w:hAnsi="Arial" w:cs="Arial"/>
          <w:szCs w:val="20"/>
        </w:rPr>
        <w:t>Phone: (03) 9027 4206</w:t>
      </w:r>
    </w:p>
    <w:p w:rsidR="00542016" w:rsidRPr="00644DC9" w:rsidRDefault="00542016" w:rsidP="00542016">
      <w:pPr>
        <w:rPr>
          <w:rFonts w:ascii="Arial" w:hAnsi="Arial" w:cs="Arial"/>
          <w:szCs w:val="20"/>
        </w:rPr>
      </w:pPr>
      <w:r w:rsidRPr="00644DC9">
        <w:rPr>
          <w:rFonts w:ascii="Arial" w:hAnsi="Arial" w:cs="Arial"/>
          <w:szCs w:val="20"/>
        </w:rPr>
        <w:t>Email: guy.schuurman@ptv.vic.gov.au</w:t>
      </w:r>
    </w:p>
    <w:p w:rsidR="00542016" w:rsidRPr="00644DC9" w:rsidRDefault="00542016" w:rsidP="00542016">
      <w:pPr>
        <w:rPr>
          <w:rFonts w:ascii="Arial" w:hAnsi="Arial" w:cs="Arial"/>
          <w:i/>
          <w:iCs/>
          <w:szCs w:val="20"/>
        </w:rPr>
      </w:pPr>
    </w:p>
    <w:p w:rsidR="00542016" w:rsidRPr="00644DC9" w:rsidRDefault="00542016" w:rsidP="00ED42C3">
      <w:pPr>
        <w:pStyle w:val="Heading20"/>
      </w:pPr>
      <w:r w:rsidRPr="00644DC9">
        <w:t>Further information</w:t>
      </w:r>
    </w:p>
    <w:p w:rsidR="00542016" w:rsidRPr="00644DC9" w:rsidRDefault="00542016" w:rsidP="00542016">
      <w:pPr>
        <w:rPr>
          <w:rFonts w:ascii="Arial" w:hAnsi="Arial" w:cs="Arial"/>
          <w:szCs w:val="20"/>
        </w:rPr>
      </w:pPr>
      <w:r w:rsidRPr="00644DC9">
        <w:rPr>
          <w:rFonts w:ascii="Arial" w:hAnsi="Arial" w:cs="Arial"/>
          <w:szCs w:val="20"/>
        </w:rPr>
        <w:t>Written guidelines outlining the system for reporting disclosures of improper conduct or detrimental action by PTV or its employees will be available on PTV’s website in accordance with section 59 of the Protected Disclosure Act. The current procedures relating to the Whistleblowers Protection Act are available upon request.</w:t>
      </w:r>
    </w:p>
    <w:p w:rsidR="00542016" w:rsidRPr="00644DC9" w:rsidRDefault="00542016" w:rsidP="00542016">
      <w:pPr>
        <w:rPr>
          <w:rFonts w:ascii="Arial" w:hAnsi="Arial" w:cs="Arial"/>
          <w:szCs w:val="20"/>
        </w:rPr>
        <w:sectPr w:rsidR="00542016" w:rsidRPr="00644DC9" w:rsidSect="008A185A">
          <w:pgSz w:w="11906" w:h="16838"/>
          <w:pgMar w:top="1440" w:right="1800" w:bottom="1440" w:left="1800" w:header="708" w:footer="708" w:gutter="0"/>
          <w:cols w:space="708"/>
          <w:docGrid w:linePitch="360"/>
        </w:sectPr>
      </w:pPr>
    </w:p>
    <w:p w:rsidR="00542016" w:rsidRPr="00A603A1" w:rsidRDefault="00542016" w:rsidP="00542016">
      <w:pPr>
        <w:rPr>
          <w:rFonts w:cs="Arial"/>
          <w:szCs w:val="20"/>
        </w:rPr>
      </w:pPr>
    </w:p>
    <w:p w:rsidR="00542016" w:rsidRPr="00950C60" w:rsidRDefault="00542016" w:rsidP="00ED42C3">
      <w:pPr>
        <w:pStyle w:val="Heading20"/>
      </w:pPr>
      <w:r w:rsidRPr="00950C60">
        <w:rPr>
          <w:iCs/>
        </w:rPr>
        <w:t xml:space="preserve">Disclosures under the </w:t>
      </w:r>
      <w:r w:rsidRPr="00950C60">
        <w:t>Whistleblowers Protection Act 2001 and Protected Disclosure Act 2012</w:t>
      </w:r>
    </w:p>
    <w:p w:rsidR="00542016" w:rsidRPr="00950C60" w:rsidRDefault="00542016" w:rsidP="00542016">
      <w:pPr>
        <w:rPr>
          <w:rFonts w:ascii="Arial" w:hAnsi="Arial" w:cs="Arial"/>
          <w:szCs w:val="20"/>
        </w:rPr>
      </w:pP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126"/>
        <w:gridCol w:w="4111"/>
        <w:gridCol w:w="3827"/>
      </w:tblGrid>
      <w:tr w:rsidR="00542016" w:rsidRPr="00950C60" w:rsidTr="000C6757">
        <w:tc>
          <w:tcPr>
            <w:tcW w:w="4678" w:type="dxa"/>
            <w:shd w:val="clear" w:color="auto" w:fill="auto"/>
          </w:tcPr>
          <w:p w:rsidR="00542016" w:rsidRPr="00950C60" w:rsidRDefault="00542016" w:rsidP="00950C60">
            <w:pPr>
              <w:pStyle w:val="Heading30"/>
            </w:pPr>
            <w:r w:rsidRPr="00950C60">
              <w:t>The number and types of disclosures made to public bodies during the year:</w:t>
            </w:r>
          </w:p>
        </w:tc>
        <w:tc>
          <w:tcPr>
            <w:tcW w:w="2126" w:type="dxa"/>
            <w:shd w:val="clear" w:color="auto" w:fill="auto"/>
          </w:tcPr>
          <w:p w:rsidR="00542016" w:rsidRPr="00950C60" w:rsidRDefault="00542016" w:rsidP="00950C60">
            <w:pPr>
              <w:pStyle w:val="Heading30"/>
              <w:rPr>
                <w:iCs/>
              </w:rPr>
            </w:pPr>
            <w:r w:rsidRPr="00950C60">
              <w:t xml:space="preserve">Protected Disclosure Act </w:t>
            </w:r>
          </w:p>
        </w:tc>
        <w:tc>
          <w:tcPr>
            <w:tcW w:w="4111" w:type="dxa"/>
          </w:tcPr>
          <w:p w:rsidR="00542016" w:rsidRPr="00950C60" w:rsidRDefault="00542016" w:rsidP="00950C60">
            <w:pPr>
              <w:pStyle w:val="Heading30"/>
              <w:rPr>
                <w:iCs/>
              </w:rPr>
            </w:pPr>
            <w:r w:rsidRPr="00950C60">
              <w:t>Whistleblowers Protection Act</w:t>
            </w:r>
          </w:p>
        </w:tc>
        <w:tc>
          <w:tcPr>
            <w:tcW w:w="3827" w:type="dxa"/>
          </w:tcPr>
          <w:p w:rsidR="00542016" w:rsidRPr="00950C60" w:rsidRDefault="00542016" w:rsidP="00950C60">
            <w:pPr>
              <w:pStyle w:val="Heading30"/>
              <w:rPr>
                <w:iCs/>
              </w:rPr>
            </w:pPr>
            <w:r w:rsidRPr="00950C60">
              <w:t>Whistleblowers Protection Act</w:t>
            </w:r>
          </w:p>
        </w:tc>
      </w:tr>
      <w:tr w:rsidR="00542016" w:rsidRPr="00950C60" w:rsidTr="000C6757">
        <w:tc>
          <w:tcPr>
            <w:tcW w:w="4678" w:type="dxa"/>
            <w:shd w:val="clear" w:color="auto" w:fill="auto"/>
          </w:tcPr>
          <w:p w:rsidR="00542016" w:rsidRPr="00950C60" w:rsidRDefault="00542016" w:rsidP="000C6757">
            <w:pPr>
              <w:rPr>
                <w:rFonts w:ascii="Arial" w:hAnsi="Arial" w:cs="Arial"/>
                <w:b/>
                <w:bCs/>
                <w:szCs w:val="20"/>
              </w:rPr>
            </w:pPr>
            <w:r w:rsidRPr="00950C60">
              <w:rPr>
                <w:rFonts w:ascii="Arial" w:hAnsi="Arial" w:cs="Arial"/>
                <w:b/>
                <w:bCs/>
                <w:szCs w:val="20"/>
              </w:rPr>
              <w:t>Reporting year:</w:t>
            </w:r>
          </w:p>
        </w:tc>
        <w:tc>
          <w:tcPr>
            <w:tcW w:w="2126" w:type="dxa"/>
            <w:shd w:val="clear" w:color="auto" w:fill="auto"/>
          </w:tcPr>
          <w:p w:rsidR="00542016" w:rsidRPr="00950C60" w:rsidRDefault="00542016" w:rsidP="000C6757">
            <w:pPr>
              <w:rPr>
                <w:rFonts w:ascii="Arial" w:hAnsi="Arial" w:cs="Arial"/>
                <w:b/>
                <w:iCs/>
                <w:szCs w:val="20"/>
              </w:rPr>
            </w:pPr>
            <w:r w:rsidRPr="00950C60">
              <w:rPr>
                <w:rFonts w:ascii="Arial" w:hAnsi="Arial" w:cs="Arial"/>
                <w:b/>
                <w:iCs/>
                <w:szCs w:val="20"/>
              </w:rPr>
              <w:t>2012-2013</w:t>
            </w:r>
          </w:p>
        </w:tc>
        <w:tc>
          <w:tcPr>
            <w:tcW w:w="4111" w:type="dxa"/>
          </w:tcPr>
          <w:p w:rsidR="00542016" w:rsidRPr="00950C60" w:rsidRDefault="00542016" w:rsidP="000C6757">
            <w:pPr>
              <w:rPr>
                <w:rFonts w:ascii="Arial" w:hAnsi="Arial" w:cs="Arial"/>
                <w:b/>
                <w:iCs/>
                <w:szCs w:val="20"/>
              </w:rPr>
            </w:pPr>
            <w:r w:rsidRPr="00950C60">
              <w:rPr>
                <w:rFonts w:ascii="Arial" w:hAnsi="Arial" w:cs="Arial"/>
                <w:b/>
                <w:iCs/>
                <w:szCs w:val="20"/>
              </w:rPr>
              <w:t>2012-2013</w:t>
            </w:r>
          </w:p>
        </w:tc>
        <w:tc>
          <w:tcPr>
            <w:tcW w:w="3827" w:type="dxa"/>
          </w:tcPr>
          <w:p w:rsidR="00542016" w:rsidRPr="00950C60" w:rsidRDefault="00542016" w:rsidP="000C6757">
            <w:pPr>
              <w:rPr>
                <w:rFonts w:ascii="Arial" w:hAnsi="Arial" w:cs="Arial"/>
                <w:b/>
                <w:iCs/>
                <w:szCs w:val="20"/>
              </w:rPr>
            </w:pPr>
            <w:r w:rsidRPr="00950C60">
              <w:rPr>
                <w:rFonts w:ascii="Arial" w:hAnsi="Arial" w:cs="Arial"/>
                <w:b/>
                <w:iCs/>
                <w:szCs w:val="20"/>
              </w:rPr>
              <w:t>2/4/2012-30/6/2012</w:t>
            </w:r>
          </w:p>
        </w:tc>
      </w:tr>
      <w:tr w:rsidR="00542016" w:rsidRPr="00950C60" w:rsidTr="000C6757">
        <w:tc>
          <w:tcPr>
            <w:tcW w:w="4678" w:type="dxa"/>
            <w:shd w:val="clear" w:color="auto" w:fill="auto"/>
          </w:tcPr>
          <w:p w:rsidR="00542016" w:rsidRPr="00950C60" w:rsidRDefault="00542016" w:rsidP="000C6757">
            <w:pPr>
              <w:rPr>
                <w:rFonts w:ascii="Arial" w:hAnsi="Arial" w:cs="Arial"/>
                <w:iCs/>
                <w:szCs w:val="20"/>
              </w:rPr>
            </w:pPr>
            <w:r w:rsidRPr="00950C60">
              <w:rPr>
                <w:rFonts w:ascii="Arial" w:hAnsi="Arial" w:cs="Arial"/>
                <w:szCs w:val="20"/>
              </w:rPr>
              <w:t>Public interest disclosures</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NA</w:t>
            </w:r>
          </w:p>
        </w:tc>
        <w:tc>
          <w:tcPr>
            <w:tcW w:w="4111" w:type="dxa"/>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0</w:t>
            </w:r>
          </w:p>
        </w:tc>
      </w:tr>
      <w:tr w:rsidR="00542016" w:rsidRPr="00950C60" w:rsidTr="000C6757">
        <w:tc>
          <w:tcPr>
            <w:tcW w:w="4678" w:type="dxa"/>
            <w:shd w:val="clear" w:color="auto" w:fill="auto"/>
          </w:tcPr>
          <w:p w:rsidR="00542016" w:rsidRPr="00950C60" w:rsidRDefault="00542016" w:rsidP="000C6757">
            <w:pPr>
              <w:rPr>
                <w:rFonts w:ascii="Arial" w:hAnsi="Arial" w:cs="Arial"/>
                <w:iCs/>
                <w:szCs w:val="20"/>
              </w:rPr>
            </w:pPr>
            <w:r w:rsidRPr="00950C60">
              <w:rPr>
                <w:rFonts w:ascii="Arial" w:hAnsi="Arial" w:cs="Arial"/>
                <w:szCs w:val="20"/>
              </w:rPr>
              <w:t>Protected disclosures</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4111" w:type="dxa"/>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0</w:t>
            </w:r>
          </w:p>
        </w:tc>
      </w:tr>
      <w:tr w:rsidR="00542016" w:rsidRPr="00950C60" w:rsidTr="000C6757">
        <w:tc>
          <w:tcPr>
            <w:tcW w:w="4678" w:type="dxa"/>
            <w:shd w:val="clear" w:color="auto" w:fill="auto"/>
          </w:tcPr>
          <w:p w:rsidR="00542016" w:rsidRPr="00950C60" w:rsidRDefault="00542016" w:rsidP="000C6757">
            <w:pPr>
              <w:rPr>
                <w:rFonts w:ascii="Arial" w:hAnsi="Arial" w:cs="Arial"/>
                <w:iCs/>
                <w:szCs w:val="20"/>
              </w:rPr>
            </w:pPr>
            <w:r w:rsidRPr="00950C60">
              <w:rPr>
                <w:rFonts w:ascii="Arial" w:hAnsi="Arial" w:cs="Arial"/>
                <w:szCs w:val="20"/>
              </w:rPr>
              <w:t>The number of disclosures referred during the year by PTV to the Ombudsman for determination as to whether they are public interest disclosures</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NA</w:t>
            </w:r>
          </w:p>
        </w:tc>
        <w:tc>
          <w:tcPr>
            <w:tcW w:w="4111" w:type="dxa"/>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0</w:t>
            </w:r>
          </w:p>
        </w:tc>
      </w:tr>
      <w:tr w:rsidR="00542016" w:rsidRPr="00950C60" w:rsidTr="000C6757">
        <w:tc>
          <w:tcPr>
            <w:tcW w:w="4678" w:type="dxa"/>
            <w:shd w:val="clear" w:color="auto" w:fill="auto"/>
          </w:tcPr>
          <w:p w:rsidR="00542016" w:rsidRPr="00950C60" w:rsidRDefault="00542016" w:rsidP="000C6757">
            <w:pPr>
              <w:rPr>
                <w:rFonts w:ascii="Arial" w:hAnsi="Arial" w:cs="Arial"/>
                <w:szCs w:val="20"/>
              </w:rPr>
            </w:pPr>
            <w:r w:rsidRPr="00950C60">
              <w:rPr>
                <w:rFonts w:ascii="Arial" w:hAnsi="Arial" w:cs="Arial"/>
                <w:szCs w:val="20"/>
              </w:rPr>
              <w:t>The number of disclosures PTV referred during the year to IBAC</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4111" w:type="dxa"/>
          </w:tcPr>
          <w:p w:rsidR="00542016" w:rsidRPr="00950C60" w:rsidRDefault="00542016" w:rsidP="000C6757">
            <w:pPr>
              <w:rPr>
                <w:rFonts w:ascii="Arial" w:hAnsi="Arial" w:cs="Arial"/>
                <w:iCs/>
                <w:szCs w:val="20"/>
              </w:rPr>
            </w:pPr>
            <w:r w:rsidRPr="00950C60">
              <w:rPr>
                <w:rFonts w:ascii="Arial" w:hAnsi="Arial" w:cs="Arial"/>
                <w:iCs/>
                <w:szCs w:val="20"/>
              </w:rPr>
              <w:t>NA</w:t>
            </w: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NA</w:t>
            </w:r>
          </w:p>
        </w:tc>
      </w:tr>
      <w:tr w:rsidR="00542016" w:rsidRPr="00950C60" w:rsidTr="000C6757">
        <w:tc>
          <w:tcPr>
            <w:tcW w:w="4678" w:type="dxa"/>
            <w:shd w:val="clear" w:color="auto" w:fill="auto"/>
          </w:tcPr>
          <w:p w:rsidR="00542016" w:rsidRPr="00950C60" w:rsidRDefault="00542016" w:rsidP="000C6757">
            <w:pPr>
              <w:rPr>
                <w:rFonts w:ascii="Arial" w:hAnsi="Arial" w:cs="Arial"/>
                <w:iCs/>
                <w:szCs w:val="20"/>
              </w:rPr>
            </w:pPr>
            <w:r w:rsidRPr="00950C60">
              <w:rPr>
                <w:rFonts w:ascii="Arial" w:hAnsi="Arial" w:cs="Arial"/>
                <w:szCs w:val="20"/>
              </w:rPr>
              <w:t>The number and types of disclosed matters referred to PTV by the Ombudsman for investigation</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NA</w:t>
            </w:r>
          </w:p>
        </w:tc>
        <w:tc>
          <w:tcPr>
            <w:tcW w:w="4111" w:type="dxa"/>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0</w:t>
            </w:r>
          </w:p>
        </w:tc>
      </w:tr>
      <w:tr w:rsidR="00542016" w:rsidRPr="00950C60" w:rsidTr="000C6757">
        <w:tc>
          <w:tcPr>
            <w:tcW w:w="4678" w:type="dxa"/>
            <w:shd w:val="clear" w:color="auto" w:fill="auto"/>
          </w:tcPr>
          <w:p w:rsidR="00542016" w:rsidRPr="00950C60" w:rsidRDefault="00542016" w:rsidP="000C6757">
            <w:pPr>
              <w:rPr>
                <w:rFonts w:ascii="Arial" w:hAnsi="Arial" w:cs="Arial"/>
                <w:szCs w:val="20"/>
              </w:rPr>
            </w:pPr>
            <w:r w:rsidRPr="00950C60">
              <w:rPr>
                <w:rFonts w:ascii="Arial" w:hAnsi="Arial" w:cs="Arial"/>
                <w:szCs w:val="20"/>
              </w:rPr>
              <w:t>The number and types of investigations taken over from the public body by the</w:t>
            </w:r>
          </w:p>
          <w:p w:rsidR="00542016" w:rsidRPr="00950C60" w:rsidRDefault="00542016" w:rsidP="000C6757">
            <w:pPr>
              <w:rPr>
                <w:rFonts w:ascii="Arial" w:hAnsi="Arial" w:cs="Arial"/>
                <w:szCs w:val="20"/>
              </w:rPr>
            </w:pPr>
            <w:r w:rsidRPr="00950C60">
              <w:rPr>
                <w:rFonts w:ascii="Arial" w:hAnsi="Arial" w:cs="Arial"/>
                <w:szCs w:val="20"/>
              </w:rPr>
              <w:t>Ombudsman</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4111" w:type="dxa"/>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0</w:t>
            </w:r>
          </w:p>
        </w:tc>
      </w:tr>
      <w:tr w:rsidR="00542016" w:rsidRPr="00950C60" w:rsidTr="000C6757">
        <w:tc>
          <w:tcPr>
            <w:tcW w:w="4678" w:type="dxa"/>
            <w:shd w:val="clear" w:color="auto" w:fill="auto"/>
          </w:tcPr>
          <w:p w:rsidR="00542016" w:rsidRPr="00950C60" w:rsidRDefault="00542016" w:rsidP="000C6757">
            <w:pPr>
              <w:rPr>
                <w:rFonts w:ascii="Arial" w:hAnsi="Arial" w:cs="Arial"/>
                <w:szCs w:val="20"/>
              </w:rPr>
            </w:pPr>
            <w:r w:rsidRPr="00950C60">
              <w:rPr>
                <w:rFonts w:ascii="Arial" w:hAnsi="Arial" w:cs="Arial"/>
                <w:szCs w:val="20"/>
              </w:rPr>
              <w:t>The number of requests made by a whistleblower to the Ombudsman to take over an investigation by PTV</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4111" w:type="dxa"/>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0</w:t>
            </w:r>
          </w:p>
        </w:tc>
      </w:tr>
      <w:tr w:rsidR="00542016" w:rsidRPr="00950C60" w:rsidTr="000C6757">
        <w:tc>
          <w:tcPr>
            <w:tcW w:w="4678" w:type="dxa"/>
            <w:shd w:val="clear" w:color="auto" w:fill="auto"/>
          </w:tcPr>
          <w:p w:rsidR="00542016" w:rsidRPr="00950C60" w:rsidRDefault="00542016" w:rsidP="000C6757">
            <w:pPr>
              <w:rPr>
                <w:rFonts w:ascii="Arial" w:hAnsi="Arial" w:cs="Arial"/>
                <w:szCs w:val="20"/>
              </w:rPr>
            </w:pPr>
            <w:r w:rsidRPr="00950C60">
              <w:rPr>
                <w:rFonts w:ascii="Arial" w:hAnsi="Arial" w:cs="Arial"/>
                <w:szCs w:val="20"/>
              </w:rPr>
              <w:t>The number and types of disclosed matters that PTV has declined to investigate</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4111" w:type="dxa"/>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0</w:t>
            </w:r>
          </w:p>
        </w:tc>
      </w:tr>
      <w:tr w:rsidR="00542016" w:rsidRPr="00950C60" w:rsidTr="000C6757">
        <w:tc>
          <w:tcPr>
            <w:tcW w:w="4678" w:type="dxa"/>
            <w:shd w:val="clear" w:color="auto" w:fill="auto"/>
          </w:tcPr>
          <w:p w:rsidR="00542016" w:rsidRPr="00950C60" w:rsidRDefault="00542016" w:rsidP="000C6757">
            <w:pPr>
              <w:rPr>
                <w:rFonts w:ascii="Arial" w:hAnsi="Arial" w:cs="Arial"/>
                <w:szCs w:val="20"/>
              </w:rPr>
            </w:pPr>
            <w:r w:rsidRPr="00950C60">
              <w:rPr>
                <w:rFonts w:ascii="Arial" w:hAnsi="Arial" w:cs="Arial"/>
                <w:szCs w:val="20"/>
              </w:rPr>
              <w:t>The number and types of disclosed matters that were substantiated upon investigation</w:t>
            </w:r>
          </w:p>
          <w:p w:rsidR="00542016" w:rsidRPr="00950C60" w:rsidRDefault="00542016" w:rsidP="000C6757">
            <w:pPr>
              <w:rPr>
                <w:rFonts w:ascii="Arial" w:hAnsi="Arial" w:cs="Arial"/>
                <w:szCs w:val="20"/>
              </w:rPr>
            </w:pPr>
            <w:r w:rsidRPr="00950C60">
              <w:rPr>
                <w:rFonts w:ascii="Arial" w:hAnsi="Arial" w:cs="Arial"/>
                <w:szCs w:val="20"/>
              </w:rPr>
              <w:t>and action taken on completion of the investigation</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0</w:t>
            </w:r>
          </w:p>
        </w:tc>
        <w:tc>
          <w:tcPr>
            <w:tcW w:w="4111" w:type="dxa"/>
          </w:tcPr>
          <w:p w:rsidR="00542016" w:rsidRPr="00950C60" w:rsidRDefault="00542016" w:rsidP="000C6757">
            <w:pPr>
              <w:rPr>
                <w:rFonts w:ascii="Arial" w:hAnsi="Arial" w:cs="Arial"/>
                <w:szCs w:val="20"/>
              </w:rPr>
            </w:pPr>
            <w:r w:rsidRPr="00950C60">
              <w:rPr>
                <w:rFonts w:ascii="Arial" w:hAnsi="Arial" w:cs="Arial"/>
                <w:szCs w:val="20"/>
              </w:rPr>
              <w:t>Please see immediately below.</w:t>
            </w:r>
          </w:p>
          <w:p w:rsidR="00542016" w:rsidRPr="00950C60" w:rsidRDefault="00542016" w:rsidP="000C6757">
            <w:pPr>
              <w:rPr>
                <w:rFonts w:ascii="Arial" w:hAnsi="Arial" w:cs="Arial"/>
                <w:iCs/>
                <w:szCs w:val="20"/>
              </w:rPr>
            </w:pP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0</w:t>
            </w:r>
          </w:p>
        </w:tc>
      </w:tr>
      <w:tr w:rsidR="00542016" w:rsidRPr="00950C60" w:rsidTr="000C6757">
        <w:tc>
          <w:tcPr>
            <w:tcW w:w="4678" w:type="dxa"/>
            <w:shd w:val="clear" w:color="auto" w:fill="auto"/>
          </w:tcPr>
          <w:p w:rsidR="00542016" w:rsidRPr="00950C60" w:rsidRDefault="00542016" w:rsidP="000C6757">
            <w:pPr>
              <w:rPr>
                <w:rFonts w:ascii="Arial" w:hAnsi="Arial" w:cs="Arial"/>
                <w:szCs w:val="20"/>
              </w:rPr>
            </w:pPr>
            <w:r w:rsidRPr="00950C60">
              <w:rPr>
                <w:rFonts w:ascii="Arial" w:hAnsi="Arial" w:cs="Arial"/>
                <w:szCs w:val="20"/>
              </w:rPr>
              <w:t>Any recommendations made by the Ombudsman that relate to PTV</w:t>
            </w:r>
          </w:p>
        </w:tc>
        <w:tc>
          <w:tcPr>
            <w:tcW w:w="2126" w:type="dxa"/>
            <w:shd w:val="clear" w:color="auto" w:fill="auto"/>
          </w:tcPr>
          <w:p w:rsidR="00542016" w:rsidRPr="00950C60" w:rsidRDefault="00542016" w:rsidP="000C6757">
            <w:pPr>
              <w:rPr>
                <w:rFonts w:ascii="Arial" w:hAnsi="Arial" w:cs="Arial"/>
                <w:iCs/>
                <w:szCs w:val="20"/>
              </w:rPr>
            </w:pPr>
            <w:r w:rsidRPr="00950C60">
              <w:rPr>
                <w:rFonts w:ascii="Arial" w:hAnsi="Arial" w:cs="Arial"/>
                <w:iCs/>
                <w:szCs w:val="20"/>
              </w:rPr>
              <w:t>NA</w:t>
            </w:r>
          </w:p>
        </w:tc>
        <w:tc>
          <w:tcPr>
            <w:tcW w:w="4111" w:type="dxa"/>
          </w:tcPr>
          <w:p w:rsidR="00542016" w:rsidRPr="00950C60" w:rsidRDefault="00542016" w:rsidP="000C6757">
            <w:pPr>
              <w:rPr>
                <w:rFonts w:ascii="Arial" w:hAnsi="Arial" w:cs="Arial"/>
                <w:szCs w:val="20"/>
              </w:rPr>
            </w:pPr>
            <w:r w:rsidRPr="00950C60">
              <w:rPr>
                <w:rFonts w:ascii="Arial" w:hAnsi="Arial" w:cs="Arial"/>
                <w:szCs w:val="20"/>
              </w:rPr>
              <w:t>The Ombudsman made a number of recommendations in a report titled ‘Investigations into allegations concerning rail safety in the Melbourne Underground Loop’ in October 2012 that were directed to PTV. PTV has provided a response to the Ombudsman in respect of these recommendations as set out in the Ombudsman’s report.</w:t>
            </w:r>
          </w:p>
          <w:p w:rsidR="00542016" w:rsidRPr="00950C60" w:rsidRDefault="00542016" w:rsidP="000C6757">
            <w:pPr>
              <w:rPr>
                <w:rFonts w:ascii="Arial" w:hAnsi="Arial" w:cs="Arial"/>
                <w:iCs/>
                <w:szCs w:val="20"/>
              </w:rPr>
            </w:pPr>
          </w:p>
        </w:tc>
        <w:tc>
          <w:tcPr>
            <w:tcW w:w="3827" w:type="dxa"/>
          </w:tcPr>
          <w:p w:rsidR="00542016" w:rsidRPr="00950C60" w:rsidRDefault="00542016" w:rsidP="000C6757">
            <w:pPr>
              <w:rPr>
                <w:rFonts w:ascii="Arial" w:hAnsi="Arial" w:cs="Arial"/>
                <w:iCs/>
                <w:szCs w:val="20"/>
              </w:rPr>
            </w:pPr>
            <w:r w:rsidRPr="00950C60">
              <w:rPr>
                <w:rFonts w:ascii="Arial" w:hAnsi="Arial" w:cs="Arial"/>
                <w:iCs/>
                <w:szCs w:val="20"/>
              </w:rPr>
              <w:t>NA</w:t>
            </w:r>
          </w:p>
        </w:tc>
      </w:tr>
    </w:tbl>
    <w:p w:rsidR="00542016" w:rsidRPr="00950C60" w:rsidRDefault="00542016" w:rsidP="00542016">
      <w:pPr>
        <w:rPr>
          <w:rFonts w:ascii="Arial" w:hAnsi="Arial" w:cs="Arial"/>
          <w:i/>
          <w:iCs/>
          <w:szCs w:val="20"/>
        </w:rPr>
      </w:pPr>
    </w:p>
    <w:p w:rsidR="00542016" w:rsidRPr="00950C60" w:rsidRDefault="00542016" w:rsidP="00542016">
      <w:pPr>
        <w:rPr>
          <w:rFonts w:ascii="Arial" w:hAnsi="Arial" w:cs="Arial"/>
          <w:i/>
          <w:iCs/>
          <w:szCs w:val="20"/>
        </w:rPr>
      </w:pPr>
    </w:p>
    <w:p w:rsidR="00542016" w:rsidRPr="00950C60" w:rsidRDefault="00542016" w:rsidP="00542016">
      <w:pPr>
        <w:rPr>
          <w:rFonts w:ascii="Arial" w:hAnsi="Arial" w:cs="Arial"/>
          <w:i/>
          <w:iCs/>
          <w:szCs w:val="20"/>
        </w:rPr>
        <w:sectPr w:rsidR="00542016" w:rsidRPr="00950C60" w:rsidSect="000C6757">
          <w:pgSz w:w="16838" w:h="11906" w:orient="landscape"/>
          <w:pgMar w:top="1800" w:right="1440" w:bottom="1800" w:left="1440" w:header="708" w:footer="708" w:gutter="0"/>
          <w:cols w:space="708"/>
          <w:docGrid w:linePitch="360"/>
        </w:sectPr>
      </w:pPr>
    </w:p>
    <w:p w:rsidR="00542016" w:rsidRDefault="00542016" w:rsidP="00542016">
      <w:pPr>
        <w:rPr>
          <w:rFonts w:cs="Arial"/>
          <w:i/>
          <w:iCs/>
          <w:szCs w:val="20"/>
        </w:rPr>
      </w:pPr>
    </w:p>
    <w:p w:rsidR="00542016" w:rsidRDefault="00542016" w:rsidP="00A73F5E">
      <w:pPr>
        <w:pStyle w:val="Heading10"/>
        <w:outlineLvl w:val="0"/>
      </w:pPr>
      <w:bookmarkStart w:id="309" w:name="_Toc365383089"/>
      <w:bookmarkStart w:id="310" w:name="_Toc366672119"/>
      <w:r>
        <w:t>Freedom of Information Summary</w:t>
      </w:r>
      <w:bookmarkEnd w:id="309"/>
      <w:bookmarkEnd w:id="310"/>
    </w:p>
    <w:p w:rsidR="00542016" w:rsidRPr="006F4151" w:rsidRDefault="00542016" w:rsidP="00542016">
      <w:pPr>
        <w:rPr>
          <w:rFonts w:ascii="Arial" w:hAnsi="Arial" w:cs="Arial"/>
        </w:rPr>
      </w:pPr>
    </w:p>
    <w:p w:rsidR="00542016" w:rsidRPr="006F4151" w:rsidRDefault="00542016" w:rsidP="00542016">
      <w:pPr>
        <w:rPr>
          <w:rFonts w:ascii="Arial" w:hAnsi="Arial" w:cs="Arial"/>
        </w:rPr>
      </w:pPr>
      <w:r w:rsidRPr="006F4151">
        <w:rPr>
          <w:rFonts w:ascii="Arial" w:hAnsi="Arial" w:cs="Arial"/>
        </w:rPr>
        <w:t xml:space="preserve">The </w:t>
      </w:r>
      <w:r w:rsidRPr="006F4151">
        <w:rPr>
          <w:rFonts w:ascii="Arial" w:hAnsi="Arial" w:cs="Arial"/>
          <w:i/>
          <w:iCs/>
        </w:rPr>
        <w:t>Freedom of Information Act 1982</w:t>
      </w:r>
      <w:r w:rsidRPr="006F4151">
        <w:rPr>
          <w:rFonts w:ascii="Arial" w:hAnsi="Arial" w:cs="Arial"/>
        </w:rPr>
        <w:t xml:space="preserve"> allows the public a right of access to documents held by government departments and agencies.</w:t>
      </w:r>
    </w:p>
    <w:p w:rsidR="00542016" w:rsidRPr="006F4151" w:rsidRDefault="00542016" w:rsidP="00542016">
      <w:pPr>
        <w:rPr>
          <w:rFonts w:ascii="Arial" w:hAnsi="Arial" w:cs="Arial"/>
        </w:rPr>
      </w:pPr>
    </w:p>
    <w:p w:rsidR="00542016" w:rsidRPr="006F4151" w:rsidRDefault="00542016" w:rsidP="00542016">
      <w:pPr>
        <w:rPr>
          <w:rFonts w:ascii="Arial" w:hAnsi="Arial" w:cs="Arial"/>
        </w:rPr>
      </w:pPr>
      <w:r w:rsidRPr="006F4151">
        <w:rPr>
          <w:rFonts w:ascii="Arial" w:hAnsi="Arial" w:cs="Arial"/>
        </w:rPr>
        <w:t>There was one compla</w:t>
      </w:r>
      <w:r>
        <w:rPr>
          <w:rFonts w:ascii="Arial" w:hAnsi="Arial" w:cs="Arial"/>
        </w:rPr>
        <w:t>i</w:t>
      </w:r>
      <w:r w:rsidRPr="006F4151">
        <w:rPr>
          <w:rFonts w:ascii="Arial" w:hAnsi="Arial" w:cs="Arial"/>
        </w:rPr>
        <w:t>nt made to the Freedom of Information Commissioner about processing FOI requests and this was resolved informally with the applicant.</w:t>
      </w:r>
    </w:p>
    <w:p w:rsidR="00950C60" w:rsidRDefault="00950C60" w:rsidP="00950C60">
      <w:pPr>
        <w:pStyle w:val="Heading30"/>
      </w:pPr>
    </w:p>
    <w:p w:rsidR="00542016" w:rsidRPr="006F4151" w:rsidRDefault="00542016" w:rsidP="00ED42C3">
      <w:pPr>
        <w:pStyle w:val="Heading20"/>
      </w:pPr>
      <w:r w:rsidRPr="006F4151">
        <w:t>Making a request</w:t>
      </w:r>
    </w:p>
    <w:p w:rsidR="00542016" w:rsidRPr="006F4151" w:rsidRDefault="00542016" w:rsidP="00542016">
      <w:pPr>
        <w:rPr>
          <w:rFonts w:ascii="Arial" w:hAnsi="Arial" w:cs="Arial"/>
        </w:rPr>
      </w:pPr>
      <w:r w:rsidRPr="006F4151">
        <w:rPr>
          <w:rFonts w:ascii="Arial" w:hAnsi="Arial" w:cs="Arial"/>
        </w:rPr>
        <w:t>Access to documents may be obtained through written request to the Freedom of Information Manager, as detailed in s</w:t>
      </w:r>
      <w:r>
        <w:rPr>
          <w:rFonts w:ascii="Arial" w:hAnsi="Arial" w:cs="Arial"/>
        </w:rPr>
        <w:t xml:space="preserve">ection </w:t>
      </w:r>
      <w:r w:rsidRPr="006F4151">
        <w:rPr>
          <w:rFonts w:ascii="Arial" w:hAnsi="Arial" w:cs="Arial"/>
        </w:rPr>
        <w:t xml:space="preserve">17 of the </w:t>
      </w:r>
      <w:r w:rsidRPr="006F4151">
        <w:rPr>
          <w:rFonts w:ascii="Arial" w:hAnsi="Arial" w:cs="Arial"/>
          <w:i/>
          <w:iCs/>
        </w:rPr>
        <w:t>Freedom of Information Act 1982.</w:t>
      </w:r>
      <w:r w:rsidRPr="006F4151">
        <w:rPr>
          <w:rFonts w:ascii="Arial" w:hAnsi="Arial" w:cs="Arial"/>
        </w:rPr>
        <w:t xml:space="preserve"> In summary, the requirements for making a request are:</w:t>
      </w:r>
    </w:p>
    <w:p w:rsidR="00542016" w:rsidRPr="006F4151" w:rsidRDefault="00542016" w:rsidP="00542016">
      <w:pPr>
        <w:pStyle w:val="Bullet"/>
        <w:rPr>
          <w:rFonts w:ascii="Arial" w:hAnsi="Arial" w:cs="Arial"/>
          <w:sz w:val="24"/>
          <w:szCs w:val="24"/>
        </w:rPr>
      </w:pPr>
      <w:r w:rsidRPr="006F4151">
        <w:rPr>
          <w:rFonts w:ascii="Arial" w:hAnsi="Arial" w:cs="Arial"/>
          <w:sz w:val="24"/>
          <w:szCs w:val="24"/>
        </w:rPr>
        <w:t>it should be in writing;</w:t>
      </w:r>
    </w:p>
    <w:p w:rsidR="00542016" w:rsidRPr="006F4151" w:rsidRDefault="00542016" w:rsidP="00542016">
      <w:pPr>
        <w:pStyle w:val="Bullet"/>
        <w:rPr>
          <w:rFonts w:ascii="Arial" w:hAnsi="Arial" w:cs="Arial"/>
          <w:sz w:val="24"/>
          <w:szCs w:val="24"/>
        </w:rPr>
      </w:pPr>
      <w:r w:rsidRPr="006F4151">
        <w:rPr>
          <w:rFonts w:ascii="Arial" w:hAnsi="Arial" w:cs="Arial"/>
          <w:sz w:val="24"/>
          <w:szCs w:val="24"/>
        </w:rPr>
        <w:t>it should identify as clearly as possible which document is being requested; and</w:t>
      </w:r>
    </w:p>
    <w:p w:rsidR="00542016" w:rsidRPr="006F4151" w:rsidRDefault="00542016" w:rsidP="00542016">
      <w:pPr>
        <w:pStyle w:val="Bullet"/>
        <w:rPr>
          <w:rFonts w:ascii="Arial" w:hAnsi="Arial" w:cs="Arial"/>
          <w:sz w:val="24"/>
          <w:szCs w:val="24"/>
        </w:rPr>
      </w:pPr>
      <w:r w:rsidRPr="006F4151">
        <w:rPr>
          <w:rFonts w:ascii="Arial" w:hAnsi="Arial" w:cs="Arial"/>
          <w:sz w:val="24"/>
          <w:szCs w:val="24"/>
        </w:rPr>
        <w:t>it should be accompanied by the appropriate application fee (the fee may be waived in certain circumstances).</w:t>
      </w:r>
    </w:p>
    <w:p w:rsidR="00542016" w:rsidRPr="006F4151" w:rsidRDefault="00542016" w:rsidP="00542016">
      <w:pPr>
        <w:rPr>
          <w:rFonts w:ascii="Arial" w:hAnsi="Arial" w:cs="Arial"/>
        </w:rPr>
      </w:pPr>
    </w:p>
    <w:p w:rsidR="00542016" w:rsidRPr="006F4151" w:rsidRDefault="00542016" w:rsidP="00542016">
      <w:pPr>
        <w:rPr>
          <w:rFonts w:ascii="Arial" w:hAnsi="Arial" w:cs="Arial"/>
        </w:rPr>
      </w:pPr>
      <w:r w:rsidRPr="006F4151">
        <w:rPr>
          <w:rFonts w:ascii="Arial" w:hAnsi="Arial" w:cs="Arial"/>
        </w:rPr>
        <w:t>Requests for documents in the possession of PTV should be addressed to:</w:t>
      </w:r>
    </w:p>
    <w:p w:rsidR="00542016" w:rsidRPr="006F4151" w:rsidRDefault="00542016" w:rsidP="00542016">
      <w:pPr>
        <w:rPr>
          <w:rFonts w:ascii="Arial" w:hAnsi="Arial" w:cs="Arial"/>
        </w:rPr>
      </w:pPr>
    </w:p>
    <w:p w:rsidR="00542016" w:rsidRPr="006F4151" w:rsidRDefault="00542016" w:rsidP="00542016">
      <w:pPr>
        <w:autoSpaceDE w:val="0"/>
        <w:autoSpaceDN w:val="0"/>
        <w:adjustRightInd w:val="0"/>
        <w:ind w:left="15"/>
        <w:rPr>
          <w:rFonts w:ascii="Arial" w:hAnsi="Arial" w:cs="Arial"/>
        </w:rPr>
      </w:pPr>
      <w:r w:rsidRPr="006F4151">
        <w:rPr>
          <w:rFonts w:ascii="Arial" w:hAnsi="Arial" w:cs="Arial"/>
        </w:rPr>
        <w:t>Freedom of Information Manager</w:t>
      </w:r>
      <w:r w:rsidRPr="006F4151">
        <w:rPr>
          <w:rFonts w:ascii="Arial" w:hAnsi="Arial" w:cs="Arial"/>
        </w:rPr>
        <w:br/>
        <w:t>Public Transport Victoria</w:t>
      </w:r>
    </w:p>
    <w:p w:rsidR="00542016" w:rsidRPr="006F4151" w:rsidRDefault="00542016" w:rsidP="00542016">
      <w:pPr>
        <w:rPr>
          <w:rFonts w:ascii="Arial" w:hAnsi="Arial" w:cs="Arial"/>
        </w:rPr>
      </w:pPr>
      <w:r w:rsidRPr="006F4151">
        <w:rPr>
          <w:rFonts w:ascii="Arial" w:hAnsi="Arial" w:cs="Arial"/>
        </w:rPr>
        <w:t xml:space="preserve">PO Box 4724 </w:t>
      </w:r>
    </w:p>
    <w:p w:rsidR="00542016" w:rsidRPr="006F4151" w:rsidRDefault="00542016" w:rsidP="00542016">
      <w:pPr>
        <w:rPr>
          <w:rFonts w:ascii="Arial" w:hAnsi="Arial" w:cs="Arial"/>
        </w:rPr>
      </w:pPr>
      <w:r w:rsidRPr="006F4151">
        <w:rPr>
          <w:rFonts w:ascii="Arial" w:hAnsi="Arial" w:cs="Arial"/>
        </w:rPr>
        <w:t>Melbourne Victoria 3001</w:t>
      </w:r>
    </w:p>
    <w:p w:rsidR="00542016" w:rsidRPr="006F4151" w:rsidRDefault="00542016" w:rsidP="00542016">
      <w:pPr>
        <w:rPr>
          <w:rFonts w:ascii="Arial" w:hAnsi="Arial" w:cs="Arial"/>
        </w:rPr>
      </w:pPr>
      <w:r w:rsidRPr="006F4151">
        <w:rPr>
          <w:rFonts w:ascii="Arial" w:hAnsi="Arial" w:cs="Arial"/>
        </w:rPr>
        <w:t>Email: ptvfoi@ptv.vic.gov.au</w:t>
      </w:r>
    </w:p>
    <w:p w:rsidR="00542016" w:rsidRPr="006F4151" w:rsidRDefault="00542016" w:rsidP="00542016">
      <w:pPr>
        <w:rPr>
          <w:rFonts w:ascii="Arial" w:hAnsi="Arial" w:cs="Arial"/>
        </w:rPr>
      </w:pPr>
    </w:p>
    <w:p w:rsidR="00542016" w:rsidRPr="006F4151" w:rsidRDefault="00542016" w:rsidP="00542016">
      <w:pPr>
        <w:rPr>
          <w:rFonts w:ascii="Arial" w:hAnsi="Arial" w:cs="Arial"/>
        </w:rPr>
      </w:pPr>
      <w:r w:rsidRPr="006F4151">
        <w:rPr>
          <w:rFonts w:ascii="Arial" w:hAnsi="Arial" w:cs="Arial"/>
        </w:rPr>
        <w:t xml:space="preserve">Requests can also be lodged online through Freedom of Information Online at </w:t>
      </w:r>
      <w:r w:rsidRPr="006F4151">
        <w:rPr>
          <w:rStyle w:val="Hyperlink"/>
          <w:rFonts w:ascii="Arial" w:hAnsi="Arial" w:cs="Arial"/>
        </w:rPr>
        <w:t>foi.vic.gov.au</w:t>
      </w:r>
      <w:r>
        <w:rPr>
          <w:rStyle w:val="Hyperlink"/>
          <w:rFonts w:ascii="Arial" w:hAnsi="Arial" w:cs="Arial"/>
        </w:rPr>
        <w:t>.</w:t>
      </w:r>
    </w:p>
    <w:p w:rsidR="00542016" w:rsidRPr="006F4151" w:rsidRDefault="00542016" w:rsidP="00542016">
      <w:pPr>
        <w:rPr>
          <w:rFonts w:ascii="Arial" w:hAnsi="Arial" w:cs="Arial"/>
        </w:rPr>
      </w:pPr>
    </w:p>
    <w:p w:rsidR="00542016" w:rsidRDefault="00542016" w:rsidP="00542016">
      <w:pPr>
        <w:rPr>
          <w:rFonts w:ascii="Arial" w:hAnsi="Arial" w:cs="Arial"/>
        </w:rPr>
      </w:pPr>
      <w:r>
        <w:rPr>
          <w:rFonts w:ascii="Arial" w:hAnsi="Arial" w:cs="Arial"/>
        </w:rPr>
        <w:br w:type="page"/>
      </w:r>
    </w:p>
    <w:p w:rsidR="00542016" w:rsidRPr="00950C60" w:rsidRDefault="00542016" w:rsidP="00ED42C3">
      <w:pPr>
        <w:pStyle w:val="Heading20"/>
        <w:rPr>
          <w:lang w:val="en-GB"/>
        </w:rPr>
      </w:pPr>
      <w:r w:rsidRPr="00950C60">
        <w:rPr>
          <w:lang w:val="en-GB"/>
        </w:rPr>
        <w:t>Freedom of Information Activity during 2012-13</w:t>
      </w:r>
    </w:p>
    <w:p w:rsidR="00542016" w:rsidRPr="00950C60" w:rsidRDefault="00542016" w:rsidP="00542016">
      <w:pPr>
        <w:rPr>
          <w:rFonts w:ascii="Arial" w:hAnsi="Arial" w:cs="Arial"/>
          <w:b/>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445"/>
        <w:gridCol w:w="2693"/>
        <w:gridCol w:w="454"/>
        <w:gridCol w:w="1992"/>
        <w:gridCol w:w="899"/>
      </w:tblGrid>
      <w:tr w:rsidR="00542016" w:rsidRPr="00950C60" w:rsidTr="00AD22A8">
        <w:tc>
          <w:tcPr>
            <w:tcW w:w="2493" w:type="dxa"/>
            <w:shd w:val="clear" w:color="auto" w:fill="auto"/>
          </w:tcPr>
          <w:p w:rsidR="00542016" w:rsidRPr="00AD22A8" w:rsidRDefault="00542016" w:rsidP="000C6757">
            <w:pPr>
              <w:rPr>
                <w:rFonts w:ascii="Arial" w:eastAsia="Calibri" w:hAnsi="Arial" w:cs="Arial"/>
                <w:b/>
                <w:bCs/>
                <w:sz w:val="20"/>
                <w:szCs w:val="20"/>
                <w:lang w:val="en-GB" w:eastAsia="en-US"/>
              </w:rPr>
            </w:pPr>
            <w:r w:rsidRPr="00AD22A8">
              <w:rPr>
                <w:rFonts w:ascii="Arial" w:eastAsia="Calibri" w:hAnsi="Arial" w:cs="Arial"/>
                <w:b/>
                <w:bCs/>
                <w:szCs w:val="20"/>
                <w:lang w:val="en-GB" w:eastAsia="en-US"/>
              </w:rPr>
              <w:t>REQUEST RECEIVED</w:t>
            </w:r>
          </w:p>
        </w:tc>
        <w:tc>
          <w:tcPr>
            <w:tcW w:w="450" w:type="dxa"/>
            <w:shd w:val="clear" w:color="auto" w:fill="auto"/>
          </w:tcPr>
          <w:p w:rsidR="00542016" w:rsidRPr="00AD22A8" w:rsidRDefault="00542016" w:rsidP="000C6757">
            <w:pPr>
              <w:rPr>
                <w:rFonts w:ascii="Arial" w:eastAsia="Calibri" w:hAnsi="Arial" w:cs="Arial"/>
                <w:b/>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
                <w:bCs/>
                <w:sz w:val="20"/>
                <w:szCs w:val="20"/>
                <w:lang w:val="en-GB" w:eastAsia="en-US"/>
              </w:rPr>
            </w:pPr>
            <w:r w:rsidRPr="00AD22A8">
              <w:rPr>
                <w:rFonts w:ascii="Arial" w:eastAsia="Calibri" w:hAnsi="Arial" w:cs="Arial"/>
                <w:b/>
                <w:bCs/>
                <w:szCs w:val="20"/>
                <w:lang w:val="en-GB" w:eastAsia="en-US"/>
              </w:rPr>
              <w:t>REQUEST DECIDED</w:t>
            </w:r>
          </w:p>
        </w:tc>
        <w:tc>
          <w:tcPr>
            <w:tcW w:w="465" w:type="dxa"/>
            <w:shd w:val="clear" w:color="auto" w:fill="auto"/>
          </w:tcPr>
          <w:p w:rsidR="00542016" w:rsidRPr="00AD22A8" w:rsidRDefault="00542016" w:rsidP="000C6757">
            <w:pPr>
              <w:rPr>
                <w:rFonts w:ascii="Arial" w:eastAsia="Calibri" w:hAnsi="Arial" w:cs="Arial"/>
                <w:b/>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
                <w:bCs/>
                <w:sz w:val="20"/>
                <w:szCs w:val="20"/>
                <w:lang w:val="en-GB" w:eastAsia="en-US"/>
              </w:rPr>
            </w:pPr>
            <w:r w:rsidRPr="00AD22A8">
              <w:rPr>
                <w:rFonts w:ascii="Arial" w:eastAsia="Calibri" w:hAnsi="Arial" w:cs="Arial"/>
                <w:b/>
                <w:bCs/>
                <w:szCs w:val="20"/>
                <w:lang w:val="en-GB" w:eastAsia="en-US"/>
              </w:rPr>
              <w:t>PROCESSING TIME</w:t>
            </w:r>
          </w:p>
        </w:tc>
        <w:tc>
          <w:tcPr>
            <w:tcW w:w="1098" w:type="dxa"/>
            <w:shd w:val="clear" w:color="auto" w:fill="auto"/>
          </w:tcPr>
          <w:p w:rsidR="00542016" w:rsidRPr="00AD22A8" w:rsidRDefault="00542016" w:rsidP="000C6757">
            <w:pPr>
              <w:rPr>
                <w:rFonts w:ascii="Arial" w:eastAsia="Calibri" w:hAnsi="Arial" w:cs="Arial"/>
                <w:b/>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Member of Parliament</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22</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Full access</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10</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Average processing time</w:t>
            </w: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39.2 days</w:t>
            </w: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Media</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39</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Part access</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50</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Others</w:t>
            </w:r>
            <w:r w:rsidRPr="00AD22A8">
              <w:rPr>
                <w:rFonts w:ascii="Arial" w:eastAsia="Calibri" w:hAnsi="Arial" w:cs="Arial"/>
                <w:bCs/>
                <w:sz w:val="20"/>
                <w:szCs w:val="20"/>
                <w:u w:val="thick"/>
                <w:vertAlign w:val="superscript"/>
                <w:lang w:val="en-GB" w:eastAsia="en-US"/>
              </w:rPr>
              <w:t>1</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16</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Denied access</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2</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45 days or less</w:t>
            </w: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50</w:t>
            </w: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No documents</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5</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46 to 90 days</w:t>
            </w: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25</w:t>
            </w: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szCs w:val="20"/>
                <w:lang w:eastAsia="en-US"/>
              </w:rPr>
              <w:t>Transferred/withdrawn</w:t>
            </w:r>
            <w:r w:rsidRPr="00AD22A8">
              <w:rPr>
                <w:rFonts w:ascii="Arial" w:eastAsia="Calibri" w:hAnsi="Arial" w:cs="Arial"/>
                <w:szCs w:val="20"/>
                <w:vertAlign w:val="superscript"/>
                <w:lang w:eastAsia="en-US"/>
              </w:rPr>
              <w:t>2</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10</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Over 90 days</w:t>
            </w: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2</w:t>
            </w: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Total</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77</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Total</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77</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Total</w:t>
            </w: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77</w:t>
            </w: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
                <w:bCs/>
                <w:sz w:val="20"/>
                <w:szCs w:val="20"/>
                <w:lang w:val="en-GB" w:eastAsia="en-US"/>
              </w:rPr>
            </w:pPr>
            <w:r w:rsidRPr="00AD22A8">
              <w:rPr>
                <w:rFonts w:ascii="Arial" w:eastAsia="Calibri" w:hAnsi="Arial" w:cs="Arial"/>
                <w:b/>
                <w:bCs/>
                <w:szCs w:val="20"/>
                <w:lang w:val="en-GB" w:eastAsia="en-US"/>
              </w:rPr>
              <w:t>INTERNAL REVIEW RECEIVED</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
                <w:bCs/>
                <w:sz w:val="20"/>
                <w:szCs w:val="20"/>
                <w:lang w:val="en-GB" w:eastAsia="en-US"/>
              </w:rPr>
            </w:pPr>
            <w:r w:rsidRPr="00AD22A8">
              <w:rPr>
                <w:rFonts w:ascii="Arial" w:eastAsia="Calibri" w:hAnsi="Arial" w:cs="Arial"/>
                <w:b/>
                <w:bCs/>
                <w:sz w:val="20"/>
                <w:szCs w:val="20"/>
                <w:lang w:val="en-GB" w:eastAsia="en-US"/>
              </w:rPr>
              <w:t>REVIEWS DECIDED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Member of Parliament</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szCs w:val="20"/>
                <w:lang w:eastAsia="en-US"/>
              </w:rPr>
              <w:t>Decision confirmed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Cs w:val="20"/>
                <w:lang w:val="en-GB" w:eastAsia="en-US"/>
              </w:rPr>
              <w:t>Media</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szCs w:val="20"/>
                <w:lang w:eastAsia="en-US"/>
              </w:rPr>
              <w:t>Decision varied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Others</w:t>
            </w:r>
            <w:r w:rsidRPr="00AD22A8">
              <w:rPr>
                <w:rFonts w:ascii="Arial" w:eastAsia="Calibri" w:hAnsi="Arial" w:cs="Arial"/>
                <w:bCs/>
                <w:sz w:val="20"/>
                <w:szCs w:val="20"/>
                <w:u w:val="thick"/>
                <w:vertAlign w:val="superscript"/>
                <w:lang w:val="en-GB" w:eastAsia="en-US"/>
              </w:rPr>
              <w:t>1</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szCs w:val="20"/>
                <w:lang w:eastAsia="en-US"/>
              </w:rPr>
              <w:t>Decision overturned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
                <w:bCs/>
                <w:sz w:val="20"/>
                <w:szCs w:val="20"/>
                <w:lang w:val="en-GB" w:eastAsia="en-US"/>
              </w:rPr>
              <w:t>Total</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
                <w:bCs/>
                <w:sz w:val="20"/>
                <w:szCs w:val="20"/>
                <w:lang w:val="en-GB" w:eastAsia="en-US"/>
              </w:rPr>
              <w:t>Total</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
                <w:bCs/>
                <w:sz w:val="20"/>
                <w:szCs w:val="20"/>
                <w:lang w:val="en-GB" w:eastAsia="en-US"/>
              </w:rPr>
            </w:pPr>
            <w:r w:rsidRPr="00AD22A8">
              <w:rPr>
                <w:rFonts w:ascii="Arial" w:eastAsia="Calibri" w:hAnsi="Arial" w:cs="Arial"/>
                <w:b/>
                <w:bCs/>
                <w:sz w:val="20"/>
                <w:szCs w:val="20"/>
                <w:lang w:val="en-GB" w:eastAsia="en-US"/>
              </w:rPr>
              <w:t>FOIC REVIEW RECEIVED</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
                <w:bCs/>
                <w:sz w:val="20"/>
                <w:szCs w:val="20"/>
                <w:lang w:val="en-GB" w:eastAsia="en-US"/>
              </w:rPr>
            </w:pPr>
            <w:r w:rsidRPr="00AD22A8">
              <w:rPr>
                <w:rFonts w:ascii="Arial" w:eastAsia="Calibri" w:hAnsi="Arial" w:cs="Arial"/>
                <w:b/>
                <w:bCs/>
                <w:sz w:val="20"/>
                <w:szCs w:val="20"/>
                <w:lang w:val="en-GB" w:eastAsia="en-US"/>
              </w:rPr>
              <w:t>REVIEWS DECIDED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Member of Parliament</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4</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szCs w:val="20"/>
                <w:lang w:eastAsia="en-US"/>
              </w:rPr>
              <w:t>Decision confirmed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Media</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szCs w:val="20"/>
                <w:lang w:eastAsia="en-US"/>
              </w:rPr>
              <w:t>Decision varied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3</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Others</w:t>
            </w:r>
            <w:r w:rsidRPr="00AD22A8">
              <w:rPr>
                <w:rFonts w:ascii="Arial" w:eastAsia="Calibri" w:hAnsi="Arial" w:cs="Arial"/>
                <w:bCs/>
                <w:sz w:val="20"/>
                <w:szCs w:val="20"/>
                <w:u w:val="thick"/>
                <w:vertAlign w:val="superscript"/>
                <w:lang w:val="en-GB" w:eastAsia="en-US"/>
              </w:rPr>
              <w:t>1</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szCs w:val="20"/>
                <w:lang w:eastAsia="en-US"/>
              </w:rPr>
              <w:t>Decision overturned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Decision not finalised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3</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Total</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6</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Total</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6</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
                <w:bCs/>
                <w:sz w:val="20"/>
                <w:szCs w:val="20"/>
                <w:lang w:val="en-GB" w:eastAsia="en-US"/>
              </w:rPr>
            </w:pPr>
            <w:r w:rsidRPr="00AD22A8">
              <w:rPr>
                <w:rFonts w:ascii="Arial" w:eastAsia="Calibri" w:hAnsi="Arial" w:cs="Arial"/>
                <w:b/>
                <w:bCs/>
                <w:sz w:val="20"/>
                <w:szCs w:val="20"/>
                <w:lang w:val="en-GB" w:eastAsia="en-US"/>
              </w:rPr>
              <w:t>VCAT APPEALS RECEIVED</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
                <w:bCs/>
                <w:sz w:val="20"/>
                <w:szCs w:val="20"/>
                <w:lang w:val="en-GB" w:eastAsia="en-US"/>
              </w:rPr>
            </w:pPr>
            <w:r w:rsidRPr="00AD22A8">
              <w:rPr>
                <w:rFonts w:ascii="Arial" w:eastAsia="Calibri" w:hAnsi="Arial" w:cs="Arial"/>
                <w:b/>
                <w:bCs/>
                <w:sz w:val="20"/>
                <w:szCs w:val="20"/>
                <w:lang w:val="en-GB" w:eastAsia="en-US"/>
              </w:rPr>
              <w:t>APPEALS DECIDED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Member of Parliament</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Withdrawn</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Media</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Struck out</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Others</w:t>
            </w:r>
            <w:r w:rsidRPr="00AD22A8">
              <w:rPr>
                <w:rFonts w:ascii="Arial" w:eastAsia="Calibri" w:hAnsi="Arial" w:cs="Arial"/>
                <w:bCs/>
                <w:sz w:val="20"/>
                <w:szCs w:val="20"/>
                <w:u w:val="thick"/>
                <w:vertAlign w:val="superscript"/>
                <w:lang w:val="en-GB" w:eastAsia="en-US"/>
              </w:rPr>
              <w:t>1</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0</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Decision not finalised</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r w:rsidR="00542016" w:rsidRPr="00950C60" w:rsidTr="00AD22A8">
        <w:tc>
          <w:tcPr>
            <w:tcW w:w="2493"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Total</w:t>
            </w:r>
          </w:p>
        </w:tc>
        <w:tc>
          <w:tcPr>
            <w:tcW w:w="450"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654"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Total</w:t>
            </w:r>
          </w:p>
        </w:tc>
        <w:tc>
          <w:tcPr>
            <w:tcW w:w="465" w:type="dxa"/>
            <w:shd w:val="clear" w:color="auto" w:fill="auto"/>
          </w:tcPr>
          <w:p w:rsidR="00542016" w:rsidRPr="00AD22A8" w:rsidRDefault="00542016" w:rsidP="000C6757">
            <w:pPr>
              <w:rPr>
                <w:rFonts w:ascii="Arial" w:eastAsia="Calibri" w:hAnsi="Arial" w:cs="Arial"/>
                <w:bCs/>
                <w:sz w:val="20"/>
                <w:szCs w:val="20"/>
                <w:lang w:val="en-GB" w:eastAsia="en-US"/>
              </w:rPr>
            </w:pPr>
            <w:r w:rsidRPr="00AD22A8">
              <w:rPr>
                <w:rFonts w:ascii="Arial" w:eastAsia="Calibri" w:hAnsi="Arial" w:cs="Arial"/>
                <w:bCs/>
                <w:sz w:val="20"/>
                <w:szCs w:val="20"/>
                <w:lang w:val="en-GB" w:eastAsia="en-US"/>
              </w:rPr>
              <w:t>1</w:t>
            </w:r>
          </w:p>
        </w:tc>
        <w:tc>
          <w:tcPr>
            <w:tcW w:w="2126" w:type="dxa"/>
            <w:shd w:val="clear" w:color="auto" w:fill="auto"/>
          </w:tcPr>
          <w:p w:rsidR="00542016" w:rsidRPr="00AD22A8" w:rsidRDefault="00542016" w:rsidP="000C6757">
            <w:pPr>
              <w:rPr>
                <w:rFonts w:ascii="Arial" w:eastAsia="Calibri" w:hAnsi="Arial" w:cs="Arial"/>
                <w:bCs/>
                <w:sz w:val="20"/>
                <w:szCs w:val="20"/>
                <w:lang w:val="en-GB" w:eastAsia="en-US"/>
              </w:rPr>
            </w:pPr>
          </w:p>
        </w:tc>
        <w:tc>
          <w:tcPr>
            <w:tcW w:w="1098" w:type="dxa"/>
            <w:shd w:val="clear" w:color="auto" w:fill="auto"/>
          </w:tcPr>
          <w:p w:rsidR="00542016" w:rsidRPr="00AD22A8" w:rsidRDefault="00542016" w:rsidP="000C6757">
            <w:pPr>
              <w:rPr>
                <w:rFonts w:ascii="Arial" w:eastAsia="Calibri" w:hAnsi="Arial" w:cs="Arial"/>
                <w:bCs/>
                <w:sz w:val="20"/>
                <w:szCs w:val="20"/>
                <w:lang w:val="en-GB" w:eastAsia="en-US"/>
              </w:rPr>
            </w:pPr>
          </w:p>
        </w:tc>
      </w:tr>
    </w:tbl>
    <w:p w:rsidR="00542016" w:rsidRPr="00950C60" w:rsidRDefault="00542016" w:rsidP="00542016">
      <w:pPr>
        <w:rPr>
          <w:rFonts w:ascii="Arial" w:hAnsi="Arial" w:cs="Arial"/>
          <w:b/>
          <w:bCs/>
          <w:szCs w:val="20"/>
          <w:lang w:val="en-GB"/>
        </w:rPr>
      </w:pPr>
    </w:p>
    <w:p w:rsidR="00542016" w:rsidRPr="00950C60" w:rsidRDefault="00542016" w:rsidP="00542016">
      <w:pPr>
        <w:rPr>
          <w:rFonts w:ascii="Arial" w:hAnsi="Arial" w:cs="Arial"/>
          <w:sz w:val="20"/>
          <w:szCs w:val="20"/>
          <w:lang w:val="en-GB"/>
        </w:rPr>
      </w:pPr>
      <w:r w:rsidRPr="00950C60">
        <w:rPr>
          <w:rFonts w:ascii="Arial" w:hAnsi="Arial" w:cs="Arial"/>
          <w:sz w:val="20"/>
          <w:szCs w:val="20"/>
          <w:lang w:val="en-GB"/>
        </w:rPr>
        <w:t>Notes:</w:t>
      </w:r>
    </w:p>
    <w:p w:rsidR="00542016" w:rsidRPr="00950C60" w:rsidRDefault="00542016" w:rsidP="00542016">
      <w:pPr>
        <w:rPr>
          <w:rFonts w:ascii="Arial" w:hAnsi="Arial" w:cs="Arial"/>
          <w:sz w:val="20"/>
          <w:szCs w:val="20"/>
          <w:lang w:val="en-GB"/>
        </w:rPr>
      </w:pPr>
      <w:r w:rsidRPr="00950C60">
        <w:rPr>
          <w:rFonts w:ascii="Arial" w:hAnsi="Arial" w:cs="Arial"/>
          <w:sz w:val="20"/>
          <w:szCs w:val="20"/>
          <w:lang w:val="en-GB"/>
        </w:rPr>
        <w:t>1. Includes solicitors, companies/organisations, private persons and lobby groups.</w:t>
      </w:r>
    </w:p>
    <w:p w:rsidR="00542016" w:rsidRPr="00950C60" w:rsidRDefault="00542016" w:rsidP="00542016">
      <w:pPr>
        <w:rPr>
          <w:rFonts w:ascii="Arial" w:hAnsi="Arial" w:cs="Arial"/>
          <w:sz w:val="20"/>
          <w:szCs w:val="20"/>
          <w:lang w:val="en-GB"/>
        </w:rPr>
      </w:pPr>
      <w:r w:rsidRPr="00950C60">
        <w:rPr>
          <w:rFonts w:ascii="Arial" w:hAnsi="Arial" w:cs="Arial"/>
          <w:sz w:val="20"/>
          <w:szCs w:val="20"/>
          <w:lang w:val="en-GB"/>
        </w:rPr>
        <w:t>2. Includes requests transferred, withdrawn, not processed, not proceeded with and FOI Act does not apply.</w:t>
      </w:r>
    </w:p>
    <w:p w:rsidR="00542016" w:rsidRPr="00950C60" w:rsidRDefault="00542016" w:rsidP="00542016">
      <w:pPr>
        <w:rPr>
          <w:rFonts w:ascii="Arial" w:hAnsi="Arial" w:cs="Arial"/>
          <w:szCs w:val="20"/>
        </w:rPr>
      </w:pPr>
    </w:p>
    <w:p w:rsidR="00542016" w:rsidRDefault="00542016" w:rsidP="00542016">
      <w:pPr>
        <w:rPr>
          <w:rFonts w:ascii="Arial" w:hAnsi="Arial" w:cs="Arial"/>
          <w:b/>
          <w:sz w:val="28"/>
          <w:szCs w:val="28"/>
        </w:rPr>
      </w:pPr>
      <w:r>
        <w:rPr>
          <w:rFonts w:ascii="Arial" w:hAnsi="Arial" w:cs="Arial"/>
          <w:b/>
          <w:sz w:val="28"/>
          <w:szCs w:val="28"/>
        </w:rPr>
        <w:br w:type="page"/>
      </w:r>
    </w:p>
    <w:p w:rsidR="00542016" w:rsidRPr="00315A9F" w:rsidRDefault="00542016" w:rsidP="00A73F5E">
      <w:pPr>
        <w:pStyle w:val="Heading10"/>
        <w:outlineLvl w:val="0"/>
        <w:rPr>
          <w:lang w:val="en-GB"/>
        </w:rPr>
      </w:pPr>
      <w:bookmarkStart w:id="311" w:name="_Toc365383090"/>
      <w:bookmarkStart w:id="312" w:name="_Toc366672120"/>
      <w:r w:rsidRPr="00315A9F">
        <w:rPr>
          <w:lang w:val="en-GB"/>
        </w:rPr>
        <w:t>Disclosure of government advertising expenditure</w:t>
      </w:r>
      <w:bookmarkEnd w:id="311"/>
      <w:bookmarkEnd w:id="312"/>
      <w:r w:rsidRPr="00315A9F">
        <w:rPr>
          <w:lang w:val="en-GB"/>
        </w:rPr>
        <w:t xml:space="preserve"> </w:t>
      </w:r>
    </w:p>
    <w:p w:rsidR="00542016" w:rsidRPr="00AD22A8" w:rsidRDefault="00542016" w:rsidP="00542016">
      <w:pPr>
        <w:pStyle w:val="Default"/>
        <w:rPr>
          <w:rFonts w:ascii="Calibri" w:hAnsi="Calibri" w:cs="Calibri"/>
          <w:sz w:val="22"/>
          <w:szCs w:val="22"/>
        </w:rPr>
      </w:pPr>
    </w:p>
    <w:p w:rsidR="00542016" w:rsidRPr="00315A9F" w:rsidRDefault="00542016" w:rsidP="00542016">
      <w:pPr>
        <w:pStyle w:val="Default"/>
        <w:rPr>
          <w:rFonts w:ascii="Arial" w:hAnsi="Arial" w:cs="Arial"/>
          <w:sz w:val="22"/>
          <w:szCs w:val="22"/>
        </w:rPr>
      </w:pPr>
      <w:r w:rsidRPr="00315A9F">
        <w:rPr>
          <w:rFonts w:ascii="Arial" w:hAnsi="Arial" w:cs="Arial"/>
          <w:bCs/>
          <w:iCs/>
          <w:sz w:val="22"/>
          <w:szCs w:val="22"/>
        </w:rPr>
        <w:t xml:space="preserve">Details of </w:t>
      </w:r>
      <w:r>
        <w:rPr>
          <w:rFonts w:ascii="Arial" w:hAnsi="Arial" w:cs="Arial"/>
          <w:bCs/>
          <w:iCs/>
          <w:sz w:val="22"/>
          <w:szCs w:val="22"/>
        </w:rPr>
        <w:t xml:space="preserve">PTV </w:t>
      </w:r>
      <w:r w:rsidRPr="00315A9F">
        <w:rPr>
          <w:rFonts w:ascii="Arial" w:hAnsi="Arial" w:cs="Arial"/>
          <w:bCs/>
          <w:iCs/>
          <w:sz w:val="22"/>
          <w:szCs w:val="22"/>
        </w:rPr>
        <w:t>advertising expenditure (campaigns with a media spend of $150 000 or greater)</w:t>
      </w:r>
      <w:r w:rsidR="00950C60">
        <w:rPr>
          <w:rFonts w:ascii="Arial" w:hAnsi="Arial" w:cs="Arial"/>
          <w:bCs/>
          <w:iCs/>
          <w:sz w:val="22"/>
          <w:szCs w:val="22"/>
        </w:rPr>
        <w:t>.</w:t>
      </w:r>
      <w:r w:rsidRPr="00315A9F">
        <w:rPr>
          <w:rFonts w:ascii="Arial" w:hAnsi="Arial" w:cs="Arial"/>
          <w:bCs/>
          <w:iCs/>
          <w:sz w:val="22"/>
          <w:szCs w:val="22"/>
        </w:rPr>
        <w:t xml:space="preserve"> </w:t>
      </w:r>
    </w:p>
    <w:p w:rsidR="00542016" w:rsidRDefault="00542016" w:rsidP="00542016">
      <w:pPr>
        <w:pStyle w:val="Default"/>
        <w:ind w:left="2880" w:firstLine="720"/>
        <w:rPr>
          <w:i/>
          <w:iCs/>
          <w:sz w:val="23"/>
          <w:szCs w:val="23"/>
        </w:rPr>
      </w:pPr>
    </w:p>
    <w:p w:rsidR="00542016" w:rsidRDefault="00542016" w:rsidP="00542016">
      <w:pPr>
        <w:pStyle w:val="Default"/>
        <w:ind w:left="5954" w:firstLine="720"/>
        <w:rPr>
          <w:sz w:val="23"/>
          <w:szCs w:val="23"/>
        </w:rPr>
      </w:pPr>
      <w:r>
        <w:rPr>
          <w:i/>
          <w:iCs/>
          <w:sz w:val="23"/>
          <w:szCs w:val="23"/>
        </w:rPr>
        <w:t>Expenditure ($ thousand) excluding GST</w:t>
      </w:r>
    </w:p>
    <w:tbl>
      <w:tblPr>
        <w:tblW w:w="98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35"/>
        <w:gridCol w:w="2559"/>
        <w:gridCol w:w="992"/>
        <w:gridCol w:w="992"/>
        <w:gridCol w:w="1134"/>
        <w:gridCol w:w="993"/>
        <w:gridCol w:w="992"/>
        <w:gridCol w:w="983"/>
      </w:tblGrid>
      <w:tr w:rsidR="00542016" w:rsidRPr="00091249" w:rsidTr="00AD22A8">
        <w:trPr>
          <w:trHeight w:val="1193"/>
        </w:trPr>
        <w:tc>
          <w:tcPr>
            <w:tcW w:w="1235" w:type="dxa"/>
          </w:tcPr>
          <w:p w:rsidR="00542016" w:rsidRPr="00AD22A8" w:rsidRDefault="00542016" w:rsidP="000C6757">
            <w:pPr>
              <w:pStyle w:val="Default"/>
              <w:rPr>
                <w:rFonts w:ascii="Arial" w:hAnsi="Arial" w:cs="Arial"/>
                <w:color w:val="404040"/>
                <w:sz w:val="14"/>
                <w:szCs w:val="14"/>
              </w:rPr>
            </w:pPr>
            <w:r w:rsidRPr="00AD22A8">
              <w:rPr>
                <w:rFonts w:ascii="Arial" w:hAnsi="Arial" w:cs="Arial"/>
                <w:i/>
                <w:iCs/>
                <w:color w:val="404040"/>
                <w:sz w:val="14"/>
                <w:szCs w:val="14"/>
              </w:rPr>
              <w:t xml:space="preserve">Name of Campaign </w:t>
            </w:r>
          </w:p>
        </w:tc>
        <w:tc>
          <w:tcPr>
            <w:tcW w:w="2559" w:type="dxa"/>
          </w:tcPr>
          <w:p w:rsidR="00542016" w:rsidRPr="00AD22A8" w:rsidRDefault="00542016" w:rsidP="000C6757">
            <w:pPr>
              <w:pStyle w:val="Default"/>
              <w:rPr>
                <w:color w:val="404040"/>
                <w:sz w:val="14"/>
                <w:szCs w:val="14"/>
              </w:rPr>
            </w:pPr>
            <w:r w:rsidRPr="00AD22A8">
              <w:rPr>
                <w:rFonts w:ascii="Arial" w:hAnsi="Arial" w:cs="Arial"/>
                <w:i/>
                <w:iCs/>
                <w:color w:val="404040"/>
                <w:sz w:val="14"/>
                <w:szCs w:val="14"/>
              </w:rPr>
              <w:t xml:space="preserve">Campaign summary </w:t>
            </w:r>
          </w:p>
        </w:tc>
        <w:tc>
          <w:tcPr>
            <w:tcW w:w="992" w:type="dxa"/>
          </w:tcPr>
          <w:p w:rsidR="00542016" w:rsidRPr="00AD22A8" w:rsidRDefault="00542016" w:rsidP="000C6757">
            <w:pPr>
              <w:pStyle w:val="Default"/>
              <w:rPr>
                <w:rFonts w:ascii="Arial" w:hAnsi="Arial" w:cs="Arial"/>
                <w:color w:val="404040"/>
                <w:sz w:val="14"/>
                <w:szCs w:val="14"/>
              </w:rPr>
            </w:pPr>
            <w:r w:rsidRPr="00AD22A8">
              <w:rPr>
                <w:rFonts w:ascii="Arial" w:hAnsi="Arial" w:cs="Arial"/>
                <w:i/>
                <w:iCs/>
                <w:color w:val="404040"/>
                <w:sz w:val="14"/>
                <w:szCs w:val="14"/>
              </w:rPr>
              <w:t xml:space="preserve">Start/End date </w:t>
            </w:r>
          </w:p>
        </w:tc>
        <w:tc>
          <w:tcPr>
            <w:tcW w:w="992" w:type="dxa"/>
            <w:shd w:val="clear" w:color="auto" w:fill="BFBFBF"/>
          </w:tcPr>
          <w:p w:rsidR="00542016" w:rsidRPr="00AD22A8" w:rsidRDefault="00542016" w:rsidP="000C6757">
            <w:pPr>
              <w:pStyle w:val="Default"/>
              <w:rPr>
                <w:rFonts w:ascii="Arial" w:hAnsi="Arial" w:cs="Arial"/>
                <w:color w:val="404040"/>
                <w:sz w:val="14"/>
                <w:szCs w:val="14"/>
              </w:rPr>
            </w:pPr>
            <w:r w:rsidRPr="00AD22A8">
              <w:rPr>
                <w:rFonts w:ascii="Arial" w:hAnsi="Arial" w:cs="Arial"/>
                <w:i/>
                <w:iCs/>
                <w:color w:val="404040"/>
                <w:sz w:val="14"/>
                <w:szCs w:val="14"/>
              </w:rPr>
              <w:t xml:space="preserve">Advertising (Media) </w:t>
            </w:r>
          </w:p>
          <w:p w:rsidR="00542016" w:rsidRPr="00AD22A8" w:rsidRDefault="00542016" w:rsidP="000C6757">
            <w:pPr>
              <w:pStyle w:val="Default"/>
              <w:rPr>
                <w:rFonts w:ascii="Arial" w:hAnsi="Arial" w:cs="Arial"/>
                <w:color w:val="404040"/>
                <w:sz w:val="14"/>
                <w:szCs w:val="14"/>
              </w:rPr>
            </w:pPr>
          </w:p>
        </w:tc>
        <w:tc>
          <w:tcPr>
            <w:tcW w:w="1134" w:type="dxa"/>
            <w:shd w:val="clear" w:color="auto" w:fill="BFBFBF"/>
          </w:tcPr>
          <w:p w:rsidR="00542016" w:rsidRPr="00AD22A8" w:rsidRDefault="00542016" w:rsidP="000C6757">
            <w:pPr>
              <w:pStyle w:val="Default"/>
              <w:rPr>
                <w:rFonts w:ascii="Arial" w:hAnsi="Arial" w:cs="Arial"/>
                <w:color w:val="404040"/>
                <w:sz w:val="14"/>
                <w:szCs w:val="14"/>
              </w:rPr>
            </w:pPr>
            <w:r w:rsidRPr="00AD22A8">
              <w:rPr>
                <w:rFonts w:ascii="Arial" w:hAnsi="Arial" w:cs="Arial"/>
                <w:i/>
                <w:iCs/>
                <w:color w:val="404040"/>
                <w:sz w:val="14"/>
                <w:szCs w:val="14"/>
              </w:rPr>
              <w:t xml:space="preserve">Creative and campaign development </w:t>
            </w:r>
          </w:p>
          <w:p w:rsidR="00542016" w:rsidRPr="00AD22A8" w:rsidRDefault="00542016" w:rsidP="000C6757">
            <w:pPr>
              <w:pStyle w:val="Default"/>
              <w:rPr>
                <w:rFonts w:ascii="Arial" w:hAnsi="Arial" w:cs="Arial"/>
                <w:color w:val="404040"/>
                <w:sz w:val="14"/>
                <w:szCs w:val="14"/>
              </w:rPr>
            </w:pPr>
          </w:p>
        </w:tc>
        <w:tc>
          <w:tcPr>
            <w:tcW w:w="993" w:type="dxa"/>
            <w:shd w:val="clear" w:color="auto" w:fill="BFBFBF"/>
          </w:tcPr>
          <w:p w:rsidR="00542016" w:rsidRPr="00AD22A8" w:rsidRDefault="00542016" w:rsidP="000C6757">
            <w:pPr>
              <w:pStyle w:val="Default"/>
              <w:rPr>
                <w:rFonts w:ascii="Arial" w:hAnsi="Arial" w:cs="Arial"/>
                <w:color w:val="404040"/>
                <w:sz w:val="14"/>
                <w:szCs w:val="14"/>
              </w:rPr>
            </w:pPr>
            <w:r w:rsidRPr="00AD22A8">
              <w:rPr>
                <w:rFonts w:ascii="Arial" w:hAnsi="Arial" w:cs="Arial"/>
                <w:i/>
                <w:iCs/>
                <w:color w:val="404040"/>
                <w:sz w:val="14"/>
                <w:szCs w:val="14"/>
              </w:rPr>
              <w:t xml:space="preserve">Research and evaluation </w:t>
            </w:r>
          </w:p>
          <w:p w:rsidR="00542016" w:rsidRPr="00AD22A8" w:rsidRDefault="00542016" w:rsidP="000C6757">
            <w:pPr>
              <w:pStyle w:val="Default"/>
              <w:rPr>
                <w:rFonts w:ascii="Arial" w:hAnsi="Arial" w:cs="Arial"/>
                <w:color w:val="404040"/>
                <w:sz w:val="14"/>
                <w:szCs w:val="14"/>
              </w:rPr>
            </w:pPr>
          </w:p>
        </w:tc>
        <w:tc>
          <w:tcPr>
            <w:tcW w:w="992" w:type="dxa"/>
            <w:shd w:val="clear" w:color="auto" w:fill="BFBFBF"/>
          </w:tcPr>
          <w:p w:rsidR="00542016" w:rsidRPr="00AD22A8" w:rsidRDefault="00542016" w:rsidP="000C6757">
            <w:pPr>
              <w:pStyle w:val="Default"/>
              <w:rPr>
                <w:rFonts w:ascii="Arial" w:hAnsi="Arial" w:cs="Arial"/>
                <w:color w:val="404040"/>
                <w:sz w:val="14"/>
                <w:szCs w:val="14"/>
              </w:rPr>
            </w:pPr>
            <w:r w:rsidRPr="00AD22A8">
              <w:rPr>
                <w:rFonts w:ascii="Arial" w:hAnsi="Arial" w:cs="Arial"/>
                <w:i/>
                <w:iCs/>
                <w:color w:val="404040"/>
                <w:sz w:val="14"/>
                <w:szCs w:val="14"/>
              </w:rPr>
              <w:t xml:space="preserve">Print and collateral </w:t>
            </w:r>
          </w:p>
          <w:p w:rsidR="00542016" w:rsidRPr="00AD22A8" w:rsidRDefault="00542016" w:rsidP="000C6757">
            <w:pPr>
              <w:pStyle w:val="Default"/>
              <w:rPr>
                <w:rFonts w:ascii="Arial" w:hAnsi="Arial" w:cs="Arial"/>
                <w:color w:val="404040"/>
                <w:sz w:val="14"/>
                <w:szCs w:val="14"/>
              </w:rPr>
            </w:pPr>
          </w:p>
        </w:tc>
        <w:tc>
          <w:tcPr>
            <w:tcW w:w="983" w:type="dxa"/>
            <w:shd w:val="clear" w:color="auto" w:fill="BFBFBF"/>
          </w:tcPr>
          <w:p w:rsidR="00542016" w:rsidRPr="00AD22A8" w:rsidRDefault="00542016" w:rsidP="000C6757">
            <w:pPr>
              <w:pStyle w:val="Default"/>
              <w:rPr>
                <w:rFonts w:ascii="Arial" w:hAnsi="Arial" w:cs="Arial"/>
                <w:color w:val="404040"/>
                <w:sz w:val="14"/>
                <w:szCs w:val="14"/>
              </w:rPr>
            </w:pPr>
            <w:r w:rsidRPr="00AD22A8">
              <w:rPr>
                <w:rFonts w:ascii="Arial" w:hAnsi="Arial" w:cs="Arial"/>
                <w:i/>
                <w:iCs/>
                <w:color w:val="404040"/>
                <w:sz w:val="14"/>
                <w:szCs w:val="14"/>
              </w:rPr>
              <w:t xml:space="preserve">Other Campaign </w:t>
            </w:r>
          </w:p>
          <w:p w:rsidR="00542016" w:rsidRPr="00AD22A8" w:rsidRDefault="00542016" w:rsidP="000C6757">
            <w:pPr>
              <w:pStyle w:val="Default"/>
              <w:rPr>
                <w:rFonts w:ascii="Arial" w:hAnsi="Arial" w:cs="Arial"/>
                <w:color w:val="404040"/>
                <w:sz w:val="14"/>
                <w:szCs w:val="14"/>
              </w:rPr>
            </w:pPr>
          </w:p>
        </w:tc>
      </w:tr>
      <w:tr w:rsidR="00542016" w:rsidRPr="00091249" w:rsidTr="00AD22A8">
        <w:trPr>
          <w:trHeight w:val="1193"/>
        </w:trPr>
        <w:tc>
          <w:tcPr>
            <w:tcW w:w="1235"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Fare Evasion</w:t>
            </w:r>
          </w:p>
        </w:tc>
        <w:tc>
          <w:tcPr>
            <w:tcW w:w="2559"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 xml:space="preserve">Extension of the existing 'Scribble' fare evasion campaign. </w:t>
            </w:r>
          </w:p>
        </w:tc>
        <w:tc>
          <w:tcPr>
            <w:tcW w:w="992" w:type="dxa"/>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iCs/>
                <w:color w:val="404040"/>
                <w:sz w:val="16"/>
                <w:szCs w:val="16"/>
              </w:rPr>
              <w:t>Oct- Nov 2012</w:t>
            </w:r>
          </w:p>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iCs/>
                <w:color w:val="404040"/>
                <w:sz w:val="16"/>
                <w:szCs w:val="16"/>
              </w:rPr>
              <w:t>and</w:t>
            </w:r>
          </w:p>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iCs/>
                <w:color w:val="404040"/>
                <w:sz w:val="16"/>
                <w:szCs w:val="16"/>
              </w:rPr>
              <w:t>Apr – May 2013</w:t>
            </w:r>
          </w:p>
        </w:tc>
        <w:tc>
          <w:tcPr>
            <w:tcW w:w="992"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$856,548</w:t>
            </w:r>
          </w:p>
        </w:tc>
        <w:tc>
          <w:tcPr>
            <w:tcW w:w="1134"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$78,032</w:t>
            </w:r>
          </w:p>
        </w:tc>
        <w:tc>
          <w:tcPr>
            <w:tcW w:w="99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c>
          <w:tcPr>
            <w:tcW w:w="992"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$67,963</w:t>
            </w:r>
          </w:p>
        </w:tc>
        <w:tc>
          <w:tcPr>
            <w:tcW w:w="98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r>
      <w:tr w:rsidR="00542016" w:rsidRPr="00091249" w:rsidTr="00AD22A8">
        <w:trPr>
          <w:trHeight w:val="1193"/>
        </w:trPr>
        <w:tc>
          <w:tcPr>
            <w:tcW w:w="1235"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Myki is the only way to go (Jan- June PTV component only)</w:t>
            </w:r>
          </w:p>
        </w:tc>
        <w:tc>
          <w:tcPr>
            <w:tcW w:w="2559"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To mark the final transition to myki.</w:t>
            </w:r>
          </w:p>
        </w:tc>
        <w:tc>
          <w:tcPr>
            <w:tcW w:w="992" w:type="dxa"/>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Nov 2012 – Mar 2013</w:t>
            </w:r>
          </w:p>
        </w:tc>
        <w:tc>
          <w:tcPr>
            <w:tcW w:w="992"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$577,257</w:t>
            </w:r>
          </w:p>
        </w:tc>
        <w:tc>
          <w:tcPr>
            <w:tcW w:w="1134"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$1,509</w:t>
            </w:r>
          </w:p>
        </w:tc>
        <w:tc>
          <w:tcPr>
            <w:tcW w:w="99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c>
          <w:tcPr>
            <w:tcW w:w="992"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$2,041</w:t>
            </w:r>
          </w:p>
        </w:tc>
        <w:tc>
          <w:tcPr>
            <w:tcW w:w="98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r>
      <w:tr w:rsidR="00542016" w:rsidRPr="00091249" w:rsidTr="00AD22A8">
        <w:trPr>
          <w:trHeight w:val="1193"/>
        </w:trPr>
        <w:tc>
          <w:tcPr>
            <w:tcW w:w="1235" w:type="dxa"/>
            <w:vAlign w:val="center"/>
          </w:tcPr>
          <w:p w:rsidR="00542016" w:rsidRPr="00AD22A8" w:rsidRDefault="00542016" w:rsidP="000C6757">
            <w:pPr>
              <w:rPr>
                <w:rFonts w:ascii="Calibri" w:hAnsi="Calibri" w:cs="Calibri"/>
                <w:color w:val="404040"/>
                <w:sz w:val="16"/>
                <w:szCs w:val="16"/>
              </w:rPr>
            </w:pPr>
            <w:r w:rsidRPr="00AD22A8">
              <w:rPr>
                <w:rFonts w:ascii="Calibri" w:hAnsi="Calibri" w:cs="Calibri"/>
                <w:color w:val="404040"/>
                <w:sz w:val="16"/>
                <w:szCs w:val="16"/>
              </w:rPr>
              <w:t>User behaviour</w:t>
            </w:r>
          </w:p>
          <w:p w:rsidR="00542016" w:rsidRPr="00AD22A8" w:rsidRDefault="00542016" w:rsidP="000C6757">
            <w:pPr>
              <w:pStyle w:val="Default"/>
              <w:rPr>
                <w:rFonts w:ascii="Calibri" w:hAnsi="Calibri" w:cs="Calibri"/>
                <w:iCs/>
                <w:color w:val="404040"/>
                <w:sz w:val="16"/>
                <w:szCs w:val="16"/>
              </w:rPr>
            </w:pPr>
          </w:p>
        </w:tc>
        <w:tc>
          <w:tcPr>
            <w:tcW w:w="2559"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To positively influence customer behaviour on public transport.</w:t>
            </w:r>
          </w:p>
        </w:tc>
        <w:tc>
          <w:tcPr>
            <w:tcW w:w="992" w:type="dxa"/>
            <w:vAlign w:val="center"/>
          </w:tcPr>
          <w:p w:rsidR="00542016" w:rsidRPr="00AD22A8" w:rsidRDefault="00542016" w:rsidP="000C6757">
            <w:pPr>
              <w:jc w:val="center"/>
              <w:rPr>
                <w:rFonts w:ascii="Calibri" w:hAnsi="Calibri" w:cs="Calibri"/>
                <w:color w:val="404040"/>
                <w:sz w:val="16"/>
                <w:szCs w:val="16"/>
              </w:rPr>
            </w:pPr>
            <w:r w:rsidRPr="00AD22A8">
              <w:rPr>
                <w:rFonts w:ascii="Calibri" w:hAnsi="Calibri" w:cs="Calibri"/>
                <w:color w:val="404040"/>
                <w:sz w:val="16"/>
                <w:szCs w:val="16"/>
              </w:rPr>
              <w:t>Ongoing</w:t>
            </w:r>
          </w:p>
        </w:tc>
        <w:tc>
          <w:tcPr>
            <w:tcW w:w="992"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$200,000</w:t>
            </w:r>
          </w:p>
        </w:tc>
        <w:tc>
          <w:tcPr>
            <w:tcW w:w="1134"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$125,000</w:t>
            </w:r>
          </w:p>
        </w:tc>
        <w:tc>
          <w:tcPr>
            <w:tcW w:w="993"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p>
        </w:tc>
        <w:tc>
          <w:tcPr>
            <w:tcW w:w="992"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p>
        </w:tc>
        <w:tc>
          <w:tcPr>
            <w:tcW w:w="98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r>
      <w:tr w:rsidR="00542016" w:rsidRPr="00091249" w:rsidTr="00AD22A8">
        <w:trPr>
          <w:trHeight w:val="1193"/>
        </w:trPr>
        <w:tc>
          <w:tcPr>
            <w:tcW w:w="1235"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Myki Visitor Pack (Jan- June PTV component only)</w:t>
            </w:r>
          </w:p>
        </w:tc>
        <w:tc>
          <w:tcPr>
            <w:tcW w:w="2559"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To educate tourists about myki.</w:t>
            </w:r>
          </w:p>
        </w:tc>
        <w:tc>
          <w:tcPr>
            <w:tcW w:w="992" w:type="dxa"/>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iCs/>
                <w:color w:val="404040"/>
                <w:sz w:val="16"/>
                <w:szCs w:val="16"/>
              </w:rPr>
              <w:t>Dec 2012 – Apr 2013</w:t>
            </w:r>
          </w:p>
        </w:tc>
        <w:tc>
          <w:tcPr>
            <w:tcW w:w="992"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$333,185</w:t>
            </w:r>
          </w:p>
        </w:tc>
        <w:tc>
          <w:tcPr>
            <w:tcW w:w="1134"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$18,943</w:t>
            </w:r>
          </w:p>
        </w:tc>
        <w:tc>
          <w:tcPr>
            <w:tcW w:w="99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c>
          <w:tcPr>
            <w:tcW w:w="992"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$6,785</w:t>
            </w:r>
          </w:p>
        </w:tc>
        <w:tc>
          <w:tcPr>
            <w:tcW w:w="98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r>
      <w:tr w:rsidR="00542016" w:rsidRPr="00091249" w:rsidTr="00AD22A8">
        <w:trPr>
          <w:trHeight w:val="1193"/>
        </w:trPr>
        <w:tc>
          <w:tcPr>
            <w:tcW w:w="1235"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Late Night Services</w:t>
            </w:r>
          </w:p>
        </w:tc>
        <w:tc>
          <w:tcPr>
            <w:tcW w:w="2559"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To increase awareness of late night services.</w:t>
            </w:r>
          </w:p>
          <w:p w:rsidR="00542016" w:rsidRPr="00AD22A8" w:rsidRDefault="00542016" w:rsidP="000C6757">
            <w:pPr>
              <w:rPr>
                <w:rFonts w:ascii="Calibri" w:hAnsi="Calibri" w:cs="Calibri"/>
                <w:color w:val="404040"/>
                <w:sz w:val="16"/>
                <w:szCs w:val="16"/>
              </w:rPr>
            </w:pPr>
          </w:p>
        </w:tc>
        <w:tc>
          <w:tcPr>
            <w:tcW w:w="992" w:type="dxa"/>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iCs/>
                <w:color w:val="404040"/>
                <w:sz w:val="16"/>
                <w:szCs w:val="16"/>
              </w:rPr>
              <w:t>Dec 2012</w:t>
            </w:r>
          </w:p>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iCs/>
                <w:color w:val="404040"/>
                <w:sz w:val="16"/>
                <w:szCs w:val="16"/>
              </w:rPr>
              <w:t>and</w:t>
            </w:r>
          </w:p>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iCs/>
                <w:color w:val="404040"/>
                <w:sz w:val="16"/>
                <w:szCs w:val="16"/>
              </w:rPr>
              <w:t>Apr – May 2013</w:t>
            </w:r>
          </w:p>
        </w:tc>
        <w:tc>
          <w:tcPr>
            <w:tcW w:w="992"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$450,462</w:t>
            </w:r>
          </w:p>
        </w:tc>
        <w:tc>
          <w:tcPr>
            <w:tcW w:w="1134"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$7,884</w:t>
            </w:r>
          </w:p>
        </w:tc>
        <w:tc>
          <w:tcPr>
            <w:tcW w:w="99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c>
          <w:tcPr>
            <w:tcW w:w="992"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$2,237</w:t>
            </w:r>
          </w:p>
        </w:tc>
        <w:tc>
          <w:tcPr>
            <w:tcW w:w="98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r>
      <w:tr w:rsidR="00542016" w:rsidRPr="00091249" w:rsidTr="00AD22A8">
        <w:trPr>
          <w:trHeight w:val="1193"/>
        </w:trPr>
        <w:tc>
          <w:tcPr>
            <w:tcW w:w="1235" w:type="dxa"/>
            <w:vAlign w:val="center"/>
          </w:tcPr>
          <w:p w:rsidR="00542016" w:rsidRPr="00AD22A8" w:rsidRDefault="00542016" w:rsidP="000C6757">
            <w:pPr>
              <w:pStyle w:val="Default"/>
              <w:rPr>
                <w:rFonts w:ascii="Calibri" w:hAnsi="Calibri" w:cs="Calibri"/>
                <w:iCs/>
                <w:color w:val="404040"/>
                <w:sz w:val="16"/>
                <w:szCs w:val="16"/>
              </w:rPr>
            </w:pPr>
          </w:p>
          <w:p w:rsidR="00542016" w:rsidRPr="00AD22A8" w:rsidRDefault="00542016" w:rsidP="000C6757">
            <w:pPr>
              <w:rPr>
                <w:rFonts w:ascii="Calibri" w:hAnsi="Calibri" w:cs="Calibri"/>
                <w:color w:val="404040"/>
                <w:sz w:val="16"/>
                <w:szCs w:val="16"/>
              </w:rPr>
            </w:pPr>
            <w:r w:rsidRPr="00AD22A8">
              <w:rPr>
                <w:rFonts w:ascii="Calibri" w:hAnsi="Calibri" w:cs="Calibri"/>
                <w:color w:val="404040"/>
                <w:sz w:val="16"/>
                <w:szCs w:val="16"/>
              </w:rPr>
              <w:t>Auto top up - stage 1</w:t>
            </w:r>
          </w:p>
        </w:tc>
        <w:tc>
          <w:tcPr>
            <w:tcW w:w="2559"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To promote auto top up as a key benefit of myki.</w:t>
            </w:r>
          </w:p>
        </w:tc>
        <w:tc>
          <w:tcPr>
            <w:tcW w:w="992" w:type="dxa"/>
            <w:vAlign w:val="center"/>
          </w:tcPr>
          <w:p w:rsidR="00542016" w:rsidRPr="00AD22A8" w:rsidRDefault="00542016" w:rsidP="000C6757">
            <w:pPr>
              <w:pStyle w:val="Default"/>
              <w:jc w:val="center"/>
              <w:rPr>
                <w:rFonts w:ascii="Calibri" w:hAnsi="Calibri" w:cs="Calibri"/>
                <w:iCs/>
                <w:color w:val="404040"/>
                <w:sz w:val="16"/>
                <w:szCs w:val="16"/>
              </w:rPr>
            </w:pPr>
            <w:r w:rsidRPr="00AD22A8">
              <w:rPr>
                <w:rFonts w:ascii="Calibri" w:hAnsi="Calibri" w:cs="Calibri"/>
                <w:color w:val="404040"/>
                <w:sz w:val="16"/>
                <w:szCs w:val="16"/>
              </w:rPr>
              <w:t>Mar – Apr 2013</w:t>
            </w:r>
          </w:p>
        </w:tc>
        <w:tc>
          <w:tcPr>
            <w:tcW w:w="992"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$508,652</w:t>
            </w:r>
          </w:p>
        </w:tc>
        <w:tc>
          <w:tcPr>
            <w:tcW w:w="1134"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$8,000</w:t>
            </w:r>
          </w:p>
        </w:tc>
        <w:tc>
          <w:tcPr>
            <w:tcW w:w="993"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p>
        </w:tc>
        <w:tc>
          <w:tcPr>
            <w:tcW w:w="992"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$26,002</w:t>
            </w:r>
          </w:p>
        </w:tc>
        <w:tc>
          <w:tcPr>
            <w:tcW w:w="98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r>
      <w:tr w:rsidR="00542016" w:rsidRPr="00091249" w:rsidTr="00AD22A8">
        <w:trPr>
          <w:trHeight w:val="1193"/>
        </w:trPr>
        <w:tc>
          <w:tcPr>
            <w:tcW w:w="1235"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Frequency (weekend focus + $3.50 daily fare)</w:t>
            </w:r>
          </w:p>
        </w:tc>
        <w:tc>
          <w:tcPr>
            <w:tcW w:w="2559" w:type="dxa"/>
            <w:vAlign w:val="center"/>
          </w:tcPr>
          <w:p w:rsidR="00542016" w:rsidRPr="00091249" w:rsidRDefault="00542016" w:rsidP="000C6757">
            <w:pPr>
              <w:pStyle w:val="Default"/>
            </w:pPr>
            <w:r w:rsidRPr="00AD22A8">
              <w:rPr>
                <w:rFonts w:ascii="Calibri" w:hAnsi="Calibri" w:cs="Calibri"/>
                <w:iCs/>
                <w:color w:val="404040"/>
                <w:sz w:val="16"/>
                <w:szCs w:val="16"/>
              </w:rPr>
              <w:t>To promote 10 minute frequencies and the $3.50 myki weekend cap.</w:t>
            </w:r>
          </w:p>
        </w:tc>
        <w:tc>
          <w:tcPr>
            <w:tcW w:w="992" w:type="dxa"/>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July –Sep 2013</w:t>
            </w:r>
          </w:p>
        </w:tc>
        <w:tc>
          <w:tcPr>
            <w:tcW w:w="992"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$600,000</w:t>
            </w:r>
          </w:p>
        </w:tc>
        <w:tc>
          <w:tcPr>
            <w:tcW w:w="1134"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$69,439</w:t>
            </w:r>
          </w:p>
        </w:tc>
        <w:tc>
          <w:tcPr>
            <w:tcW w:w="993"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p>
        </w:tc>
        <w:tc>
          <w:tcPr>
            <w:tcW w:w="992"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p>
        </w:tc>
        <w:tc>
          <w:tcPr>
            <w:tcW w:w="98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r>
      <w:tr w:rsidR="00542016" w:rsidRPr="00091249" w:rsidTr="00AD22A8">
        <w:trPr>
          <w:trHeight w:val="1193"/>
        </w:trPr>
        <w:tc>
          <w:tcPr>
            <w:tcW w:w="1235" w:type="dxa"/>
            <w:vAlign w:val="center"/>
          </w:tcPr>
          <w:p w:rsidR="00542016" w:rsidRPr="00AD22A8" w:rsidRDefault="00542016" w:rsidP="000C6757">
            <w:pPr>
              <w:pStyle w:val="Default"/>
              <w:rPr>
                <w:rFonts w:ascii="Calibri" w:hAnsi="Calibri" w:cs="Calibri"/>
                <w:iCs/>
                <w:color w:val="404040"/>
                <w:sz w:val="16"/>
                <w:szCs w:val="16"/>
              </w:rPr>
            </w:pPr>
            <w:r w:rsidRPr="00AD22A8">
              <w:rPr>
                <w:rFonts w:ascii="Calibri" w:hAnsi="Calibri" w:cs="Calibri"/>
                <w:iCs/>
                <w:color w:val="404040"/>
                <w:sz w:val="16"/>
                <w:szCs w:val="16"/>
              </w:rPr>
              <w:t>Auto top up - stage 2</w:t>
            </w:r>
          </w:p>
        </w:tc>
        <w:tc>
          <w:tcPr>
            <w:tcW w:w="2559" w:type="dxa"/>
            <w:vAlign w:val="center"/>
          </w:tcPr>
          <w:p w:rsidR="00542016" w:rsidRPr="00AD22A8" w:rsidRDefault="00542016" w:rsidP="000C6757">
            <w:pPr>
              <w:rPr>
                <w:rFonts w:ascii="Calibri" w:hAnsi="Calibri" w:cs="Calibri"/>
                <w:color w:val="404040"/>
                <w:sz w:val="16"/>
                <w:szCs w:val="16"/>
              </w:rPr>
            </w:pPr>
            <w:r w:rsidRPr="00AD22A8">
              <w:rPr>
                <w:rFonts w:ascii="Calibri" w:hAnsi="Calibri" w:cs="Calibri"/>
                <w:iCs/>
                <w:color w:val="404040"/>
                <w:sz w:val="16"/>
                <w:szCs w:val="16"/>
              </w:rPr>
              <w:t>To promote auto top up as a key benefit of myki.</w:t>
            </w:r>
          </w:p>
        </w:tc>
        <w:tc>
          <w:tcPr>
            <w:tcW w:w="992" w:type="dxa"/>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Ongoing</w:t>
            </w:r>
          </w:p>
        </w:tc>
        <w:tc>
          <w:tcPr>
            <w:tcW w:w="992"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$600,000</w:t>
            </w:r>
          </w:p>
        </w:tc>
        <w:tc>
          <w:tcPr>
            <w:tcW w:w="1134"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$54,411</w:t>
            </w:r>
          </w:p>
        </w:tc>
        <w:tc>
          <w:tcPr>
            <w:tcW w:w="993"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p>
        </w:tc>
        <w:tc>
          <w:tcPr>
            <w:tcW w:w="992" w:type="dxa"/>
            <w:shd w:val="clear" w:color="auto" w:fill="BFBFBF"/>
            <w:vAlign w:val="center"/>
          </w:tcPr>
          <w:p w:rsidR="00542016" w:rsidRPr="00AD22A8" w:rsidRDefault="00542016" w:rsidP="000C6757">
            <w:pPr>
              <w:pStyle w:val="Default"/>
              <w:jc w:val="center"/>
              <w:rPr>
                <w:rFonts w:ascii="Calibri" w:hAnsi="Calibri" w:cs="Calibri"/>
                <w:color w:val="404040"/>
                <w:sz w:val="16"/>
                <w:szCs w:val="16"/>
              </w:rPr>
            </w:pPr>
            <w:r w:rsidRPr="00AD22A8">
              <w:rPr>
                <w:rFonts w:ascii="Calibri" w:hAnsi="Calibri" w:cs="Calibri"/>
                <w:color w:val="404040"/>
                <w:sz w:val="16"/>
                <w:szCs w:val="16"/>
              </w:rPr>
              <w:t>$1,674</w:t>
            </w:r>
          </w:p>
        </w:tc>
        <w:tc>
          <w:tcPr>
            <w:tcW w:w="983" w:type="dxa"/>
            <w:shd w:val="clear" w:color="auto" w:fill="BFBFBF"/>
            <w:vAlign w:val="center"/>
          </w:tcPr>
          <w:p w:rsidR="00542016" w:rsidRPr="00AD22A8" w:rsidRDefault="00542016" w:rsidP="000C6757">
            <w:pPr>
              <w:pStyle w:val="Default"/>
              <w:jc w:val="center"/>
              <w:rPr>
                <w:rFonts w:ascii="Calibri" w:hAnsi="Calibri" w:cs="Calibri"/>
                <w:iCs/>
                <w:color w:val="404040"/>
                <w:sz w:val="16"/>
                <w:szCs w:val="16"/>
              </w:rPr>
            </w:pPr>
          </w:p>
        </w:tc>
      </w:tr>
    </w:tbl>
    <w:p w:rsidR="00542016" w:rsidRDefault="00542016" w:rsidP="00542016">
      <w:pPr>
        <w:pStyle w:val="Bullet1"/>
        <w:numPr>
          <w:ilvl w:val="0"/>
          <w:numId w:val="0"/>
        </w:numPr>
        <w:rPr>
          <w:b/>
          <w:lang w:eastAsia="en-US"/>
        </w:rPr>
      </w:pPr>
    </w:p>
    <w:p w:rsidR="00542016" w:rsidRDefault="00542016" w:rsidP="00542016">
      <w:pPr>
        <w:rPr>
          <w:rFonts w:ascii="Arial" w:hAnsi="Arial" w:cs="Arial"/>
          <w:b/>
          <w:sz w:val="28"/>
          <w:szCs w:val="28"/>
        </w:rPr>
      </w:pPr>
      <w:r>
        <w:rPr>
          <w:rFonts w:ascii="Arial" w:hAnsi="Arial" w:cs="Arial"/>
          <w:b/>
          <w:sz w:val="28"/>
          <w:szCs w:val="28"/>
        </w:rPr>
        <w:br w:type="page"/>
      </w:r>
    </w:p>
    <w:p w:rsidR="00542016" w:rsidRDefault="00542016" w:rsidP="00542016">
      <w:pPr>
        <w:rPr>
          <w:rFonts w:ascii="Arial" w:hAnsi="Arial" w:cs="Arial"/>
          <w:b/>
          <w:sz w:val="28"/>
          <w:szCs w:val="28"/>
        </w:rPr>
      </w:pPr>
    </w:p>
    <w:p w:rsidR="00542016" w:rsidRDefault="00542016" w:rsidP="00A73F5E">
      <w:pPr>
        <w:pStyle w:val="Heading10"/>
        <w:outlineLvl w:val="0"/>
      </w:pPr>
      <w:bookmarkStart w:id="313" w:name="_Toc365383091"/>
      <w:bookmarkStart w:id="314" w:name="_Toc366672121"/>
      <w:r>
        <w:t>Victorian Industry Participation Policy</w:t>
      </w:r>
      <w:bookmarkEnd w:id="313"/>
      <w:bookmarkEnd w:id="314"/>
    </w:p>
    <w:p w:rsidR="00542016" w:rsidRPr="00351ADF" w:rsidRDefault="00542016" w:rsidP="00542016">
      <w:pPr>
        <w:rPr>
          <w:rFonts w:ascii="Arial" w:hAnsi="Arial" w:cs="Arial"/>
          <w:b/>
        </w:rPr>
      </w:pPr>
    </w:p>
    <w:p w:rsidR="00542016" w:rsidRPr="00351ADF" w:rsidRDefault="00542016" w:rsidP="00542016">
      <w:pPr>
        <w:rPr>
          <w:rFonts w:ascii="Arial" w:hAnsi="Arial" w:cs="Arial"/>
        </w:rPr>
      </w:pPr>
      <w:r w:rsidRPr="00351ADF">
        <w:rPr>
          <w:rFonts w:ascii="Arial" w:hAnsi="Arial" w:cs="Arial"/>
        </w:rPr>
        <w:t xml:space="preserve">The </w:t>
      </w:r>
      <w:r w:rsidRPr="00351ADF">
        <w:rPr>
          <w:rFonts w:ascii="Arial" w:hAnsi="Arial" w:cs="Arial"/>
          <w:i/>
          <w:iCs/>
        </w:rPr>
        <w:t>Victorian Industry Participation Policy Act 2003</w:t>
      </w:r>
      <w:r w:rsidRPr="00351ADF">
        <w:rPr>
          <w:rFonts w:ascii="Arial" w:hAnsi="Arial" w:cs="Arial"/>
        </w:rPr>
        <w:t xml:space="preserve"> requires public bodies and departments to report on the implementation of the Victorian Industry Participation Policy (VIPP). Departments and public bodies are required to apply VIPP in all tenders over $3 million in metropolitan Melbourne and $1 million in regional Victoria.</w:t>
      </w:r>
    </w:p>
    <w:p w:rsidR="00542016" w:rsidRPr="00351ADF" w:rsidRDefault="00542016" w:rsidP="00542016">
      <w:pPr>
        <w:pStyle w:val="Bullet"/>
        <w:numPr>
          <w:ilvl w:val="0"/>
          <w:numId w:val="0"/>
        </w:numPr>
        <w:rPr>
          <w:rFonts w:ascii="Arial" w:hAnsi="Arial" w:cs="Arial"/>
          <w:sz w:val="24"/>
          <w:szCs w:val="24"/>
        </w:rPr>
      </w:pPr>
      <w:r w:rsidRPr="00351ADF">
        <w:rPr>
          <w:rFonts w:ascii="Arial" w:hAnsi="Arial" w:cs="Arial"/>
          <w:sz w:val="24"/>
          <w:szCs w:val="24"/>
        </w:rPr>
        <w:t xml:space="preserve">During 2012-13 PTV did not commence any contracts </w:t>
      </w:r>
      <w:r>
        <w:rPr>
          <w:rFonts w:ascii="Arial" w:hAnsi="Arial" w:cs="Arial"/>
          <w:sz w:val="24"/>
          <w:szCs w:val="24"/>
        </w:rPr>
        <w:t xml:space="preserve">to </w:t>
      </w:r>
      <w:r w:rsidRPr="00351ADF">
        <w:rPr>
          <w:rFonts w:ascii="Arial" w:hAnsi="Arial" w:cs="Arial"/>
          <w:sz w:val="24"/>
          <w:szCs w:val="24"/>
        </w:rPr>
        <w:t>which the VIPP applied.</w:t>
      </w:r>
    </w:p>
    <w:p w:rsidR="00542016" w:rsidRPr="00351ADF" w:rsidRDefault="00542016" w:rsidP="00542016">
      <w:pPr>
        <w:spacing w:before="240"/>
        <w:rPr>
          <w:rFonts w:ascii="Arial" w:hAnsi="Arial" w:cs="Arial"/>
        </w:rPr>
      </w:pPr>
      <w:r w:rsidRPr="00351ADF">
        <w:rPr>
          <w:rFonts w:ascii="Arial" w:hAnsi="Arial" w:cs="Arial"/>
        </w:rPr>
        <w:t xml:space="preserve">Details of contracts </w:t>
      </w:r>
      <w:r w:rsidRPr="00351ADF">
        <w:rPr>
          <w:rFonts w:ascii="Arial" w:hAnsi="Arial" w:cs="Arial"/>
          <w:b/>
        </w:rPr>
        <w:t>completed</w:t>
      </w:r>
      <w:r w:rsidRPr="00351ADF">
        <w:rPr>
          <w:rFonts w:ascii="Arial" w:hAnsi="Arial" w:cs="Arial"/>
        </w:rPr>
        <w:t>, to which the VIPP applied are as follows:</w:t>
      </w:r>
    </w:p>
    <w:p w:rsidR="00542016" w:rsidRPr="00351ADF" w:rsidRDefault="00542016" w:rsidP="00542016">
      <w:pPr>
        <w:pStyle w:val="Bullet"/>
        <w:rPr>
          <w:rFonts w:ascii="Arial" w:hAnsi="Arial" w:cs="Arial"/>
          <w:sz w:val="24"/>
          <w:szCs w:val="24"/>
        </w:rPr>
      </w:pPr>
      <w:r w:rsidRPr="00351ADF">
        <w:rPr>
          <w:rFonts w:ascii="Arial" w:hAnsi="Arial" w:cs="Arial"/>
          <w:sz w:val="24"/>
          <w:szCs w:val="24"/>
        </w:rPr>
        <w:t>during 2012</w:t>
      </w:r>
      <w:r w:rsidRPr="00351ADF">
        <w:rPr>
          <w:rFonts w:ascii="Arial" w:hAnsi="Arial" w:cs="Arial"/>
          <w:sz w:val="24"/>
          <w:szCs w:val="24"/>
        </w:rPr>
        <w:noBreakHyphen/>
        <w:t xml:space="preserve">13, PTV completed </w:t>
      </w:r>
      <w:r>
        <w:rPr>
          <w:rFonts w:ascii="Arial" w:hAnsi="Arial" w:cs="Arial"/>
          <w:sz w:val="24"/>
          <w:szCs w:val="24"/>
        </w:rPr>
        <w:t>one</w:t>
      </w:r>
      <w:r w:rsidRPr="00351ADF">
        <w:rPr>
          <w:rFonts w:ascii="Arial" w:hAnsi="Arial" w:cs="Arial"/>
          <w:sz w:val="24"/>
          <w:szCs w:val="24"/>
        </w:rPr>
        <w:t xml:space="preserve"> contract totalling $20.7 million in value in metropolitan Melbourne.</w:t>
      </w:r>
    </w:p>
    <w:p w:rsidR="00542016" w:rsidRPr="00351ADF" w:rsidRDefault="00542016" w:rsidP="00542016">
      <w:pPr>
        <w:spacing w:before="240"/>
        <w:rPr>
          <w:rFonts w:ascii="Arial" w:hAnsi="Arial" w:cs="Arial"/>
        </w:rPr>
      </w:pPr>
      <w:r w:rsidRPr="00351ADF">
        <w:rPr>
          <w:rFonts w:ascii="Arial" w:hAnsi="Arial" w:cs="Arial"/>
        </w:rPr>
        <w:t>The outcomes reported by contractors under VIPP included:</w:t>
      </w:r>
    </w:p>
    <w:p w:rsidR="00542016" w:rsidRPr="00351ADF" w:rsidRDefault="00542016" w:rsidP="00542016">
      <w:pPr>
        <w:pStyle w:val="Bullet"/>
        <w:rPr>
          <w:rFonts w:ascii="Arial" w:hAnsi="Arial" w:cs="Arial"/>
          <w:sz w:val="24"/>
          <w:szCs w:val="24"/>
        </w:rPr>
      </w:pPr>
      <w:r w:rsidRPr="00351ADF">
        <w:rPr>
          <w:rFonts w:ascii="Arial" w:hAnsi="Arial" w:cs="Arial"/>
          <w:sz w:val="24"/>
          <w:szCs w:val="24"/>
        </w:rPr>
        <w:t>an overall level of local content of 90 per cent of the total value of the contracts</w:t>
      </w:r>
    </w:p>
    <w:p w:rsidR="00542016" w:rsidRPr="00351ADF" w:rsidRDefault="00542016" w:rsidP="00542016">
      <w:pPr>
        <w:pStyle w:val="Bullet"/>
        <w:rPr>
          <w:rFonts w:ascii="Arial" w:hAnsi="Arial" w:cs="Arial"/>
          <w:sz w:val="24"/>
          <w:szCs w:val="24"/>
        </w:rPr>
      </w:pPr>
      <w:r w:rsidRPr="00351ADF">
        <w:rPr>
          <w:rFonts w:ascii="Arial" w:hAnsi="Arial" w:cs="Arial"/>
          <w:sz w:val="24"/>
          <w:szCs w:val="24"/>
        </w:rPr>
        <w:t>47 full time equivalent jobs.</w:t>
      </w:r>
    </w:p>
    <w:p w:rsidR="00542016" w:rsidRPr="00351ADF" w:rsidRDefault="00542016" w:rsidP="00542016">
      <w:pPr>
        <w:spacing w:before="240"/>
        <w:rPr>
          <w:rFonts w:ascii="Arial" w:hAnsi="Arial" w:cs="Arial"/>
        </w:rPr>
      </w:pPr>
      <w:r w:rsidRPr="00351ADF">
        <w:rPr>
          <w:rFonts w:ascii="Arial" w:hAnsi="Arial" w:cs="Arial"/>
        </w:rPr>
        <w:t>The benefits to the Victorian economy in terms of skills and technology transfer include:</w:t>
      </w:r>
    </w:p>
    <w:p w:rsidR="00542016" w:rsidRPr="00351ADF" w:rsidRDefault="00542016" w:rsidP="00542016">
      <w:pPr>
        <w:pStyle w:val="Bullet"/>
        <w:rPr>
          <w:rFonts w:ascii="Arial" w:hAnsi="Arial" w:cs="Arial"/>
          <w:sz w:val="24"/>
          <w:szCs w:val="24"/>
        </w:rPr>
      </w:pPr>
      <w:r w:rsidRPr="00351ADF">
        <w:rPr>
          <w:rFonts w:ascii="Arial" w:hAnsi="Arial" w:cs="Arial"/>
          <w:sz w:val="24"/>
          <w:szCs w:val="24"/>
        </w:rPr>
        <w:t xml:space="preserve">engineers and rail operators (including maintenance staff) have been trained in the use and implementation of </w:t>
      </w:r>
      <w:r>
        <w:rPr>
          <w:rFonts w:ascii="Arial" w:hAnsi="Arial" w:cs="Arial"/>
          <w:sz w:val="24"/>
          <w:szCs w:val="24"/>
        </w:rPr>
        <w:t xml:space="preserve">the </w:t>
      </w:r>
      <w:r w:rsidRPr="00351ADF">
        <w:rPr>
          <w:rFonts w:ascii="Arial" w:hAnsi="Arial" w:cs="Arial"/>
          <w:sz w:val="24"/>
          <w:szCs w:val="24"/>
        </w:rPr>
        <w:t>latest systems technology</w:t>
      </w:r>
    </w:p>
    <w:p w:rsidR="00542016" w:rsidRDefault="00542016" w:rsidP="00542016">
      <w:pPr>
        <w:rPr>
          <w:rFonts w:ascii="Arial" w:hAnsi="Arial" w:cs="Arial"/>
          <w:b/>
          <w:sz w:val="28"/>
          <w:szCs w:val="28"/>
        </w:rPr>
      </w:pPr>
      <w:r>
        <w:rPr>
          <w:rFonts w:ascii="Arial" w:hAnsi="Arial" w:cs="Arial"/>
          <w:b/>
          <w:sz w:val="28"/>
          <w:szCs w:val="28"/>
        </w:rPr>
        <w:br w:type="page"/>
      </w:r>
    </w:p>
    <w:p w:rsidR="00542016" w:rsidRDefault="00542016" w:rsidP="00A73F5E">
      <w:pPr>
        <w:pStyle w:val="Heading10"/>
        <w:outlineLvl w:val="0"/>
      </w:pPr>
      <w:bookmarkStart w:id="315" w:name="_Toc365383092"/>
      <w:bookmarkStart w:id="316" w:name="_Toc366672122"/>
      <w:r>
        <w:t>National Competition Policy Compliance</w:t>
      </w:r>
      <w:bookmarkEnd w:id="315"/>
      <w:bookmarkEnd w:id="316"/>
    </w:p>
    <w:p w:rsidR="00542016" w:rsidRPr="00E30AC5" w:rsidRDefault="00542016" w:rsidP="00542016">
      <w:pPr>
        <w:rPr>
          <w:rFonts w:ascii="Arial" w:hAnsi="Arial" w:cs="Arial"/>
        </w:rPr>
      </w:pPr>
    </w:p>
    <w:p w:rsidR="00542016" w:rsidRPr="00E30AC5" w:rsidRDefault="00542016" w:rsidP="00542016">
      <w:pPr>
        <w:rPr>
          <w:rFonts w:ascii="Arial" w:hAnsi="Arial" w:cs="Arial"/>
        </w:rPr>
      </w:pPr>
      <w:r w:rsidRPr="00E30AC5">
        <w:rPr>
          <w:rFonts w:ascii="Arial" w:hAnsi="Arial" w:cs="Arial"/>
        </w:rPr>
        <w:t>Under the National Competition Policy, the guiding legislative principle is that legislation, including future legislative proposals, should not restrict competition unless it can be demonstrated that:</w:t>
      </w:r>
    </w:p>
    <w:p w:rsidR="00542016" w:rsidRPr="00E30AC5" w:rsidRDefault="00542016" w:rsidP="00542016">
      <w:pPr>
        <w:pStyle w:val="Bullet"/>
        <w:rPr>
          <w:rFonts w:ascii="Arial" w:hAnsi="Arial" w:cs="Arial"/>
          <w:sz w:val="24"/>
          <w:szCs w:val="24"/>
        </w:rPr>
      </w:pPr>
      <w:r w:rsidRPr="00E30AC5">
        <w:rPr>
          <w:rFonts w:ascii="Arial" w:hAnsi="Arial" w:cs="Arial"/>
          <w:sz w:val="24"/>
          <w:szCs w:val="24"/>
        </w:rPr>
        <w:t>the benefits of the restriction to the community as a whole outweigh the costs</w:t>
      </w:r>
    </w:p>
    <w:p w:rsidR="00542016" w:rsidRPr="00E30AC5" w:rsidRDefault="00542016" w:rsidP="00542016">
      <w:pPr>
        <w:pStyle w:val="Bullet"/>
        <w:rPr>
          <w:rFonts w:ascii="Arial" w:hAnsi="Arial" w:cs="Arial"/>
          <w:sz w:val="24"/>
          <w:szCs w:val="24"/>
        </w:rPr>
      </w:pPr>
      <w:r w:rsidRPr="00E30AC5">
        <w:rPr>
          <w:rFonts w:ascii="Arial" w:hAnsi="Arial" w:cs="Arial"/>
          <w:sz w:val="24"/>
          <w:szCs w:val="24"/>
        </w:rPr>
        <w:t>the objectives of the legislation can only be achieved by restricting competition.</w:t>
      </w:r>
    </w:p>
    <w:p w:rsidR="00542016" w:rsidRPr="00E30AC5" w:rsidRDefault="00542016" w:rsidP="00542016">
      <w:pPr>
        <w:rPr>
          <w:rFonts w:ascii="Arial" w:hAnsi="Arial" w:cs="Arial"/>
        </w:rPr>
      </w:pPr>
    </w:p>
    <w:p w:rsidR="00542016" w:rsidRDefault="00542016" w:rsidP="00542016">
      <w:pPr>
        <w:rPr>
          <w:rFonts w:ascii="Arial" w:hAnsi="Arial" w:cs="Arial"/>
        </w:rPr>
      </w:pPr>
      <w:r w:rsidRPr="00E30AC5">
        <w:rPr>
          <w:rFonts w:ascii="Arial" w:hAnsi="Arial" w:cs="Arial"/>
        </w:rPr>
        <w:t>PTV continues to comply with the requirements of the National Competition Policy.</w:t>
      </w:r>
    </w:p>
    <w:p w:rsidR="00542016" w:rsidRPr="00E30AC5" w:rsidRDefault="00542016" w:rsidP="00542016">
      <w:pPr>
        <w:rPr>
          <w:rFonts w:ascii="Arial" w:hAnsi="Arial" w:cs="Arial"/>
        </w:rPr>
      </w:pPr>
    </w:p>
    <w:p w:rsidR="00542016" w:rsidRPr="00E30AC5" w:rsidRDefault="00542016" w:rsidP="00542016">
      <w:pPr>
        <w:rPr>
          <w:rFonts w:ascii="Arial" w:hAnsi="Arial" w:cs="Arial"/>
        </w:rPr>
      </w:pPr>
      <w:r w:rsidRPr="00E30AC5">
        <w:rPr>
          <w:rFonts w:ascii="Arial" w:hAnsi="Arial" w:cs="Arial"/>
        </w:rPr>
        <w:t>Competitive neutrality requires government businesses to ensure where services compete, or potentially compete with the private sector, any advantage arising solely from their government ownership be removed if they are not in the public interest. Government businesses are required to cost and price these services as if they were privately owned and thus be fully cost reflective. Competitive neutrality policy provides government businesses with a tool to enhance decisions on resource allocation. This policy does not override other policy objectives of government and focuses on efficiency in the provision of service.</w:t>
      </w:r>
    </w:p>
    <w:p w:rsidR="00542016" w:rsidRPr="00E30AC5" w:rsidRDefault="00542016" w:rsidP="00542016">
      <w:pPr>
        <w:rPr>
          <w:rFonts w:ascii="Arial" w:hAnsi="Arial" w:cs="Arial"/>
        </w:rPr>
      </w:pPr>
    </w:p>
    <w:p w:rsidR="00542016" w:rsidRPr="00E30AC5" w:rsidRDefault="00542016" w:rsidP="00542016">
      <w:pPr>
        <w:rPr>
          <w:rFonts w:ascii="Arial" w:hAnsi="Arial" w:cs="Arial"/>
        </w:rPr>
      </w:pPr>
      <w:r w:rsidRPr="00E30AC5">
        <w:rPr>
          <w:rFonts w:ascii="Arial" w:hAnsi="Arial" w:cs="Arial"/>
        </w:rPr>
        <w:t>Therefore PTV is working to ensure that Victoria fulfils its requirements on competitive neutrality reporting for technological based businesses against the enhanced principles as required under the National Reform Agenda.</w:t>
      </w:r>
    </w:p>
    <w:p w:rsidR="00542016" w:rsidRPr="00E30AC5" w:rsidRDefault="00542016" w:rsidP="00542016">
      <w:pPr>
        <w:rPr>
          <w:rFonts w:ascii="Arial" w:hAnsi="Arial" w:cs="Arial"/>
          <w:b/>
        </w:rPr>
      </w:pPr>
      <w:r w:rsidRPr="00E30AC5">
        <w:rPr>
          <w:rFonts w:ascii="Arial" w:hAnsi="Arial" w:cs="Arial"/>
          <w:b/>
        </w:rPr>
        <w:br w:type="page"/>
      </w:r>
    </w:p>
    <w:p w:rsidR="00542016" w:rsidRDefault="00542016" w:rsidP="00A73F5E">
      <w:pPr>
        <w:pStyle w:val="Heading10"/>
        <w:outlineLvl w:val="0"/>
      </w:pPr>
      <w:bookmarkStart w:id="317" w:name="_Toc365383093"/>
      <w:bookmarkStart w:id="318" w:name="_Toc366672123"/>
      <w:r>
        <w:t>Attestation of Risk Management</w:t>
      </w:r>
      <w:bookmarkEnd w:id="317"/>
      <w:bookmarkEnd w:id="318"/>
    </w:p>
    <w:p w:rsidR="00542016" w:rsidRPr="00E01C02" w:rsidRDefault="00542016" w:rsidP="00ED42C3">
      <w:pPr>
        <w:pStyle w:val="Heading20"/>
      </w:pPr>
      <w:bookmarkStart w:id="319" w:name="_Toc219779127"/>
      <w:r w:rsidRPr="00E01C02">
        <w:t>Attestation for compliance with the Australian/New Zealand Risk Management Standard</w:t>
      </w:r>
      <w:bookmarkEnd w:id="319"/>
    </w:p>
    <w:p w:rsidR="00542016" w:rsidRPr="001403CB" w:rsidRDefault="00542016" w:rsidP="00542016">
      <w:pPr>
        <w:rPr>
          <w:rFonts w:ascii="Arial" w:hAnsi="Arial" w:cs="Arial"/>
          <w:lang w:eastAsia="en-US"/>
        </w:rPr>
      </w:pPr>
    </w:p>
    <w:p w:rsidR="00542016" w:rsidRPr="001403CB" w:rsidRDefault="00542016" w:rsidP="00542016">
      <w:pPr>
        <w:pStyle w:val="SmallLine"/>
        <w:rPr>
          <w:rFonts w:ascii="Arial" w:hAnsi="Arial" w:cs="Arial"/>
          <w:sz w:val="24"/>
          <w:szCs w:val="24"/>
        </w:rPr>
      </w:pPr>
      <w:r w:rsidRPr="00644DC9">
        <w:rPr>
          <w:rFonts w:ascii="Arial" w:hAnsi="Arial" w:cs="Arial"/>
          <w:iCs/>
          <w:sz w:val="24"/>
          <w:szCs w:val="24"/>
        </w:rPr>
        <w:t>I, Ian Dobbs, Chair of the Board, certify that the Public Transport Development Authority operating as Public Transport Victoria (</w:t>
      </w:r>
      <w:r w:rsidRPr="00644DC9">
        <w:rPr>
          <w:rFonts w:ascii="Arial" w:hAnsi="Arial" w:cs="Arial"/>
          <w:b/>
          <w:bCs/>
          <w:iCs/>
          <w:sz w:val="24"/>
          <w:szCs w:val="24"/>
        </w:rPr>
        <w:t>PTV</w:t>
      </w:r>
      <w:r w:rsidRPr="00644DC9">
        <w:rPr>
          <w:rFonts w:ascii="Arial" w:hAnsi="Arial" w:cs="Arial"/>
          <w:iCs/>
          <w:sz w:val="24"/>
          <w:szCs w:val="24"/>
        </w:rPr>
        <w:t>) has risk management processes in place consistent with the Australian/New Zealand Risk Management Standard AS/NZS ISO 31000:2009 or its successor) and an internal control system is in place that enables the executive to understand, manage and satisfactorily control risk exposures. The PTV Board verifies this assurance and that the risk profile of PTV has been critically reviewed within the last 12 months.</w:t>
      </w:r>
    </w:p>
    <w:p w:rsidR="00542016" w:rsidRPr="001403CB" w:rsidRDefault="00542016" w:rsidP="00542016">
      <w:pPr>
        <w:pStyle w:val="SmallLine"/>
        <w:rPr>
          <w:rFonts w:ascii="Arial" w:hAnsi="Arial" w:cs="Arial"/>
          <w:sz w:val="24"/>
          <w:szCs w:val="24"/>
        </w:rPr>
      </w:pPr>
    </w:p>
    <w:p w:rsidR="00542016" w:rsidRPr="00E01C02" w:rsidRDefault="00542016" w:rsidP="00542016">
      <w:pPr>
        <w:ind w:right="188"/>
        <w:rPr>
          <w:rFonts w:ascii="Arial" w:hAnsi="Arial" w:cs="Arial"/>
        </w:rPr>
      </w:pPr>
      <w:r w:rsidRPr="00E01C02">
        <w:rPr>
          <w:rFonts w:ascii="Arial" w:hAnsi="Arial" w:cs="Arial"/>
        </w:rPr>
        <w:t>Ian Dobbs</w:t>
      </w:r>
      <w:r w:rsidRPr="00E01C02">
        <w:rPr>
          <w:rFonts w:ascii="Arial" w:hAnsi="Arial" w:cs="Arial"/>
        </w:rPr>
        <w:br/>
        <w:t>Chair and Chief Executive</w:t>
      </w:r>
      <w:r w:rsidRPr="00E01C02">
        <w:rPr>
          <w:rFonts w:ascii="Arial" w:hAnsi="Arial" w:cs="Arial"/>
        </w:rPr>
        <w:br/>
        <w:t>Public Transport Victoria</w:t>
      </w:r>
    </w:p>
    <w:p w:rsidR="00542016" w:rsidRPr="00E01C02" w:rsidRDefault="00542016" w:rsidP="00542016">
      <w:pPr>
        <w:ind w:right="188"/>
        <w:rPr>
          <w:rFonts w:ascii="Arial" w:hAnsi="Arial" w:cs="Arial"/>
        </w:rPr>
      </w:pPr>
      <w:r>
        <w:rPr>
          <w:rFonts w:ascii="Arial" w:hAnsi="Arial" w:cs="Arial"/>
        </w:rPr>
        <w:t>17 September</w:t>
      </w:r>
      <w:r w:rsidRPr="00E01C02">
        <w:rPr>
          <w:rFonts w:ascii="Arial" w:hAnsi="Arial" w:cs="Arial"/>
        </w:rPr>
        <w:t xml:space="preserve"> 2013</w:t>
      </w:r>
    </w:p>
    <w:p w:rsidR="00542016" w:rsidRPr="00E01C02" w:rsidRDefault="00542016" w:rsidP="00542016">
      <w:pPr>
        <w:rPr>
          <w:rFonts w:ascii="Arial" w:hAnsi="Arial" w:cs="Arial"/>
        </w:rPr>
      </w:pPr>
    </w:p>
    <w:p w:rsidR="00542016" w:rsidRPr="006F4151" w:rsidRDefault="00542016" w:rsidP="00A73F5E">
      <w:pPr>
        <w:pStyle w:val="Heading10"/>
        <w:outlineLvl w:val="0"/>
      </w:pPr>
      <w:bookmarkStart w:id="320" w:name="_Toc365383094"/>
      <w:bookmarkStart w:id="321" w:name="_Toc366672124"/>
      <w:r w:rsidRPr="006F4151">
        <w:t>Insurance Attestation</w:t>
      </w:r>
      <w:bookmarkEnd w:id="320"/>
      <w:bookmarkEnd w:id="321"/>
    </w:p>
    <w:p w:rsidR="00542016" w:rsidRPr="00950C60" w:rsidRDefault="00542016" w:rsidP="00ED42C3">
      <w:pPr>
        <w:pStyle w:val="Heading20"/>
      </w:pPr>
      <w:r w:rsidRPr="00950C60">
        <w:t>Attestation for compliance with the Ministerial Standing Direction 4.5.5.1 – Insurance</w:t>
      </w:r>
    </w:p>
    <w:p w:rsidR="00542016" w:rsidRPr="001403CB" w:rsidRDefault="00542016" w:rsidP="00542016">
      <w:pPr>
        <w:rPr>
          <w:rFonts w:ascii="Arial" w:hAnsi="Arial" w:cs="Arial"/>
        </w:rPr>
      </w:pPr>
    </w:p>
    <w:p w:rsidR="00542016" w:rsidRDefault="00542016" w:rsidP="00542016">
      <w:pPr>
        <w:rPr>
          <w:rFonts w:ascii="Arial" w:hAnsi="Arial" w:cs="Arial"/>
        </w:rPr>
      </w:pPr>
      <w:r w:rsidRPr="00644DC9">
        <w:rPr>
          <w:rFonts w:ascii="Arial" w:hAnsi="Arial" w:cs="Arial"/>
        </w:rPr>
        <w:t>I, Ian Dobbs, Chair of the Board, certify that the Public Transport Development Authority operating as Public Transport Victoria (</w:t>
      </w:r>
      <w:r w:rsidRPr="00644DC9">
        <w:rPr>
          <w:rFonts w:ascii="Arial" w:hAnsi="Arial" w:cs="Arial"/>
          <w:b/>
          <w:bCs/>
        </w:rPr>
        <w:t>PTV</w:t>
      </w:r>
      <w:r w:rsidRPr="00644DC9">
        <w:rPr>
          <w:rFonts w:ascii="Arial" w:hAnsi="Arial" w:cs="Arial"/>
        </w:rPr>
        <w:t xml:space="preserve">) has complied with Ministerial Direction 4.5.5.1 - Insurance except for Part (b) of the Direction.  </w:t>
      </w:r>
    </w:p>
    <w:p w:rsidR="00542016" w:rsidRDefault="00542016" w:rsidP="00542016">
      <w:pPr>
        <w:rPr>
          <w:rFonts w:ascii="Arial" w:hAnsi="Arial" w:cs="Arial"/>
        </w:rPr>
      </w:pPr>
      <w:r>
        <w:rPr>
          <w:rFonts w:ascii="Arial" w:hAnsi="Arial" w:cs="Arial"/>
        </w:rPr>
        <w:t>Although PTV has mature document management systems, PTV is in the process of establishing a register of contractor indemnities at this point. PTV has discussed this with the Victorian Managed Insurance Authority (VMIA), and plans to work with the VMIA to seek to develop and implement suitable systems.</w:t>
      </w:r>
    </w:p>
    <w:p w:rsidR="00542016" w:rsidRPr="001403CB" w:rsidRDefault="00542016" w:rsidP="00542016">
      <w:pPr>
        <w:rPr>
          <w:rFonts w:ascii="Arial" w:hAnsi="Arial" w:cs="Arial"/>
          <w:color w:val="0000FF"/>
        </w:rPr>
      </w:pPr>
    </w:p>
    <w:p w:rsidR="00542016" w:rsidRPr="006F4151" w:rsidRDefault="00542016" w:rsidP="00542016">
      <w:pPr>
        <w:pStyle w:val="SmallLine"/>
        <w:rPr>
          <w:rFonts w:ascii="Arial" w:hAnsi="Arial" w:cs="Arial"/>
        </w:rPr>
      </w:pPr>
    </w:p>
    <w:p w:rsidR="00542016" w:rsidRPr="006F4151" w:rsidRDefault="00542016" w:rsidP="00542016">
      <w:pPr>
        <w:ind w:right="188"/>
        <w:rPr>
          <w:rFonts w:ascii="Arial" w:hAnsi="Arial" w:cs="Arial"/>
          <w:szCs w:val="20"/>
        </w:rPr>
      </w:pPr>
      <w:r w:rsidRPr="006F4151">
        <w:rPr>
          <w:rFonts w:ascii="Arial" w:hAnsi="Arial" w:cs="Arial"/>
          <w:szCs w:val="20"/>
        </w:rPr>
        <w:t>Ian Dobbs</w:t>
      </w:r>
      <w:r w:rsidRPr="006F4151">
        <w:rPr>
          <w:rFonts w:ascii="Arial" w:hAnsi="Arial" w:cs="Arial"/>
          <w:szCs w:val="20"/>
        </w:rPr>
        <w:br/>
        <w:t>Chair and Chief Executive</w:t>
      </w:r>
      <w:r w:rsidRPr="006F4151">
        <w:rPr>
          <w:rFonts w:ascii="Arial" w:hAnsi="Arial" w:cs="Arial"/>
          <w:szCs w:val="20"/>
        </w:rPr>
        <w:br/>
        <w:t>Public Transport Victoria</w:t>
      </w:r>
    </w:p>
    <w:p w:rsidR="00542016" w:rsidRPr="006F4151" w:rsidRDefault="00542016" w:rsidP="00542016">
      <w:pPr>
        <w:ind w:right="188"/>
        <w:rPr>
          <w:rFonts w:ascii="Arial" w:hAnsi="Arial" w:cs="Arial"/>
          <w:szCs w:val="20"/>
        </w:rPr>
      </w:pPr>
      <w:r>
        <w:rPr>
          <w:rFonts w:ascii="Arial" w:hAnsi="Arial" w:cs="Arial"/>
          <w:szCs w:val="20"/>
        </w:rPr>
        <w:t>17 September</w:t>
      </w:r>
      <w:r w:rsidRPr="006F4151">
        <w:rPr>
          <w:rFonts w:ascii="Arial" w:hAnsi="Arial" w:cs="Arial"/>
          <w:szCs w:val="20"/>
        </w:rPr>
        <w:t xml:space="preserve"> 2013</w:t>
      </w:r>
    </w:p>
    <w:p w:rsidR="00542016" w:rsidRPr="006F4151" w:rsidRDefault="00542016" w:rsidP="00542016">
      <w:pPr>
        <w:rPr>
          <w:rFonts w:ascii="Arial" w:hAnsi="Arial" w:cs="Arial"/>
          <w:szCs w:val="20"/>
        </w:rPr>
      </w:pPr>
    </w:p>
    <w:p w:rsidR="00542016" w:rsidRDefault="00542016" w:rsidP="00542016">
      <w:pPr>
        <w:rPr>
          <w:rFonts w:ascii="Arial" w:hAnsi="Arial" w:cs="Arial"/>
          <w:b/>
          <w:sz w:val="28"/>
          <w:szCs w:val="28"/>
        </w:rPr>
      </w:pPr>
      <w:r>
        <w:rPr>
          <w:rFonts w:ascii="Arial" w:hAnsi="Arial" w:cs="Arial"/>
          <w:b/>
          <w:sz w:val="28"/>
          <w:szCs w:val="28"/>
        </w:rPr>
        <w:br w:type="page"/>
      </w:r>
    </w:p>
    <w:p w:rsidR="00542016" w:rsidRDefault="00542016" w:rsidP="00A73F5E">
      <w:pPr>
        <w:pStyle w:val="Heading10"/>
        <w:outlineLvl w:val="0"/>
      </w:pPr>
      <w:bookmarkStart w:id="322" w:name="_Toc365383095"/>
      <w:bookmarkStart w:id="323" w:name="_Toc366672125"/>
      <w:r>
        <w:t>Building Act Compliance</w:t>
      </w:r>
      <w:bookmarkEnd w:id="322"/>
      <w:bookmarkEnd w:id="323"/>
    </w:p>
    <w:p w:rsidR="00542016" w:rsidRDefault="00542016" w:rsidP="00542016">
      <w:pPr>
        <w:autoSpaceDE w:val="0"/>
        <w:autoSpaceDN w:val="0"/>
        <w:adjustRightInd w:val="0"/>
        <w:rPr>
          <w:b/>
        </w:rPr>
      </w:pPr>
    </w:p>
    <w:p w:rsidR="00542016" w:rsidRDefault="00542016" w:rsidP="00542016">
      <w:pPr>
        <w:autoSpaceDE w:val="0"/>
        <w:autoSpaceDN w:val="0"/>
        <w:adjustRightInd w:val="0"/>
        <w:rPr>
          <w:rFonts w:ascii="Arial" w:hAnsi="Arial" w:cs="Arial"/>
        </w:rPr>
      </w:pPr>
      <w:r w:rsidRPr="00DE26A8">
        <w:rPr>
          <w:rFonts w:ascii="Arial" w:hAnsi="Arial" w:cs="Arial"/>
        </w:rPr>
        <w:t xml:space="preserve">Directions of the Minister for Finance require this Annual Report to include a statement on the extent of compliance with the building and maintenance provisions of the </w:t>
      </w:r>
      <w:r w:rsidRPr="00DE26A8">
        <w:rPr>
          <w:rFonts w:ascii="Arial" w:hAnsi="Arial" w:cs="Arial"/>
          <w:i/>
          <w:iCs/>
        </w:rPr>
        <w:t>Building Act 1993</w:t>
      </w:r>
      <w:r w:rsidRPr="00DE26A8">
        <w:rPr>
          <w:rFonts w:ascii="Arial" w:hAnsi="Arial" w:cs="Arial"/>
        </w:rPr>
        <w:t xml:space="preserve">, for publicly-owned buildings controlled by PTV. </w:t>
      </w:r>
    </w:p>
    <w:p w:rsidR="00542016" w:rsidRDefault="00542016" w:rsidP="00542016">
      <w:pPr>
        <w:autoSpaceDE w:val="0"/>
        <w:autoSpaceDN w:val="0"/>
        <w:adjustRightInd w:val="0"/>
        <w:rPr>
          <w:rFonts w:ascii="Arial" w:hAnsi="Arial" w:cs="Arial"/>
        </w:rPr>
      </w:pPr>
    </w:p>
    <w:p w:rsidR="00542016" w:rsidRPr="00DE26A8" w:rsidRDefault="00542016" w:rsidP="00542016">
      <w:pPr>
        <w:autoSpaceDE w:val="0"/>
        <w:autoSpaceDN w:val="0"/>
        <w:adjustRightInd w:val="0"/>
        <w:rPr>
          <w:rFonts w:ascii="Arial" w:hAnsi="Arial" w:cs="Arial"/>
        </w:rPr>
      </w:pPr>
      <w:r w:rsidRPr="00DE26A8">
        <w:rPr>
          <w:rFonts w:ascii="Arial" w:hAnsi="Arial" w:cs="Arial"/>
        </w:rPr>
        <w:t xml:space="preserve">PTV complies with the building and maintenance provisions of the </w:t>
      </w:r>
      <w:r w:rsidRPr="00DE26A8">
        <w:rPr>
          <w:rFonts w:ascii="Arial" w:hAnsi="Arial" w:cs="Arial"/>
          <w:i/>
          <w:iCs/>
        </w:rPr>
        <w:t>Building Act 1993.</w:t>
      </w:r>
      <w:r w:rsidRPr="00DE26A8" w:rsidDel="005836A5">
        <w:rPr>
          <w:rFonts w:ascii="Arial" w:hAnsi="Arial" w:cs="Arial"/>
        </w:rPr>
        <w:t xml:space="preserve"> </w:t>
      </w:r>
    </w:p>
    <w:p w:rsidR="00542016" w:rsidRPr="00DE26A8" w:rsidRDefault="00542016" w:rsidP="00542016">
      <w:pPr>
        <w:rPr>
          <w:rFonts w:ascii="Arial" w:hAnsi="Arial" w:cs="Arial"/>
          <w:b/>
        </w:rPr>
      </w:pPr>
      <w:r w:rsidRPr="00DE26A8">
        <w:rPr>
          <w:rFonts w:ascii="Arial" w:hAnsi="Arial" w:cs="Arial"/>
          <w:b/>
        </w:rPr>
        <w:br w:type="page"/>
      </w:r>
    </w:p>
    <w:p w:rsidR="00542016" w:rsidRDefault="00542016" w:rsidP="00A73F5E">
      <w:pPr>
        <w:pStyle w:val="Heading10"/>
        <w:outlineLvl w:val="0"/>
      </w:pPr>
      <w:bookmarkStart w:id="324" w:name="_Toc365383096"/>
      <w:bookmarkStart w:id="325" w:name="_Toc366672126"/>
      <w:r>
        <w:t>Disclosure of major contracts compliance</w:t>
      </w:r>
      <w:bookmarkEnd w:id="324"/>
      <w:bookmarkEnd w:id="325"/>
    </w:p>
    <w:p w:rsidR="00542016" w:rsidRPr="00E30AC5" w:rsidRDefault="00542016" w:rsidP="00542016">
      <w:pPr>
        <w:rPr>
          <w:rFonts w:ascii="Arial" w:hAnsi="Arial" w:cs="Arial"/>
          <w:b/>
        </w:rPr>
      </w:pPr>
    </w:p>
    <w:p w:rsidR="00542016" w:rsidRPr="001C2875" w:rsidRDefault="00542016" w:rsidP="00542016">
      <w:pPr>
        <w:rPr>
          <w:rFonts w:ascii="Arial" w:hAnsi="Arial" w:cs="Arial"/>
          <w:u w:val="single"/>
        </w:rPr>
      </w:pPr>
      <w:r w:rsidRPr="00E30AC5">
        <w:rPr>
          <w:rFonts w:ascii="Arial" w:hAnsi="Arial" w:cs="Arial"/>
        </w:rPr>
        <w:t xml:space="preserve">PTV has disclosed, in accordance with the requirements of government policy and accompanying guidelines, all contracts greater than $10 million in value which it entered into during the year ended 30 June 2013. Details of contracts that have been disclosed in the Victorian Government contracts publishing system can be viewed </w:t>
      </w:r>
      <w:r>
        <w:rPr>
          <w:rFonts w:ascii="Arial" w:hAnsi="Arial" w:cs="Arial"/>
        </w:rPr>
        <w:t>online</w:t>
      </w:r>
      <w:r w:rsidRPr="00E30AC5">
        <w:rPr>
          <w:rFonts w:ascii="Arial" w:hAnsi="Arial" w:cs="Arial"/>
        </w:rPr>
        <w:t xml:space="preserve"> at</w:t>
      </w:r>
      <w:r w:rsidR="00950C60">
        <w:rPr>
          <w:rFonts w:ascii="Arial" w:hAnsi="Arial" w:cs="Arial"/>
        </w:rPr>
        <w:t xml:space="preserve"> </w:t>
      </w:r>
      <w:hyperlink r:id="rId13" w:history="1">
        <w:r w:rsidRPr="001C2875">
          <w:rPr>
            <w:rStyle w:val="Hyperlink"/>
            <w:rFonts w:ascii="Arial" w:hAnsi="Arial" w:cs="Arial"/>
          </w:rPr>
          <w:t>contracts.vic.gov.au</w:t>
        </w:r>
      </w:hyperlink>
      <w:r>
        <w:rPr>
          <w:rFonts w:ascii="Arial" w:hAnsi="Arial" w:cs="Arial"/>
        </w:rPr>
        <w:t>.</w:t>
      </w:r>
    </w:p>
    <w:p w:rsidR="00542016" w:rsidRPr="00E30AC5" w:rsidRDefault="00542016" w:rsidP="00542016">
      <w:pPr>
        <w:spacing w:before="240"/>
        <w:rPr>
          <w:rFonts w:ascii="Arial" w:hAnsi="Arial" w:cs="Arial"/>
        </w:rPr>
      </w:pPr>
      <w:r w:rsidRPr="00E30AC5">
        <w:rPr>
          <w:rFonts w:ascii="Arial" w:hAnsi="Arial" w:cs="Arial"/>
        </w:rPr>
        <w:t xml:space="preserve">Contractual details have not been disclosed for those contracts for which disclosure is exempted under the </w:t>
      </w:r>
      <w:r w:rsidRPr="00E30AC5">
        <w:rPr>
          <w:rFonts w:ascii="Arial" w:hAnsi="Arial" w:cs="Arial"/>
          <w:i/>
          <w:iCs/>
        </w:rPr>
        <w:t xml:space="preserve">Freedom of Information Act 1982 </w:t>
      </w:r>
      <w:r w:rsidRPr="00E30AC5">
        <w:rPr>
          <w:rFonts w:ascii="Arial" w:hAnsi="Arial" w:cs="Arial"/>
        </w:rPr>
        <w:t>and/or government guidelines.</w:t>
      </w:r>
    </w:p>
    <w:p w:rsidR="00542016" w:rsidRPr="00E30AC5" w:rsidRDefault="00542016" w:rsidP="00542016">
      <w:pPr>
        <w:rPr>
          <w:rFonts w:ascii="Arial" w:hAnsi="Arial" w:cs="Arial"/>
        </w:rPr>
      </w:pPr>
    </w:p>
    <w:p w:rsidR="00542016" w:rsidRDefault="00542016" w:rsidP="00542016">
      <w:pPr>
        <w:rPr>
          <w:rFonts w:ascii="Arial" w:hAnsi="Arial" w:cs="Arial"/>
          <w:b/>
          <w:sz w:val="28"/>
          <w:szCs w:val="28"/>
        </w:rPr>
      </w:pPr>
      <w:r>
        <w:rPr>
          <w:rFonts w:ascii="Arial" w:hAnsi="Arial" w:cs="Arial"/>
          <w:b/>
          <w:sz w:val="28"/>
          <w:szCs w:val="28"/>
        </w:rPr>
        <w:br w:type="page"/>
      </w:r>
    </w:p>
    <w:p w:rsidR="00542016" w:rsidRDefault="00542016" w:rsidP="00A73F5E">
      <w:pPr>
        <w:pStyle w:val="Heading10"/>
        <w:outlineLvl w:val="0"/>
      </w:pPr>
      <w:bookmarkStart w:id="326" w:name="_Toc365383097"/>
      <w:bookmarkStart w:id="327" w:name="_Toc366672127"/>
      <w:r>
        <w:t>Consultancies</w:t>
      </w:r>
      <w:bookmarkEnd w:id="326"/>
      <w:bookmarkEnd w:id="327"/>
    </w:p>
    <w:p w:rsidR="00542016" w:rsidRDefault="00542016" w:rsidP="00542016">
      <w:pPr>
        <w:rPr>
          <w:rFonts w:ascii="Arial" w:hAnsi="Arial" w:cs="Arial"/>
          <w:b/>
          <w:sz w:val="28"/>
          <w:szCs w:val="28"/>
        </w:rPr>
      </w:pPr>
    </w:p>
    <w:p w:rsidR="00542016" w:rsidRPr="00E30AC5" w:rsidRDefault="00542016" w:rsidP="00ED42C3">
      <w:pPr>
        <w:pStyle w:val="Heading20"/>
      </w:pPr>
      <w:r w:rsidRPr="00E30AC5">
        <w:t xml:space="preserve">Details of consultancies over $10 000 </w:t>
      </w:r>
    </w:p>
    <w:p w:rsidR="00542016" w:rsidRPr="00E30AC5" w:rsidRDefault="00542016" w:rsidP="00542016">
      <w:r w:rsidRPr="00E30AC5">
        <w:rPr>
          <w:rFonts w:ascii="Arial" w:hAnsi="Arial" w:cs="Arial"/>
        </w:rPr>
        <w:t>In 2012</w:t>
      </w:r>
      <w:r w:rsidRPr="00E30AC5">
        <w:rPr>
          <w:rFonts w:ascii="Arial" w:hAnsi="Arial" w:cs="Arial"/>
        </w:rPr>
        <w:noBreakHyphen/>
        <w:t>13, no consultancies were engaged during the year where the total fees payable to the consultants was over $10 000.</w:t>
      </w:r>
      <w:r w:rsidRPr="00E30AC5" w:rsidDel="005D4F17">
        <w:t xml:space="preserve"> </w:t>
      </w:r>
    </w:p>
    <w:p w:rsidR="00950C60" w:rsidRDefault="00950C60" w:rsidP="00950C60">
      <w:pPr>
        <w:pStyle w:val="Heading30"/>
      </w:pPr>
    </w:p>
    <w:p w:rsidR="00950C60" w:rsidRDefault="00542016" w:rsidP="00ED42C3">
      <w:pPr>
        <w:pStyle w:val="Heading20"/>
      </w:pPr>
      <w:r w:rsidRPr="00E30AC5">
        <w:t>Details of consultancies under $10 000</w:t>
      </w:r>
    </w:p>
    <w:p w:rsidR="00542016" w:rsidRPr="00950C60" w:rsidRDefault="00542016" w:rsidP="00950C60">
      <w:pPr>
        <w:rPr>
          <w:rFonts w:ascii="Arial" w:hAnsi="Arial" w:cs="Arial"/>
        </w:rPr>
      </w:pPr>
      <w:r w:rsidRPr="00950C60">
        <w:rPr>
          <w:rFonts w:ascii="Arial" w:hAnsi="Arial" w:cs="Arial"/>
        </w:rPr>
        <w:t>In 2012</w:t>
      </w:r>
      <w:r w:rsidRPr="00950C60">
        <w:rPr>
          <w:rFonts w:ascii="Arial" w:hAnsi="Arial" w:cs="Arial"/>
        </w:rPr>
        <w:noBreakHyphen/>
        <w:t>13, no consultancies were engaged during the year where the total fees payable to the consultants was less than $10 000.</w:t>
      </w:r>
    </w:p>
    <w:p w:rsidR="00542016" w:rsidRPr="00E30AC5" w:rsidRDefault="00542016" w:rsidP="00542016">
      <w:pPr>
        <w:spacing w:before="240"/>
        <w:rPr>
          <w:rFonts w:ascii="Arial" w:hAnsi="Arial" w:cs="Arial"/>
        </w:rPr>
      </w:pPr>
      <w:r>
        <w:rPr>
          <w:rFonts w:ascii="Arial" w:hAnsi="Arial" w:cs="Arial"/>
        </w:rPr>
        <w:t>A full list of PTV contractors engaged in 2012-13, as defined by FRD22C, can be found in the Additional Information to this Annual report, online at ptv.vic.gov.au.</w:t>
      </w:r>
    </w:p>
    <w:p w:rsidR="00542016" w:rsidRDefault="00542016" w:rsidP="00542016">
      <w:pPr>
        <w:rPr>
          <w:rFonts w:ascii="Arial" w:hAnsi="Arial" w:cs="Arial"/>
          <w:b/>
          <w:sz w:val="28"/>
          <w:szCs w:val="28"/>
        </w:rPr>
      </w:pPr>
    </w:p>
    <w:p w:rsidR="00542016" w:rsidRDefault="00542016" w:rsidP="00542016">
      <w:pPr>
        <w:rPr>
          <w:rFonts w:ascii="Arial" w:hAnsi="Arial" w:cs="Arial"/>
          <w:b/>
          <w:sz w:val="28"/>
          <w:szCs w:val="28"/>
        </w:rPr>
      </w:pPr>
      <w:r>
        <w:rPr>
          <w:rFonts w:ascii="Arial" w:hAnsi="Arial" w:cs="Arial"/>
          <w:b/>
          <w:sz w:val="28"/>
          <w:szCs w:val="28"/>
        </w:rPr>
        <w:br w:type="page"/>
      </w:r>
    </w:p>
    <w:p w:rsidR="00542016" w:rsidRPr="008D3A2F" w:rsidRDefault="00542016" w:rsidP="00A73F5E">
      <w:pPr>
        <w:pStyle w:val="Heading10"/>
        <w:outlineLvl w:val="0"/>
      </w:pPr>
      <w:bookmarkStart w:id="328" w:name="_Toc365383098"/>
      <w:bookmarkStart w:id="329" w:name="_Toc366672128"/>
      <w:r w:rsidRPr="008D3A2F">
        <w:t>Additional information available</w:t>
      </w:r>
      <w:bookmarkEnd w:id="328"/>
      <w:bookmarkEnd w:id="329"/>
      <w:r w:rsidRPr="008D3A2F">
        <w:t xml:space="preserve"> </w:t>
      </w:r>
    </w:p>
    <w:p w:rsidR="00542016" w:rsidRPr="007C6758" w:rsidRDefault="00542016" w:rsidP="00542016">
      <w:pPr>
        <w:rPr>
          <w:rFonts w:ascii="Arial" w:hAnsi="Arial" w:cs="Arial"/>
        </w:rPr>
      </w:pPr>
    </w:p>
    <w:p w:rsidR="00542016" w:rsidRPr="007C6758" w:rsidRDefault="00542016" w:rsidP="00542016">
      <w:pPr>
        <w:autoSpaceDE w:val="0"/>
        <w:autoSpaceDN w:val="0"/>
        <w:adjustRightInd w:val="0"/>
        <w:rPr>
          <w:rFonts w:ascii="Arial" w:hAnsi="Arial" w:cs="Arial"/>
        </w:rPr>
      </w:pPr>
      <w:r w:rsidRPr="007C6758">
        <w:rPr>
          <w:rFonts w:ascii="Arial" w:hAnsi="Arial" w:cs="Arial"/>
        </w:rPr>
        <w:t xml:space="preserve">The Directions of the Minister for Finance, pursuant to the </w:t>
      </w:r>
      <w:r w:rsidRPr="007C6758">
        <w:rPr>
          <w:rFonts w:ascii="Arial" w:hAnsi="Arial" w:cs="Arial"/>
          <w:i/>
          <w:iCs/>
        </w:rPr>
        <w:t xml:space="preserve">Financial Management Act 1994 </w:t>
      </w:r>
      <w:r w:rsidRPr="007C6758">
        <w:rPr>
          <w:rFonts w:ascii="Arial" w:hAnsi="Arial" w:cs="Arial"/>
        </w:rPr>
        <w:t>require a range of information to be prepared in relation to the financial year.</w:t>
      </w:r>
    </w:p>
    <w:p w:rsidR="00542016" w:rsidRPr="007C6758" w:rsidRDefault="00542016" w:rsidP="00542016">
      <w:pPr>
        <w:autoSpaceDE w:val="0"/>
        <w:autoSpaceDN w:val="0"/>
        <w:adjustRightInd w:val="0"/>
        <w:rPr>
          <w:rFonts w:ascii="Arial" w:hAnsi="Arial" w:cs="Arial"/>
        </w:rPr>
      </w:pPr>
    </w:p>
    <w:p w:rsidR="00542016" w:rsidRPr="007C6758" w:rsidRDefault="00542016" w:rsidP="00542016">
      <w:pPr>
        <w:autoSpaceDE w:val="0"/>
        <w:autoSpaceDN w:val="0"/>
        <w:adjustRightInd w:val="0"/>
        <w:rPr>
          <w:rFonts w:ascii="Arial" w:hAnsi="Arial" w:cs="Arial"/>
        </w:rPr>
      </w:pPr>
      <w:r w:rsidRPr="007C6758">
        <w:rPr>
          <w:rFonts w:ascii="Arial" w:hAnsi="Arial" w:cs="Arial"/>
        </w:rPr>
        <w:t>This material is itemised below and</w:t>
      </w:r>
      <w:r>
        <w:rPr>
          <w:rFonts w:ascii="Arial" w:hAnsi="Arial" w:cs="Arial"/>
        </w:rPr>
        <w:t>,</w:t>
      </w:r>
      <w:r w:rsidRPr="007C6758">
        <w:rPr>
          <w:rFonts w:ascii="Arial" w:hAnsi="Arial" w:cs="Arial"/>
        </w:rPr>
        <w:t xml:space="preserve"> where not published in this report, is published on the PTV website </w:t>
      </w:r>
      <w:r>
        <w:rPr>
          <w:rFonts w:ascii="Arial" w:hAnsi="Arial" w:cs="Arial"/>
        </w:rPr>
        <w:t>alongside</w:t>
      </w:r>
      <w:r w:rsidRPr="007C6758">
        <w:rPr>
          <w:rFonts w:ascii="Arial" w:hAnsi="Arial" w:cs="Arial"/>
        </w:rPr>
        <w:t xml:space="preserve"> the Annual report.</w:t>
      </w:r>
    </w:p>
    <w:p w:rsidR="00542016" w:rsidRPr="007C6758" w:rsidRDefault="00542016" w:rsidP="00542016">
      <w:pPr>
        <w:autoSpaceDE w:val="0"/>
        <w:autoSpaceDN w:val="0"/>
        <w:adjustRightInd w:val="0"/>
        <w:rPr>
          <w:rFonts w:ascii="Arial" w:hAnsi="Arial" w:cs="Arial"/>
        </w:rPr>
      </w:pPr>
    </w:p>
    <w:p w:rsidR="00542016" w:rsidRPr="008D3A2F"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A statement that declarations of pecuniary interests have been duly completed by all relevant  PTV officers.</w:t>
      </w:r>
    </w:p>
    <w:p w:rsidR="00542016" w:rsidRPr="007C6758"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Details of shares held by senior PTV officers as nominees or held beneficially in a statutory authority or subsidiary.</w:t>
      </w:r>
    </w:p>
    <w:p w:rsidR="00542016" w:rsidRPr="007C6758"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Details of publications produced by PTV about the activities of PTV and where the publications can be obtained.</w:t>
      </w:r>
    </w:p>
    <w:p w:rsidR="00542016" w:rsidRPr="007C6758"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Details of changes in prices, fees, charges, rates and levies charged by PTV for its services, including services that are administered.</w:t>
      </w:r>
    </w:p>
    <w:p w:rsidR="00542016" w:rsidRPr="007C6758"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 xml:space="preserve">Details of any major external reviews carried out in respect of the operation of </w:t>
      </w:r>
      <w:r>
        <w:rPr>
          <w:rFonts w:ascii="Arial" w:hAnsi="Arial" w:cs="Arial"/>
        </w:rPr>
        <w:t>PTV</w:t>
      </w:r>
      <w:r w:rsidRPr="007C6758">
        <w:rPr>
          <w:rFonts w:ascii="Arial" w:hAnsi="Arial" w:cs="Arial"/>
        </w:rPr>
        <w:t>.</w:t>
      </w:r>
    </w:p>
    <w:p w:rsidR="00542016" w:rsidRPr="007C6758"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 xml:space="preserve">Details of any other major research and development activities undertaken by </w:t>
      </w:r>
      <w:r>
        <w:rPr>
          <w:rFonts w:ascii="Arial" w:hAnsi="Arial" w:cs="Arial"/>
        </w:rPr>
        <w:t>PTV</w:t>
      </w:r>
      <w:r w:rsidRPr="007C6758">
        <w:rPr>
          <w:rFonts w:ascii="Arial" w:hAnsi="Arial" w:cs="Arial"/>
        </w:rPr>
        <w:t xml:space="preserve"> that are not otherwise covered either in the report of operations or in a document which contains the financial statement and report of operations.</w:t>
      </w:r>
    </w:p>
    <w:p w:rsidR="00542016" w:rsidRPr="007C6758"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Detail</w:t>
      </w:r>
      <w:r>
        <w:rPr>
          <w:rFonts w:ascii="Arial" w:hAnsi="Arial" w:cs="Arial"/>
        </w:rPr>
        <w:t>s</w:t>
      </w:r>
      <w:r w:rsidRPr="007C6758">
        <w:rPr>
          <w:rFonts w:ascii="Arial" w:hAnsi="Arial" w:cs="Arial"/>
        </w:rPr>
        <w:t xml:space="preserve"> of overseas visits undertaken by </w:t>
      </w:r>
      <w:r>
        <w:rPr>
          <w:rFonts w:ascii="Arial" w:hAnsi="Arial" w:cs="Arial"/>
        </w:rPr>
        <w:t>PTV</w:t>
      </w:r>
      <w:r w:rsidRPr="007C6758">
        <w:rPr>
          <w:rFonts w:ascii="Arial" w:hAnsi="Arial" w:cs="Arial"/>
        </w:rPr>
        <w:t>, including a summary of the objectives and outcomes of each visit.</w:t>
      </w:r>
    </w:p>
    <w:p w:rsidR="00542016"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 xml:space="preserve">Details of major promotional, public relations and marketing activities undertaken by </w:t>
      </w:r>
      <w:r>
        <w:rPr>
          <w:rFonts w:ascii="Arial" w:hAnsi="Arial" w:cs="Arial"/>
        </w:rPr>
        <w:t>PTV</w:t>
      </w:r>
      <w:r w:rsidRPr="007C6758">
        <w:rPr>
          <w:rFonts w:ascii="Arial" w:hAnsi="Arial" w:cs="Arial"/>
        </w:rPr>
        <w:t xml:space="preserve"> to develop community awareness of the services provided by </w:t>
      </w:r>
      <w:r>
        <w:rPr>
          <w:rFonts w:ascii="Arial" w:hAnsi="Arial" w:cs="Arial"/>
        </w:rPr>
        <w:t>PTV</w:t>
      </w:r>
      <w:r w:rsidRPr="007C6758">
        <w:rPr>
          <w:rFonts w:ascii="Arial" w:hAnsi="Arial" w:cs="Arial"/>
        </w:rPr>
        <w:t>.</w:t>
      </w:r>
    </w:p>
    <w:p w:rsidR="00542016"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Details of assessments and</w:t>
      </w:r>
      <w:r>
        <w:rPr>
          <w:rFonts w:ascii="Arial" w:hAnsi="Arial" w:cs="Arial"/>
        </w:rPr>
        <w:t xml:space="preserve"> </w:t>
      </w:r>
      <w:r w:rsidRPr="007C6758">
        <w:rPr>
          <w:rFonts w:ascii="Arial" w:hAnsi="Arial" w:cs="Arial"/>
        </w:rPr>
        <w:t>measures undertaken to improve</w:t>
      </w:r>
      <w:r>
        <w:rPr>
          <w:rFonts w:ascii="Arial" w:hAnsi="Arial" w:cs="Arial"/>
        </w:rPr>
        <w:t xml:space="preserve"> </w:t>
      </w:r>
      <w:r w:rsidRPr="007C6758">
        <w:rPr>
          <w:rFonts w:ascii="Arial" w:hAnsi="Arial" w:cs="Arial"/>
        </w:rPr>
        <w:t>the occupational health and safety</w:t>
      </w:r>
      <w:r>
        <w:rPr>
          <w:rFonts w:ascii="Arial" w:hAnsi="Arial" w:cs="Arial"/>
        </w:rPr>
        <w:t xml:space="preserve"> </w:t>
      </w:r>
      <w:r w:rsidRPr="007C6758">
        <w:rPr>
          <w:rFonts w:ascii="Arial" w:hAnsi="Arial" w:cs="Arial"/>
        </w:rPr>
        <w:t xml:space="preserve">of </w:t>
      </w:r>
      <w:r>
        <w:rPr>
          <w:rFonts w:ascii="Arial" w:hAnsi="Arial" w:cs="Arial"/>
        </w:rPr>
        <w:t>PTV</w:t>
      </w:r>
      <w:r w:rsidRPr="007C6758">
        <w:rPr>
          <w:rFonts w:ascii="Arial" w:hAnsi="Arial" w:cs="Arial"/>
        </w:rPr>
        <w:t xml:space="preserve"> employees, not otherwise</w:t>
      </w:r>
      <w:r>
        <w:rPr>
          <w:rFonts w:ascii="Arial" w:hAnsi="Arial" w:cs="Arial"/>
        </w:rPr>
        <w:t xml:space="preserve"> </w:t>
      </w:r>
      <w:r w:rsidRPr="007C6758">
        <w:rPr>
          <w:rFonts w:ascii="Arial" w:hAnsi="Arial" w:cs="Arial"/>
        </w:rPr>
        <w:t>detailed in the report of operations.</w:t>
      </w:r>
    </w:p>
    <w:p w:rsidR="00542016"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A general statement on industrial</w:t>
      </w:r>
      <w:r>
        <w:rPr>
          <w:rFonts w:ascii="Arial" w:hAnsi="Arial" w:cs="Arial"/>
        </w:rPr>
        <w:t xml:space="preserve"> </w:t>
      </w:r>
      <w:r w:rsidRPr="007C6758">
        <w:rPr>
          <w:rFonts w:ascii="Arial" w:hAnsi="Arial" w:cs="Arial"/>
        </w:rPr>
        <w:t xml:space="preserve">relations within </w:t>
      </w:r>
      <w:r>
        <w:rPr>
          <w:rFonts w:ascii="Arial" w:hAnsi="Arial" w:cs="Arial"/>
        </w:rPr>
        <w:t>PTV</w:t>
      </w:r>
      <w:r w:rsidRPr="007C6758">
        <w:rPr>
          <w:rFonts w:ascii="Arial" w:hAnsi="Arial" w:cs="Arial"/>
        </w:rPr>
        <w:t xml:space="preserve"> and details</w:t>
      </w:r>
      <w:r>
        <w:rPr>
          <w:rFonts w:ascii="Arial" w:hAnsi="Arial" w:cs="Arial"/>
        </w:rPr>
        <w:t xml:space="preserve"> </w:t>
      </w:r>
      <w:r w:rsidRPr="007C6758">
        <w:rPr>
          <w:rFonts w:ascii="Arial" w:hAnsi="Arial" w:cs="Arial"/>
        </w:rPr>
        <w:t>of time lost through industrial accidents and disputes, which are</w:t>
      </w:r>
      <w:r>
        <w:rPr>
          <w:rFonts w:ascii="Arial" w:hAnsi="Arial" w:cs="Arial"/>
        </w:rPr>
        <w:t xml:space="preserve"> </w:t>
      </w:r>
      <w:r w:rsidRPr="007C6758">
        <w:rPr>
          <w:rFonts w:ascii="Arial" w:hAnsi="Arial" w:cs="Arial"/>
        </w:rPr>
        <w:t>not otherwise detailed in the report of operations.</w:t>
      </w:r>
    </w:p>
    <w:p w:rsidR="00542016" w:rsidRPr="007C6758"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A list of major committees</w:t>
      </w:r>
      <w:r>
        <w:rPr>
          <w:rFonts w:ascii="Arial" w:hAnsi="Arial" w:cs="Arial"/>
        </w:rPr>
        <w:t xml:space="preserve"> </w:t>
      </w:r>
      <w:r w:rsidRPr="007C6758">
        <w:rPr>
          <w:rFonts w:ascii="Arial" w:hAnsi="Arial" w:cs="Arial"/>
        </w:rPr>
        <w:t xml:space="preserve">sponsored by </w:t>
      </w:r>
      <w:r>
        <w:rPr>
          <w:rFonts w:ascii="Arial" w:hAnsi="Arial" w:cs="Arial"/>
        </w:rPr>
        <w:t>PTV</w:t>
      </w:r>
      <w:r w:rsidRPr="007C6758">
        <w:rPr>
          <w:rFonts w:ascii="Arial" w:hAnsi="Arial" w:cs="Arial"/>
        </w:rPr>
        <w:t>, the purpose</w:t>
      </w:r>
      <w:r>
        <w:rPr>
          <w:rFonts w:ascii="Arial" w:hAnsi="Arial" w:cs="Arial"/>
        </w:rPr>
        <w:t xml:space="preserve"> </w:t>
      </w:r>
      <w:r w:rsidRPr="007C6758">
        <w:rPr>
          <w:rFonts w:ascii="Arial" w:hAnsi="Arial" w:cs="Arial"/>
        </w:rPr>
        <w:t>of each committee and the</w:t>
      </w:r>
      <w:r>
        <w:rPr>
          <w:rFonts w:ascii="Arial" w:hAnsi="Arial" w:cs="Arial"/>
        </w:rPr>
        <w:t xml:space="preserve"> </w:t>
      </w:r>
      <w:r w:rsidRPr="007C6758">
        <w:rPr>
          <w:rFonts w:ascii="Arial" w:hAnsi="Arial" w:cs="Arial"/>
        </w:rPr>
        <w:t>extent to which the purpose</w:t>
      </w:r>
      <w:r>
        <w:rPr>
          <w:rFonts w:ascii="Arial" w:hAnsi="Arial" w:cs="Arial"/>
        </w:rPr>
        <w:t xml:space="preserve"> </w:t>
      </w:r>
      <w:r w:rsidRPr="007C6758">
        <w:rPr>
          <w:rFonts w:ascii="Arial" w:hAnsi="Arial" w:cs="Arial"/>
        </w:rPr>
        <w:t>has been achieved.</w:t>
      </w:r>
    </w:p>
    <w:p w:rsidR="00542016" w:rsidRPr="007C6758" w:rsidRDefault="00542016" w:rsidP="002D77DA">
      <w:pPr>
        <w:pStyle w:val="ListParagraph"/>
        <w:numPr>
          <w:ilvl w:val="0"/>
          <w:numId w:val="4"/>
        </w:numPr>
        <w:autoSpaceDE w:val="0"/>
        <w:autoSpaceDN w:val="0"/>
        <w:adjustRightInd w:val="0"/>
        <w:spacing w:after="120"/>
        <w:contextualSpacing w:val="0"/>
        <w:rPr>
          <w:rFonts w:ascii="Arial" w:hAnsi="Arial" w:cs="Arial"/>
        </w:rPr>
      </w:pPr>
      <w:r w:rsidRPr="007C6758">
        <w:rPr>
          <w:rFonts w:ascii="Arial" w:hAnsi="Arial" w:cs="Arial"/>
        </w:rPr>
        <w:t>Details of all consultancies</w:t>
      </w:r>
      <w:r>
        <w:rPr>
          <w:rFonts w:ascii="Arial" w:hAnsi="Arial" w:cs="Arial"/>
        </w:rPr>
        <w:t xml:space="preserve"> </w:t>
      </w:r>
      <w:r w:rsidRPr="007C6758">
        <w:rPr>
          <w:rFonts w:ascii="Arial" w:hAnsi="Arial" w:cs="Arial"/>
        </w:rPr>
        <w:t>and contractors including:</w:t>
      </w:r>
    </w:p>
    <w:p w:rsidR="00542016" w:rsidRPr="007C6758" w:rsidRDefault="00542016" w:rsidP="00542016">
      <w:pPr>
        <w:pStyle w:val="ListParagraph"/>
        <w:autoSpaceDE w:val="0"/>
        <w:autoSpaceDN w:val="0"/>
        <w:adjustRightInd w:val="0"/>
        <w:spacing w:after="120"/>
        <w:contextualSpacing w:val="0"/>
        <w:rPr>
          <w:rFonts w:ascii="Arial" w:hAnsi="Arial" w:cs="Arial"/>
        </w:rPr>
      </w:pPr>
      <w:r w:rsidRPr="007C6758">
        <w:rPr>
          <w:rFonts w:ascii="Arial" w:hAnsi="Arial" w:cs="Arial"/>
        </w:rPr>
        <w:t>-- consultants/contractors engaged</w:t>
      </w:r>
    </w:p>
    <w:p w:rsidR="00542016" w:rsidRPr="007C6758" w:rsidRDefault="00542016" w:rsidP="00542016">
      <w:pPr>
        <w:pStyle w:val="ListParagraph"/>
        <w:autoSpaceDE w:val="0"/>
        <w:autoSpaceDN w:val="0"/>
        <w:adjustRightInd w:val="0"/>
        <w:spacing w:after="120"/>
        <w:contextualSpacing w:val="0"/>
        <w:rPr>
          <w:rFonts w:ascii="Arial" w:hAnsi="Arial" w:cs="Arial"/>
        </w:rPr>
      </w:pPr>
      <w:r w:rsidRPr="007C6758">
        <w:rPr>
          <w:rFonts w:ascii="Arial" w:hAnsi="Arial" w:cs="Arial"/>
        </w:rPr>
        <w:t>-- services provided</w:t>
      </w:r>
    </w:p>
    <w:p w:rsidR="00542016" w:rsidRDefault="00542016" w:rsidP="00542016">
      <w:pPr>
        <w:pStyle w:val="ListParagraph"/>
        <w:autoSpaceDE w:val="0"/>
        <w:autoSpaceDN w:val="0"/>
        <w:adjustRightInd w:val="0"/>
        <w:spacing w:after="120"/>
        <w:contextualSpacing w:val="0"/>
        <w:rPr>
          <w:rFonts w:ascii="Arial" w:hAnsi="Arial" w:cs="Arial"/>
        </w:rPr>
      </w:pPr>
      <w:r w:rsidRPr="007C6758">
        <w:rPr>
          <w:rFonts w:ascii="Arial" w:hAnsi="Arial" w:cs="Arial"/>
        </w:rPr>
        <w:t>-- expenditure committed to</w:t>
      </w:r>
      <w:r>
        <w:rPr>
          <w:rFonts w:ascii="Arial" w:hAnsi="Arial" w:cs="Arial"/>
        </w:rPr>
        <w:t xml:space="preserve"> </w:t>
      </w:r>
      <w:r w:rsidRPr="007C6758">
        <w:rPr>
          <w:rFonts w:ascii="Arial" w:hAnsi="Arial" w:cs="Arial"/>
        </w:rPr>
        <w:t>for each engagement.</w:t>
      </w:r>
    </w:p>
    <w:p w:rsidR="00542016" w:rsidRDefault="00542016" w:rsidP="00542016">
      <w:pPr>
        <w:rPr>
          <w:rFonts w:ascii="Arial" w:hAnsi="Arial" w:cs="Arial"/>
          <w:b/>
          <w:sz w:val="28"/>
          <w:szCs w:val="28"/>
        </w:rPr>
      </w:pPr>
      <w:r>
        <w:rPr>
          <w:rFonts w:ascii="Arial" w:hAnsi="Arial" w:cs="Arial"/>
          <w:b/>
          <w:sz w:val="28"/>
          <w:szCs w:val="28"/>
        </w:rPr>
        <w:br w:type="page"/>
      </w:r>
    </w:p>
    <w:p w:rsidR="00542016" w:rsidRPr="008D3A2F" w:rsidRDefault="00542016" w:rsidP="00A73F5E">
      <w:pPr>
        <w:pStyle w:val="Heading10"/>
        <w:outlineLvl w:val="0"/>
      </w:pPr>
      <w:bookmarkStart w:id="330" w:name="_Toc365383099"/>
      <w:bookmarkStart w:id="331" w:name="_Toc366672129"/>
      <w:r w:rsidRPr="008D3A2F">
        <w:t>Contact information</w:t>
      </w:r>
      <w:bookmarkEnd w:id="330"/>
      <w:bookmarkEnd w:id="331"/>
    </w:p>
    <w:p w:rsidR="00542016" w:rsidRPr="008D3A2F" w:rsidRDefault="00542016" w:rsidP="00542016">
      <w:pPr>
        <w:pStyle w:val="ListParagraph"/>
        <w:autoSpaceDE w:val="0"/>
        <w:autoSpaceDN w:val="0"/>
        <w:adjustRightInd w:val="0"/>
        <w:rPr>
          <w:rFonts w:ascii="Arial" w:hAnsi="Arial" w:cs="Arial"/>
        </w:rPr>
      </w:pPr>
    </w:p>
    <w:p w:rsidR="00542016" w:rsidRPr="008D3A2F" w:rsidRDefault="00542016" w:rsidP="00542016">
      <w:pPr>
        <w:autoSpaceDE w:val="0"/>
        <w:autoSpaceDN w:val="0"/>
        <w:adjustRightInd w:val="0"/>
        <w:rPr>
          <w:rFonts w:ascii="Arial" w:hAnsi="Arial" w:cs="Arial"/>
        </w:rPr>
      </w:pPr>
      <w:r w:rsidRPr="008D3A2F">
        <w:rPr>
          <w:rFonts w:ascii="Arial" w:hAnsi="Arial" w:cs="Arial"/>
        </w:rPr>
        <w:t>Public Transport Victoria</w:t>
      </w:r>
    </w:p>
    <w:p w:rsidR="00542016" w:rsidRPr="008D3A2F" w:rsidRDefault="00542016" w:rsidP="00542016">
      <w:pPr>
        <w:autoSpaceDE w:val="0"/>
        <w:autoSpaceDN w:val="0"/>
        <w:adjustRightInd w:val="0"/>
        <w:ind w:left="15"/>
        <w:rPr>
          <w:rFonts w:ascii="Arial" w:hAnsi="Arial" w:cs="Arial"/>
          <w:color w:val="000000"/>
        </w:rPr>
      </w:pPr>
      <w:r w:rsidRPr="008D3A2F">
        <w:rPr>
          <w:rFonts w:ascii="Arial" w:hAnsi="Arial" w:cs="Arial"/>
          <w:color w:val="000000"/>
        </w:rPr>
        <w:t>Level 10, 750 Collins Street</w:t>
      </w:r>
    </w:p>
    <w:p w:rsidR="00542016" w:rsidRPr="008D3A2F" w:rsidRDefault="003A6EBA" w:rsidP="00542016">
      <w:pPr>
        <w:autoSpaceDE w:val="0"/>
        <w:autoSpaceDN w:val="0"/>
        <w:adjustRightInd w:val="0"/>
        <w:ind w:left="15"/>
        <w:rPr>
          <w:rFonts w:ascii="Arial" w:hAnsi="Arial" w:cs="Arial"/>
          <w:color w:val="000000"/>
        </w:rPr>
      </w:pPr>
      <w:r>
        <w:rPr>
          <w:rFonts w:ascii="Arial" w:hAnsi="Arial" w:cs="Arial"/>
          <w:color w:val="000000"/>
        </w:rPr>
        <w:t>Docklands</w:t>
      </w:r>
      <w:r w:rsidR="00542016" w:rsidRPr="008D3A2F">
        <w:rPr>
          <w:rFonts w:ascii="Arial" w:hAnsi="Arial" w:cs="Arial"/>
          <w:color w:val="000000"/>
        </w:rPr>
        <w:t xml:space="preserve"> Victoria 3008 Australia</w:t>
      </w:r>
    </w:p>
    <w:p w:rsidR="00542016" w:rsidRPr="008D3A2F" w:rsidRDefault="00542016" w:rsidP="00542016">
      <w:pPr>
        <w:autoSpaceDE w:val="0"/>
        <w:autoSpaceDN w:val="0"/>
        <w:adjustRightInd w:val="0"/>
        <w:rPr>
          <w:rFonts w:ascii="Arial" w:hAnsi="Arial" w:cs="Arial"/>
        </w:rPr>
      </w:pPr>
    </w:p>
    <w:p w:rsidR="00542016" w:rsidRPr="008D3A2F" w:rsidRDefault="00542016" w:rsidP="00542016">
      <w:pPr>
        <w:autoSpaceDE w:val="0"/>
        <w:autoSpaceDN w:val="0"/>
        <w:adjustRightInd w:val="0"/>
        <w:rPr>
          <w:rFonts w:ascii="Arial" w:hAnsi="Arial" w:cs="Arial"/>
        </w:rPr>
      </w:pPr>
      <w:r w:rsidRPr="008D3A2F">
        <w:rPr>
          <w:rFonts w:ascii="Arial" w:hAnsi="Arial" w:cs="Arial"/>
        </w:rPr>
        <w:t>Internet: ptv.vic.gov.au</w:t>
      </w:r>
    </w:p>
    <w:p w:rsidR="00542016" w:rsidRPr="008D3A2F" w:rsidRDefault="00542016" w:rsidP="00542016">
      <w:pPr>
        <w:autoSpaceDE w:val="0"/>
        <w:autoSpaceDN w:val="0"/>
        <w:adjustRightInd w:val="0"/>
        <w:rPr>
          <w:rFonts w:ascii="Arial" w:hAnsi="Arial" w:cs="Arial"/>
        </w:rPr>
      </w:pPr>
    </w:p>
    <w:p w:rsidR="00542016" w:rsidRPr="008D3A2F" w:rsidRDefault="00542016" w:rsidP="00542016">
      <w:pPr>
        <w:autoSpaceDE w:val="0"/>
        <w:autoSpaceDN w:val="0"/>
        <w:adjustRightInd w:val="0"/>
        <w:rPr>
          <w:rFonts w:ascii="Arial" w:hAnsi="Arial" w:cs="Arial"/>
        </w:rPr>
      </w:pPr>
      <w:r w:rsidRPr="008D3A2F">
        <w:rPr>
          <w:rFonts w:ascii="Arial" w:hAnsi="Arial" w:cs="Arial"/>
        </w:rPr>
        <w:t>Telephone: 1800 800 007</w:t>
      </w:r>
    </w:p>
    <w:p w:rsidR="00542016" w:rsidRPr="008D3A2F" w:rsidRDefault="00542016" w:rsidP="00542016">
      <w:pPr>
        <w:autoSpaceDE w:val="0"/>
        <w:autoSpaceDN w:val="0"/>
        <w:adjustRightInd w:val="0"/>
        <w:rPr>
          <w:rFonts w:ascii="Arial" w:hAnsi="Arial" w:cs="Arial"/>
        </w:rPr>
      </w:pPr>
    </w:p>
    <w:p w:rsidR="00542016" w:rsidRPr="008D3A2F" w:rsidRDefault="00542016" w:rsidP="00542016">
      <w:pPr>
        <w:autoSpaceDE w:val="0"/>
        <w:autoSpaceDN w:val="0"/>
        <w:adjustRightInd w:val="0"/>
        <w:rPr>
          <w:rFonts w:ascii="Arial" w:hAnsi="Arial" w:cs="Arial"/>
          <w:b/>
        </w:rPr>
      </w:pPr>
      <w:r w:rsidRPr="008D3A2F">
        <w:rPr>
          <w:rFonts w:ascii="Arial" w:hAnsi="Arial" w:cs="Arial"/>
          <w:color w:val="222222"/>
        </w:rPr>
        <w:t>International:</w:t>
      </w:r>
      <w:r w:rsidRPr="008D3A2F">
        <w:rPr>
          <w:rStyle w:val="apple-converted-space"/>
          <w:rFonts w:ascii="Arial" w:hAnsi="Arial" w:cs="Arial"/>
          <w:color w:val="222222"/>
        </w:rPr>
        <w:t> </w:t>
      </w:r>
      <w:r w:rsidRPr="008D3A2F">
        <w:rPr>
          <w:rStyle w:val="Strong"/>
          <w:rFonts w:ascii="Arial" w:hAnsi="Arial" w:cs="Arial"/>
          <w:b w:val="0"/>
          <w:color w:val="222222"/>
        </w:rPr>
        <w:t>+61 3 8608 5021</w:t>
      </w:r>
    </w:p>
    <w:p w:rsidR="00542016" w:rsidRPr="008D3A2F" w:rsidRDefault="00542016" w:rsidP="00542016">
      <w:pPr>
        <w:autoSpaceDE w:val="0"/>
        <w:autoSpaceDN w:val="0"/>
        <w:adjustRightInd w:val="0"/>
        <w:rPr>
          <w:rFonts w:ascii="Arial" w:hAnsi="Arial" w:cs="Arial"/>
        </w:rPr>
      </w:pPr>
    </w:p>
    <w:p w:rsidR="00542016" w:rsidRPr="008D3A2F" w:rsidRDefault="00542016" w:rsidP="00542016">
      <w:pPr>
        <w:autoSpaceDE w:val="0"/>
        <w:autoSpaceDN w:val="0"/>
        <w:adjustRightInd w:val="0"/>
        <w:rPr>
          <w:rFonts w:ascii="Arial" w:hAnsi="Arial" w:cs="Arial"/>
        </w:rPr>
      </w:pPr>
    </w:p>
    <w:p w:rsidR="00542016" w:rsidRPr="008D3A2F" w:rsidRDefault="00542016" w:rsidP="00542016">
      <w:pPr>
        <w:autoSpaceDE w:val="0"/>
        <w:autoSpaceDN w:val="0"/>
        <w:adjustRightInd w:val="0"/>
        <w:rPr>
          <w:rFonts w:ascii="Arial" w:hAnsi="Arial" w:cs="Arial"/>
        </w:rPr>
      </w:pPr>
      <w:r w:rsidRPr="008D3A2F">
        <w:rPr>
          <w:rFonts w:ascii="Arial" w:hAnsi="Arial" w:cs="Arial"/>
        </w:rPr>
        <w:t xml:space="preserve">Postal address: </w:t>
      </w:r>
    </w:p>
    <w:p w:rsidR="00542016" w:rsidRPr="008D3A2F" w:rsidRDefault="00542016" w:rsidP="00542016">
      <w:pPr>
        <w:autoSpaceDE w:val="0"/>
        <w:autoSpaceDN w:val="0"/>
        <w:adjustRightInd w:val="0"/>
        <w:rPr>
          <w:rFonts w:ascii="Arial" w:hAnsi="Arial" w:cs="Arial"/>
          <w:color w:val="000000"/>
        </w:rPr>
      </w:pPr>
      <w:r w:rsidRPr="008D3A2F">
        <w:rPr>
          <w:rFonts w:ascii="Arial" w:hAnsi="Arial" w:cs="Arial"/>
          <w:color w:val="000000"/>
        </w:rPr>
        <w:t>PO Box 4724</w:t>
      </w:r>
    </w:p>
    <w:p w:rsidR="00542016" w:rsidRDefault="00542016" w:rsidP="00542016">
      <w:pPr>
        <w:autoSpaceDE w:val="0"/>
        <w:autoSpaceDN w:val="0"/>
        <w:adjustRightInd w:val="0"/>
        <w:rPr>
          <w:rFonts w:ascii="Arial" w:hAnsi="Arial" w:cs="Arial"/>
          <w:color w:val="000000"/>
        </w:rPr>
      </w:pPr>
      <w:r w:rsidRPr="008D3A2F">
        <w:rPr>
          <w:rFonts w:ascii="Arial" w:hAnsi="Arial" w:cs="Arial"/>
          <w:color w:val="000000"/>
        </w:rPr>
        <w:t>Melbourne Victoria 3001</w:t>
      </w:r>
    </w:p>
    <w:p w:rsidR="00542016" w:rsidRDefault="00542016" w:rsidP="00542016">
      <w:pPr>
        <w:rPr>
          <w:rFonts w:ascii="Arial" w:hAnsi="Arial" w:cs="Arial"/>
          <w:color w:val="000000"/>
        </w:rPr>
      </w:pPr>
      <w:r>
        <w:rPr>
          <w:rFonts w:ascii="Arial" w:hAnsi="Arial" w:cs="Arial"/>
          <w:color w:val="000000"/>
        </w:rPr>
        <w:br w:type="page"/>
      </w:r>
    </w:p>
    <w:p w:rsidR="00542016" w:rsidRPr="00D37504" w:rsidRDefault="00542016" w:rsidP="00A73F5E">
      <w:pPr>
        <w:pStyle w:val="Heading10"/>
        <w:outlineLvl w:val="0"/>
      </w:pPr>
      <w:bookmarkStart w:id="332" w:name="_Toc365383100"/>
      <w:bookmarkStart w:id="333" w:name="_Toc366672130"/>
      <w:r w:rsidRPr="00D37504">
        <w:t>Disclosure index</w:t>
      </w:r>
      <w:bookmarkEnd w:id="332"/>
      <w:bookmarkEnd w:id="333"/>
    </w:p>
    <w:p w:rsidR="00542016" w:rsidRDefault="00542016" w:rsidP="00CA287F">
      <w:pPr>
        <w:rPr>
          <w:rFonts w:ascii="Arial" w:hAnsi="Arial" w:cs="Arial"/>
        </w:rPr>
      </w:pPr>
    </w:p>
    <w:tbl>
      <w:tblPr>
        <w:tblW w:w="9709" w:type="dxa"/>
        <w:tblLayout w:type="fixed"/>
        <w:tblCellMar>
          <w:left w:w="43" w:type="dxa"/>
          <w:right w:w="43" w:type="dxa"/>
        </w:tblCellMar>
        <w:tblLook w:val="0000" w:firstRow="0" w:lastRow="0" w:firstColumn="0" w:lastColumn="0" w:noHBand="0" w:noVBand="0"/>
      </w:tblPr>
      <w:tblGrid>
        <w:gridCol w:w="1303"/>
        <w:gridCol w:w="5670"/>
        <w:gridCol w:w="1303"/>
        <w:gridCol w:w="130"/>
        <w:gridCol w:w="1303"/>
      </w:tblGrid>
      <w:tr w:rsidR="00DA50F4" w:rsidRPr="00630CA7" w:rsidTr="00AD22A8">
        <w:trPr>
          <w:cantSplit/>
          <w:trHeight w:val="450"/>
        </w:trPr>
        <w:tc>
          <w:tcPr>
            <w:tcW w:w="1303" w:type="dxa"/>
            <w:tcBorders>
              <w:bottom w:val="single" w:sz="2" w:space="0" w:color="BFBFBF"/>
            </w:tcBorders>
            <w:shd w:val="clear" w:color="auto" w:fill="auto"/>
          </w:tcPr>
          <w:p w:rsidR="00DA50F4" w:rsidRPr="00630CA7" w:rsidRDefault="00DA50F4" w:rsidP="00DA50F4">
            <w:pPr>
              <w:pStyle w:val="Heading4"/>
              <w:spacing w:before="0"/>
              <w:rPr>
                <w:rFonts w:ascii="Arial" w:hAnsi="Arial" w:cs="Arial"/>
                <w:snapToGrid w:val="0"/>
                <w:sz w:val="28"/>
                <w:szCs w:val="28"/>
              </w:rPr>
            </w:pPr>
          </w:p>
        </w:tc>
        <w:tc>
          <w:tcPr>
            <w:tcW w:w="8406" w:type="dxa"/>
            <w:gridSpan w:val="4"/>
            <w:tcBorders>
              <w:bottom w:val="single" w:sz="2" w:space="0" w:color="BFBFBF"/>
            </w:tcBorders>
            <w:shd w:val="clear" w:color="auto" w:fill="auto"/>
            <w:vAlign w:val="center"/>
          </w:tcPr>
          <w:p w:rsidR="00DA50F4" w:rsidRDefault="00DA50F4" w:rsidP="00DA50F4">
            <w:pPr>
              <w:pStyle w:val="Heading4"/>
              <w:spacing w:before="0"/>
              <w:rPr>
                <w:rFonts w:ascii="Arial" w:hAnsi="Arial" w:cs="Arial"/>
                <w:snapToGrid w:val="0"/>
                <w:sz w:val="28"/>
                <w:szCs w:val="28"/>
              </w:rPr>
            </w:pPr>
            <w:r w:rsidRPr="00630CA7">
              <w:rPr>
                <w:rFonts w:ascii="Arial" w:hAnsi="Arial" w:cs="Arial"/>
                <w:snapToGrid w:val="0"/>
                <w:sz w:val="28"/>
                <w:szCs w:val="28"/>
              </w:rPr>
              <w:t>Report of operations – FRD Guidance</w:t>
            </w:r>
          </w:p>
          <w:p w:rsidR="00DA50F4" w:rsidRPr="00EF4A0B" w:rsidRDefault="00DA50F4" w:rsidP="00DA50F4"/>
        </w:tc>
      </w:tr>
      <w:tr w:rsidR="00DA50F4" w:rsidRPr="00630CA7" w:rsidTr="00AD22A8">
        <w:trPr>
          <w:cantSplit/>
          <w:trHeight w:hRule="exact" w:val="617"/>
        </w:trPr>
        <w:tc>
          <w:tcPr>
            <w:tcW w:w="1303" w:type="dxa"/>
            <w:tcBorders>
              <w:top w:val="single" w:sz="2" w:space="0" w:color="BFBFBF"/>
              <w:bottom w:val="single" w:sz="2" w:space="0" w:color="BFBFBF"/>
            </w:tcBorders>
            <w:shd w:val="clear" w:color="auto" w:fill="auto"/>
          </w:tcPr>
          <w:p w:rsidR="00DA50F4" w:rsidRPr="00AD22A8" w:rsidRDefault="00DA50F4" w:rsidP="00DA50F4">
            <w:pPr>
              <w:pStyle w:val="Heading5"/>
              <w:spacing w:before="0"/>
              <w:rPr>
                <w:rFonts w:ascii="Arial" w:hAnsi="Arial" w:cs="Arial"/>
                <w:b/>
                <w:snapToGrid w:val="0"/>
                <w:sz w:val="20"/>
                <w:szCs w:val="20"/>
              </w:rPr>
            </w:pPr>
            <w:r w:rsidRPr="00AD22A8">
              <w:rPr>
                <w:rFonts w:ascii="Arial" w:hAnsi="Arial" w:cs="Arial"/>
                <w:b/>
                <w:snapToGrid w:val="0"/>
                <w:sz w:val="20"/>
                <w:szCs w:val="20"/>
              </w:rPr>
              <w:t>Charter and purpose</w:t>
            </w:r>
          </w:p>
        </w:tc>
        <w:tc>
          <w:tcPr>
            <w:tcW w:w="8406" w:type="dxa"/>
            <w:gridSpan w:val="4"/>
            <w:tcBorders>
              <w:top w:val="single" w:sz="2" w:space="0" w:color="BFBFBF"/>
              <w:bottom w:val="single" w:sz="2" w:space="0" w:color="BFBFBF"/>
            </w:tcBorders>
            <w:shd w:val="clear" w:color="auto" w:fill="auto"/>
          </w:tcPr>
          <w:p w:rsidR="00DA50F4" w:rsidRPr="00AD22A8" w:rsidRDefault="00DA50F4" w:rsidP="00DA50F4">
            <w:pPr>
              <w:pStyle w:val="Heading5"/>
              <w:spacing w:before="0"/>
              <w:rPr>
                <w:rFonts w:ascii="Arial" w:hAnsi="Arial" w:cs="Arial"/>
                <w:b/>
                <w:snapToGrid w:val="0"/>
                <w:sz w:val="20"/>
                <w:szCs w:val="20"/>
              </w:rPr>
            </w:pPr>
          </w:p>
        </w:tc>
      </w:tr>
      <w:tr w:rsidR="00DA50F4" w:rsidRPr="00630CA7" w:rsidTr="00AD22A8">
        <w:trPr>
          <w:gridAfter w:val="1"/>
          <w:wAfter w:w="1303" w:type="dxa"/>
          <w:cantSplit/>
        </w:trPr>
        <w:tc>
          <w:tcPr>
            <w:tcW w:w="1303" w:type="dxa"/>
            <w:tcBorders>
              <w:top w:val="single" w:sz="2" w:space="0" w:color="BFBFBF"/>
              <w:bottom w:val="single" w:sz="2" w:space="0" w:color="BFBFBF"/>
            </w:tcBorders>
            <w:shd w:val="clear" w:color="auto" w:fill="auto"/>
          </w:tcPr>
          <w:p w:rsidR="00DA50F4" w:rsidRPr="00EF4A0B" w:rsidRDefault="00DA50F4" w:rsidP="00DA50F4">
            <w:pPr>
              <w:pStyle w:val="Tabletext"/>
              <w:spacing w:before="0" w:after="0"/>
              <w:rPr>
                <w:rFonts w:ascii="Arial" w:hAnsi="Arial"/>
                <w:i/>
                <w:sz w:val="20"/>
                <w:szCs w:val="20"/>
              </w:rPr>
            </w:pPr>
            <w:r w:rsidRPr="00EF4A0B">
              <w:rPr>
                <w:rFonts w:ascii="Arial" w:hAnsi="Arial"/>
                <w:i/>
                <w:sz w:val="20"/>
                <w:szCs w:val="20"/>
              </w:rPr>
              <w:t>Legislation</w:t>
            </w:r>
          </w:p>
        </w:tc>
        <w:tc>
          <w:tcPr>
            <w:tcW w:w="5670" w:type="dxa"/>
            <w:tcBorders>
              <w:top w:val="single" w:sz="2" w:space="0" w:color="BFBFBF"/>
              <w:bottom w:val="single" w:sz="2" w:space="0" w:color="BFBFBF"/>
            </w:tcBorders>
            <w:shd w:val="clear" w:color="auto" w:fill="auto"/>
          </w:tcPr>
          <w:p w:rsidR="00DA50F4" w:rsidRPr="00EF4A0B" w:rsidRDefault="00DA50F4" w:rsidP="00DA50F4">
            <w:pPr>
              <w:pStyle w:val="Tabletext"/>
              <w:spacing w:before="0" w:after="0"/>
              <w:rPr>
                <w:rFonts w:ascii="Arial" w:hAnsi="Arial"/>
                <w:i/>
                <w:sz w:val="20"/>
                <w:szCs w:val="20"/>
              </w:rPr>
            </w:pPr>
            <w:r w:rsidRPr="00EF4A0B">
              <w:rPr>
                <w:rFonts w:ascii="Arial" w:hAnsi="Arial"/>
                <w:i/>
                <w:sz w:val="20"/>
                <w:szCs w:val="20"/>
              </w:rPr>
              <w:t>Requirement</w:t>
            </w:r>
          </w:p>
        </w:tc>
        <w:tc>
          <w:tcPr>
            <w:tcW w:w="1433" w:type="dxa"/>
            <w:gridSpan w:val="2"/>
            <w:tcBorders>
              <w:top w:val="single" w:sz="2" w:space="0" w:color="BFBFBF"/>
              <w:bottom w:val="single" w:sz="2" w:space="0" w:color="BFBFBF"/>
            </w:tcBorders>
            <w:shd w:val="clear" w:color="auto" w:fill="auto"/>
          </w:tcPr>
          <w:p w:rsidR="00DA50F4" w:rsidRDefault="00DA50F4" w:rsidP="00DA50F4">
            <w:pPr>
              <w:pStyle w:val="TableofFigures"/>
              <w:spacing w:before="0" w:after="0"/>
              <w:jc w:val="center"/>
              <w:rPr>
                <w:rFonts w:ascii="Arial" w:hAnsi="Arial"/>
                <w:sz w:val="20"/>
                <w:szCs w:val="20"/>
              </w:rPr>
            </w:pPr>
          </w:p>
        </w:tc>
      </w:tr>
      <w:tr w:rsidR="00DA50F4" w:rsidRPr="00630CA7" w:rsidTr="00AD22A8">
        <w:trPr>
          <w:gridAfter w:val="1"/>
          <w:wAfter w:w="1303" w:type="dxa"/>
          <w:cantSplit/>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Manner of establishment and the relevant Ministers</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z w:val="20"/>
                <w:szCs w:val="20"/>
              </w:rPr>
            </w:pPr>
            <w:r>
              <w:rPr>
                <w:rFonts w:ascii="Arial" w:hAnsi="Arial"/>
                <w:sz w:val="20"/>
                <w:szCs w:val="20"/>
              </w:rPr>
              <w:t>9</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 xml:space="preserve">Objectives, functions, powers and duties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z w:val="20"/>
                <w:szCs w:val="20"/>
              </w:rPr>
            </w:pPr>
            <w:r>
              <w:rPr>
                <w:rFonts w:ascii="Arial" w:hAnsi="Arial"/>
                <w:sz w:val="20"/>
                <w:szCs w:val="20"/>
              </w:rPr>
              <w:t>9,10</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Nature and range of services provided</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z w:val="20"/>
                <w:szCs w:val="20"/>
              </w:rPr>
            </w:pPr>
            <w:r>
              <w:rPr>
                <w:rFonts w:ascii="Arial" w:hAnsi="Arial"/>
                <w:sz w:val="20"/>
                <w:szCs w:val="20"/>
              </w:rPr>
              <w:t>7,9,10, 19-39</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0"/>
              <w:spacing w:before="0" w:after="0"/>
              <w:rPr>
                <w:rFonts w:ascii="Arial" w:hAnsi="Arial"/>
                <w:sz w:val="20"/>
                <w:szCs w:val="20"/>
              </w:rPr>
            </w:pP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p>
        </w:tc>
        <w:tc>
          <w:tcPr>
            <w:tcW w:w="1433" w:type="dxa"/>
            <w:gridSpan w:val="2"/>
            <w:tcBorders>
              <w:top w:val="single" w:sz="2" w:space="0" w:color="BFBFBF"/>
              <w:bottom w:val="single" w:sz="2" w:space="0" w:color="BFBFBF"/>
            </w:tcBorders>
            <w:shd w:val="clear" w:color="auto" w:fill="auto"/>
          </w:tcPr>
          <w:p w:rsidR="00DA50F4" w:rsidRPr="00630CA7" w:rsidRDefault="00DA50F4" w:rsidP="00DA50F4">
            <w:pPr>
              <w:pStyle w:val="TableofFigures"/>
              <w:spacing w:before="0" w:after="0"/>
              <w:jc w:val="center"/>
              <w:rPr>
                <w:rFonts w:ascii="Arial" w:hAnsi="Arial"/>
                <w:sz w:val="20"/>
                <w:szCs w:val="20"/>
              </w:rPr>
            </w:pPr>
          </w:p>
        </w:tc>
      </w:tr>
      <w:tr w:rsidR="00DA50F4" w:rsidRPr="00630CA7" w:rsidTr="00AD22A8">
        <w:trPr>
          <w:gridAfter w:val="1"/>
          <w:wAfter w:w="1303" w:type="dxa"/>
          <w:cantSplit/>
          <w:trHeight w:val="20"/>
        </w:trPr>
        <w:tc>
          <w:tcPr>
            <w:tcW w:w="8406" w:type="dxa"/>
            <w:gridSpan w:val="4"/>
            <w:tcBorders>
              <w:top w:val="single" w:sz="2" w:space="0" w:color="BFBFBF"/>
              <w:bottom w:val="single" w:sz="2" w:space="0" w:color="BFBFBF"/>
            </w:tcBorders>
            <w:shd w:val="clear" w:color="auto" w:fill="auto"/>
          </w:tcPr>
          <w:p w:rsidR="00DA50F4" w:rsidRPr="00AD22A8" w:rsidRDefault="00DA50F4" w:rsidP="00DA50F4">
            <w:pPr>
              <w:pStyle w:val="Heading5"/>
              <w:spacing w:before="0"/>
              <w:rPr>
                <w:rFonts w:ascii="Arial" w:hAnsi="Arial" w:cs="Arial"/>
                <w:b/>
                <w:snapToGrid w:val="0"/>
                <w:sz w:val="20"/>
                <w:szCs w:val="20"/>
              </w:rPr>
            </w:pPr>
            <w:r w:rsidRPr="00AD22A8">
              <w:rPr>
                <w:rFonts w:ascii="Arial" w:hAnsi="Arial" w:cs="Arial"/>
                <w:b/>
                <w:snapToGrid w:val="0"/>
                <w:sz w:val="20"/>
                <w:szCs w:val="20"/>
              </w:rPr>
              <w:t>Management and structure</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 xml:space="preserve">Organisational structure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z w:val="20"/>
                <w:szCs w:val="20"/>
              </w:rPr>
            </w:pPr>
            <w:r>
              <w:rPr>
                <w:rFonts w:ascii="Arial" w:hAnsi="Arial"/>
                <w:sz w:val="20"/>
                <w:szCs w:val="20"/>
              </w:rPr>
              <w:t>11</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0"/>
              <w:spacing w:before="0" w:after="0"/>
              <w:rPr>
                <w:rFonts w:ascii="Arial" w:hAnsi="Arial"/>
                <w:sz w:val="20"/>
                <w:szCs w:val="20"/>
              </w:rPr>
            </w:pP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p>
        </w:tc>
        <w:tc>
          <w:tcPr>
            <w:tcW w:w="1433" w:type="dxa"/>
            <w:gridSpan w:val="2"/>
            <w:tcBorders>
              <w:top w:val="single" w:sz="2" w:space="0" w:color="BFBFBF"/>
              <w:bottom w:val="single" w:sz="2" w:space="0" w:color="BFBFBF"/>
            </w:tcBorders>
            <w:shd w:val="clear" w:color="auto" w:fill="auto"/>
          </w:tcPr>
          <w:p w:rsidR="00DA50F4" w:rsidRPr="00630CA7" w:rsidRDefault="00DA50F4" w:rsidP="00DA50F4">
            <w:pPr>
              <w:pStyle w:val="TableofFigures"/>
              <w:spacing w:before="0" w:after="0"/>
              <w:jc w:val="center"/>
              <w:rPr>
                <w:rFonts w:ascii="Arial" w:hAnsi="Arial"/>
                <w:sz w:val="20"/>
                <w:szCs w:val="20"/>
              </w:rPr>
            </w:pPr>
          </w:p>
        </w:tc>
      </w:tr>
      <w:tr w:rsidR="00DA50F4" w:rsidRPr="00630CA7" w:rsidTr="00AD22A8">
        <w:trPr>
          <w:gridAfter w:val="1"/>
          <w:wAfter w:w="1303" w:type="dxa"/>
          <w:cantSplit/>
          <w:trHeight w:val="20"/>
        </w:trPr>
        <w:tc>
          <w:tcPr>
            <w:tcW w:w="8406" w:type="dxa"/>
            <w:gridSpan w:val="4"/>
            <w:tcBorders>
              <w:top w:val="single" w:sz="2" w:space="0" w:color="BFBFBF"/>
              <w:bottom w:val="single" w:sz="2" w:space="0" w:color="BFBFBF"/>
            </w:tcBorders>
            <w:shd w:val="clear" w:color="auto" w:fill="auto"/>
          </w:tcPr>
          <w:p w:rsidR="00DA50F4" w:rsidRPr="00AD22A8" w:rsidRDefault="00DA50F4" w:rsidP="00DA50F4">
            <w:pPr>
              <w:pStyle w:val="Heading5"/>
              <w:spacing w:before="0"/>
              <w:rPr>
                <w:rFonts w:ascii="Arial" w:hAnsi="Arial" w:cs="Arial"/>
                <w:b/>
                <w:snapToGrid w:val="0"/>
                <w:sz w:val="20"/>
                <w:szCs w:val="20"/>
              </w:rPr>
            </w:pPr>
            <w:r w:rsidRPr="00AD22A8">
              <w:rPr>
                <w:rFonts w:ascii="Arial" w:hAnsi="Arial" w:cs="Arial"/>
                <w:b/>
                <w:snapToGrid w:val="0"/>
                <w:sz w:val="20"/>
                <w:szCs w:val="20"/>
              </w:rPr>
              <w:t>Financial and other information</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FRD 10</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z w:val="20"/>
                <w:szCs w:val="20"/>
              </w:rPr>
            </w:pPr>
            <w:r w:rsidRPr="00630CA7">
              <w:rPr>
                <w:rFonts w:ascii="Arial" w:hAnsi="Arial"/>
                <w:sz w:val="20"/>
                <w:szCs w:val="20"/>
              </w:rPr>
              <w:t>Disclosure index</w:t>
            </w:r>
          </w:p>
        </w:tc>
        <w:tc>
          <w:tcPr>
            <w:tcW w:w="1433" w:type="dxa"/>
            <w:gridSpan w:val="2"/>
            <w:tcBorders>
              <w:top w:val="single" w:sz="2" w:space="0" w:color="BFBFBF"/>
              <w:bottom w:val="single" w:sz="2" w:space="0" w:color="BFBFBF"/>
            </w:tcBorders>
            <w:shd w:val="clear" w:color="auto" w:fill="auto"/>
          </w:tcPr>
          <w:p w:rsidR="00DA50F4" w:rsidRPr="00630CA7" w:rsidRDefault="00DA50F4" w:rsidP="00DA50F4">
            <w:pPr>
              <w:pStyle w:val="TableofFigures"/>
              <w:spacing w:before="0" w:after="0"/>
              <w:jc w:val="center"/>
              <w:rPr>
                <w:rFonts w:ascii="Arial" w:hAnsi="Arial"/>
                <w:sz w:val="20"/>
                <w:szCs w:val="20"/>
              </w:rPr>
            </w:pPr>
            <w:r>
              <w:rPr>
                <w:rFonts w:ascii="Arial" w:hAnsi="Arial"/>
                <w:sz w:val="20"/>
                <w:szCs w:val="20"/>
              </w:rPr>
              <w:t>1</w:t>
            </w:r>
            <w:r w:rsidR="00D55A24">
              <w:rPr>
                <w:rFonts w:ascii="Arial" w:hAnsi="Arial"/>
                <w:sz w:val="20"/>
                <w:szCs w:val="20"/>
              </w:rPr>
              <w:t>32-134</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12A</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Disclosure of major contracts</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128</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 SD 4.2(k)</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Operational and budgetary objectives and performance against objectives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29-39</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Employment and conduct principles</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114</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Occupational health and safety policy</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114</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Summary of the financial results for the year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15-17</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Significant changes in financial position during the year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15-17</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Major changes or factors affecting performance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7, 29-39</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Subsequent events</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106</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Application and operation of </w:t>
            </w:r>
            <w:r w:rsidRPr="00630CA7">
              <w:rPr>
                <w:rFonts w:ascii="Arial" w:hAnsi="Arial"/>
                <w:i/>
                <w:snapToGrid w:val="0"/>
                <w:sz w:val="20"/>
                <w:szCs w:val="20"/>
              </w:rPr>
              <w:t>Freedom of Information Act 1982</w:t>
            </w:r>
            <w:r w:rsidRPr="00630CA7">
              <w:rPr>
                <w:rFonts w:ascii="Arial" w:hAnsi="Arial"/>
                <w:snapToGrid w:val="0"/>
                <w:sz w:val="20"/>
                <w:szCs w:val="20"/>
              </w:rPr>
              <w:t xml:space="preserve">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121,122</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Compliance with building and maintenance provisions of </w:t>
            </w:r>
            <w:r w:rsidRPr="00630CA7">
              <w:rPr>
                <w:rFonts w:ascii="Arial" w:hAnsi="Arial"/>
                <w:i/>
                <w:iCs/>
                <w:snapToGrid w:val="0"/>
                <w:sz w:val="20"/>
                <w:szCs w:val="20"/>
              </w:rPr>
              <w:t>Building Act 1993</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127</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Statement on National Competition Policy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125</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Application and operation of the </w:t>
            </w:r>
            <w:r w:rsidRPr="00630CA7">
              <w:rPr>
                <w:rFonts w:ascii="Arial" w:hAnsi="Arial"/>
                <w:i/>
                <w:iCs/>
                <w:snapToGrid w:val="0"/>
                <w:sz w:val="20"/>
                <w:szCs w:val="20"/>
              </w:rPr>
              <w:t>Whistleblowers Protection Act</w:t>
            </w:r>
            <w:r w:rsidRPr="00630CA7">
              <w:rPr>
                <w:rFonts w:ascii="Arial" w:hAnsi="Arial"/>
                <w:snapToGrid w:val="0"/>
                <w:sz w:val="20"/>
                <w:szCs w:val="20"/>
              </w:rPr>
              <w:t xml:space="preserve"> </w:t>
            </w:r>
            <w:r w:rsidRPr="00630CA7">
              <w:rPr>
                <w:rFonts w:ascii="Arial" w:hAnsi="Arial"/>
                <w:i/>
                <w:iCs/>
                <w:snapToGrid w:val="0"/>
                <w:sz w:val="20"/>
                <w:szCs w:val="20"/>
              </w:rPr>
              <w:t>2001</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117-120</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Details of consultancies over $10 000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129</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Details of consultancies under $10 000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129</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22C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 xml:space="preserve">Statement of availability of other information </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130</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24C</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Reporting of office</w:t>
            </w:r>
            <w:r w:rsidRPr="00630CA7">
              <w:rPr>
                <w:rFonts w:ascii="Arial" w:hAnsi="Arial"/>
                <w:snapToGrid w:val="0"/>
                <w:sz w:val="20"/>
                <w:szCs w:val="20"/>
              </w:rPr>
              <w:noBreakHyphen/>
              <w:t>based environmental impacts</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116</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FRD 25A</w:t>
            </w:r>
          </w:p>
        </w:tc>
        <w:tc>
          <w:tcPr>
            <w:tcW w:w="5670"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r w:rsidRPr="00630CA7">
              <w:rPr>
                <w:rFonts w:ascii="Arial" w:hAnsi="Arial"/>
                <w:snapToGrid w:val="0"/>
                <w:sz w:val="20"/>
                <w:szCs w:val="20"/>
              </w:rPr>
              <w:t>Victorian Industry Participation Policy disclosures</w:t>
            </w:r>
          </w:p>
        </w:tc>
        <w:tc>
          <w:tcPr>
            <w:tcW w:w="1433" w:type="dxa"/>
            <w:gridSpan w:val="2"/>
            <w:tcBorders>
              <w:top w:val="single" w:sz="2" w:space="0" w:color="BFBFBF"/>
              <w:bottom w:val="single" w:sz="2" w:space="0" w:color="BFBFBF"/>
            </w:tcBorders>
            <w:shd w:val="clear" w:color="auto" w:fill="auto"/>
          </w:tcPr>
          <w:p w:rsidR="00DA50F4" w:rsidRPr="00630CA7"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124</w:t>
            </w:r>
          </w:p>
        </w:tc>
      </w:tr>
      <w:tr w:rsidR="00DA50F4" w:rsidRPr="006C5189" w:rsidTr="00AD22A8">
        <w:trPr>
          <w:gridAfter w:val="1"/>
          <w:wAfter w:w="1303" w:type="dxa"/>
          <w:cantSplit/>
          <w:trHeight w:val="275"/>
        </w:trPr>
        <w:tc>
          <w:tcPr>
            <w:tcW w:w="1303" w:type="dxa"/>
            <w:tcBorders>
              <w:top w:val="single" w:sz="2" w:space="0" w:color="BFBFBF"/>
              <w:bottom w:val="single" w:sz="2" w:space="0" w:color="BFBFBF"/>
            </w:tcBorders>
            <w:shd w:val="clear" w:color="auto" w:fill="auto"/>
          </w:tcPr>
          <w:p w:rsidR="00DA50F4" w:rsidRPr="0086488F"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FRD 29</w:t>
            </w:r>
          </w:p>
        </w:tc>
        <w:tc>
          <w:tcPr>
            <w:tcW w:w="5670" w:type="dxa"/>
            <w:tcBorders>
              <w:top w:val="single" w:sz="2" w:space="0" w:color="BFBFBF"/>
              <w:bottom w:val="single" w:sz="2" w:space="0" w:color="BFBFBF"/>
            </w:tcBorders>
            <w:shd w:val="clear" w:color="auto" w:fill="auto"/>
          </w:tcPr>
          <w:p w:rsidR="00DA50F4" w:rsidRPr="0086488F" w:rsidRDefault="00DA50F4" w:rsidP="00DA50F4">
            <w:pPr>
              <w:pStyle w:val="Tabletext"/>
              <w:spacing w:before="0" w:after="0"/>
              <w:rPr>
                <w:rFonts w:ascii="Arial" w:hAnsi="Arial"/>
                <w:snapToGrid w:val="0"/>
                <w:sz w:val="20"/>
                <w:szCs w:val="20"/>
              </w:rPr>
            </w:pPr>
            <w:r w:rsidRPr="0086488F">
              <w:rPr>
                <w:rFonts w:ascii="Arial" w:hAnsi="Arial"/>
                <w:snapToGrid w:val="0"/>
                <w:sz w:val="20"/>
                <w:szCs w:val="20"/>
              </w:rPr>
              <w:t>Workforce Data disclosures</w:t>
            </w:r>
          </w:p>
        </w:tc>
        <w:tc>
          <w:tcPr>
            <w:tcW w:w="1433" w:type="dxa"/>
            <w:gridSpan w:val="2"/>
            <w:tcBorders>
              <w:top w:val="single" w:sz="2" w:space="0" w:color="BFBFBF"/>
              <w:bottom w:val="single" w:sz="2" w:space="0" w:color="BFBFBF"/>
            </w:tcBorders>
            <w:shd w:val="clear" w:color="auto" w:fill="auto"/>
          </w:tcPr>
          <w:p w:rsidR="00DA50F4" w:rsidRPr="006C5189"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113</w:t>
            </w:r>
          </w:p>
        </w:tc>
      </w:tr>
      <w:tr w:rsidR="00DA50F4" w:rsidRPr="006C5189" w:rsidTr="00AD22A8">
        <w:trPr>
          <w:gridAfter w:val="1"/>
          <w:wAfter w:w="1303" w:type="dxa"/>
          <w:cantSplit/>
          <w:trHeight w:val="28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 4.5.5</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Risk management compliance attestation</w:t>
            </w:r>
          </w:p>
        </w:tc>
        <w:tc>
          <w:tcPr>
            <w:tcW w:w="1433" w:type="dxa"/>
            <w:gridSpan w:val="2"/>
            <w:tcBorders>
              <w:top w:val="single" w:sz="2" w:space="0" w:color="BFBFBF"/>
              <w:bottom w:val="single" w:sz="2" w:space="0" w:color="BFBFBF"/>
            </w:tcBorders>
            <w:shd w:val="clear" w:color="auto" w:fill="auto"/>
          </w:tcPr>
          <w:p w:rsidR="00DA50F4" w:rsidRPr="006C5189"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126</w:t>
            </w:r>
          </w:p>
        </w:tc>
      </w:tr>
      <w:tr w:rsidR="00DA50F4" w:rsidRPr="006C5189" w:rsidTr="00AD22A8">
        <w:trPr>
          <w:gridAfter w:val="1"/>
          <w:wAfter w:w="1303" w:type="dxa"/>
          <w:cantSplit/>
          <w:trHeight w:val="283"/>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 4.5.5.1</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Ministerial Standing Direction 4.5.5.1 compliance attestation</w:t>
            </w:r>
          </w:p>
        </w:tc>
        <w:tc>
          <w:tcPr>
            <w:tcW w:w="1433" w:type="dxa"/>
            <w:gridSpan w:val="2"/>
            <w:tcBorders>
              <w:top w:val="single" w:sz="2" w:space="0" w:color="BFBFBF"/>
              <w:bottom w:val="single" w:sz="2" w:space="0" w:color="BFBFBF"/>
            </w:tcBorders>
            <w:shd w:val="clear" w:color="auto" w:fill="auto"/>
          </w:tcPr>
          <w:p w:rsidR="00DA50F4" w:rsidRPr="006C5189"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126</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B15D07" w:rsidRDefault="00DA50F4" w:rsidP="00DA50F4">
            <w:pPr>
              <w:pStyle w:val="Tabletext"/>
              <w:spacing w:before="0" w:after="0"/>
              <w:rPr>
                <w:rFonts w:ascii="Arial" w:hAnsi="Arial"/>
                <w:snapToGrid w:val="0"/>
                <w:sz w:val="20"/>
                <w:szCs w:val="20"/>
              </w:rPr>
            </w:pPr>
            <w:r w:rsidRPr="00B15D07">
              <w:rPr>
                <w:rFonts w:ascii="Arial" w:hAnsi="Arial"/>
                <w:snapToGrid w:val="0"/>
                <w:sz w:val="20"/>
                <w:szCs w:val="20"/>
              </w:rPr>
              <w:t xml:space="preserve">SD 4.2(j) </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B15D07">
              <w:rPr>
                <w:rFonts w:ascii="Arial" w:hAnsi="Arial"/>
                <w:snapToGrid w:val="0"/>
                <w:sz w:val="20"/>
                <w:szCs w:val="20"/>
              </w:rPr>
              <w:t>Sign</w:t>
            </w:r>
            <w:r w:rsidRPr="00B15D07">
              <w:rPr>
                <w:rFonts w:ascii="Arial" w:hAnsi="Arial"/>
                <w:snapToGrid w:val="0"/>
                <w:sz w:val="20"/>
                <w:szCs w:val="20"/>
              </w:rPr>
              <w:noBreakHyphen/>
              <w:t>off requirements</w:t>
            </w:r>
          </w:p>
        </w:tc>
        <w:tc>
          <w:tcPr>
            <w:tcW w:w="1433" w:type="dxa"/>
            <w:gridSpan w:val="2"/>
            <w:tcBorders>
              <w:top w:val="single" w:sz="2" w:space="0" w:color="BFBFBF"/>
              <w:bottom w:val="single" w:sz="2" w:space="0" w:color="BFBFBF"/>
            </w:tcBorders>
            <w:shd w:val="clear" w:color="auto" w:fill="auto"/>
          </w:tcPr>
          <w:p w:rsidR="00DA50F4" w:rsidRPr="0086488F"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29</w:t>
            </w:r>
          </w:p>
        </w:tc>
      </w:tr>
      <w:tr w:rsidR="00DA50F4" w:rsidRPr="006C5189" w:rsidTr="00AD22A8">
        <w:trPr>
          <w:gridAfter w:val="1"/>
          <w:wAfter w:w="1303" w:type="dxa"/>
          <w:cantSplit/>
          <w:trHeight w:val="432"/>
        </w:trPr>
        <w:tc>
          <w:tcPr>
            <w:tcW w:w="8406" w:type="dxa"/>
            <w:gridSpan w:val="4"/>
            <w:tcBorders>
              <w:top w:val="single" w:sz="2" w:space="0" w:color="BFBFBF"/>
              <w:bottom w:val="single" w:sz="2" w:space="0" w:color="BFBFBF"/>
            </w:tcBorders>
            <w:shd w:val="clear" w:color="auto" w:fill="auto"/>
            <w:vAlign w:val="center"/>
          </w:tcPr>
          <w:p w:rsidR="00DA50F4" w:rsidRPr="006C5189" w:rsidRDefault="00DA50F4" w:rsidP="00DA50F4">
            <w:pPr>
              <w:pStyle w:val="Heading4"/>
              <w:spacing w:before="0"/>
              <w:rPr>
                <w:rFonts w:ascii="Arial" w:hAnsi="Arial" w:cs="Arial"/>
                <w:snapToGrid w:val="0"/>
                <w:sz w:val="28"/>
                <w:szCs w:val="28"/>
              </w:rPr>
            </w:pPr>
            <w:r w:rsidRPr="006C5189">
              <w:rPr>
                <w:rFonts w:ascii="Arial" w:hAnsi="Arial" w:cs="Arial"/>
                <w:snapToGrid w:val="0"/>
                <w:sz w:val="28"/>
                <w:szCs w:val="28"/>
              </w:rPr>
              <w:t xml:space="preserve">Financial Report </w:t>
            </w:r>
          </w:p>
        </w:tc>
      </w:tr>
      <w:tr w:rsidR="00DA50F4" w:rsidRPr="006C5189" w:rsidTr="00AD22A8">
        <w:trPr>
          <w:gridAfter w:val="1"/>
          <w:wAfter w:w="1303" w:type="dxa"/>
          <w:cantSplit/>
          <w:trHeight w:val="20"/>
        </w:trPr>
        <w:tc>
          <w:tcPr>
            <w:tcW w:w="8406" w:type="dxa"/>
            <w:gridSpan w:val="4"/>
            <w:tcBorders>
              <w:top w:val="single" w:sz="2" w:space="0" w:color="BFBFBF"/>
              <w:bottom w:val="single" w:sz="2" w:space="0" w:color="BFBFBF"/>
            </w:tcBorders>
            <w:shd w:val="clear" w:color="auto" w:fill="auto"/>
          </w:tcPr>
          <w:p w:rsidR="00DA50F4" w:rsidRPr="00AD22A8" w:rsidRDefault="00DA50F4" w:rsidP="00DA50F4">
            <w:pPr>
              <w:pStyle w:val="Heading5"/>
              <w:spacing w:before="0"/>
              <w:rPr>
                <w:rFonts w:ascii="Arial" w:hAnsi="Arial" w:cs="Arial"/>
                <w:b/>
                <w:snapToGrid w:val="0"/>
                <w:sz w:val="20"/>
                <w:szCs w:val="20"/>
              </w:rPr>
            </w:pPr>
            <w:r w:rsidRPr="00AD22A8">
              <w:rPr>
                <w:rFonts w:ascii="Arial" w:hAnsi="Arial" w:cs="Arial"/>
                <w:b/>
                <w:snapToGrid w:val="0"/>
                <w:sz w:val="20"/>
                <w:szCs w:val="20"/>
              </w:rPr>
              <w:t xml:space="preserve">Financial </w:t>
            </w:r>
            <w:r w:rsidRPr="00AD22A8">
              <w:rPr>
                <w:rFonts w:ascii="Arial" w:hAnsi="Arial" w:cs="Arial"/>
                <w:b/>
                <w:sz w:val="20"/>
                <w:szCs w:val="20"/>
              </w:rPr>
              <w:t>statements</w:t>
            </w:r>
            <w:r w:rsidRPr="00AD22A8">
              <w:rPr>
                <w:rFonts w:ascii="Arial" w:hAnsi="Arial" w:cs="Arial"/>
                <w:b/>
                <w:snapToGrid w:val="0"/>
                <w:sz w:val="20"/>
                <w:szCs w:val="20"/>
              </w:rPr>
              <w:t xml:space="preserve"> required under Part 7 of the FMA</w:t>
            </w:r>
          </w:p>
        </w:tc>
      </w:tr>
      <w:tr w:rsidR="00DA50F4" w:rsidRPr="006C5189" w:rsidTr="00AD22A8">
        <w:trPr>
          <w:gridAfter w:val="1"/>
          <w:wAfter w:w="1303" w:type="dxa"/>
          <w:cantSplit/>
          <w:trHeight w:val="372"/>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SD4.2(a)</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Statement of changes in equity</w:t>
            </w:r>
          </w:p>
        </w:tc>
        <w:tc>
          <w:tcPr>
            <w:tcW w:w="1433" w:type="dxa"/>
            <w:gridSpan w:val="2"/>
            <w:tcBorders>
              <w:top w:val="single" w:sz="2" w:space="0" w:color="BFBFBF"/>
              <w:bottom w:val="single" w:sz="2" w:space="0" w:color="BFBFBF"/>
            </w:tcBorders>
            <w:shd w:val="clear" w:color="auto" w:fill="auto"/>
          </w:tcPr>
          <w:p w:rsidR="00DA50F4" w:rsidRPr="006C5189" w:rsidRDefault="00803F35" w:rsidP="00DA50F4">
            <w:pPr>
              <w:pStyle w:val="TableofFigures"/>
              <w:spacing w:before="0" w:after="0"/>
              <w:jc w:val="center"/>
              <w:rPr>
                <w:rFonts w:ascii="Arial" w:hAnsi="Arial"/>
                <w:snapToGrid w:val="0"/>
                <w:sz w:val="20"/>
                <w:szCs w:val="20"/>
              </w:rPr>
            </w:pPr>
            <w:r>
              <w:rPr>
                <w:rFonts w:ascii="Arial" w:hAnsi="Arial"/>
                <w:snapToGrid w:val="0"/>
                <w:sz w:val="20"/>
                <w:szCs w:val="20"/>
              </w:rPr>
              <w:t>46</w:t>
            </w:r>
          </w:p>
        </w:tc>
      </w:tr>
      <w:tr w:rsidR="00DA50F4" w:rsidRPr="006C5189" w:rsidTr="00AD22A8">
        <w:trPr>
          <w:gridAfter w:val="1"/>
          <w:wAfter w:w="1303" w:type="dxa"/>
          <w:cantSplit/>
          <w:trHeight w:val="4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SD4.2(b)</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 xml:space="preserve">Operating statement </w:t>
            </w:r>
          </w:p>
        </w:tc>
        <w:tc>
          <w:tcPr>
            <w:tcW w:w="1433" w:type="dxa"/>
            <w:gridSpan w:val="2"/>
            <w:tcBorders>
              <w:top w:val="single" w:sz="2" w:space="0" w:color="BFBFBF"/>
              <w:bottom w:val="single" w:sz="2" w:space="0" w:color="BFBFBF"/>
            </w:tcBorders>
            <w:shd w:val="clear" w:color="auto" w:fill="auto"/>
          </w:tcPr>
          <w:p w:rsidR="00DA50F4" w:rsidRPr="006C5189" w:rsidRDefault="00B71D11" w:rsidP="00DA50F4">
            <w:pPr>
              <w:pStyle w:val="TableofFigures"/>
              <w:spacing w:before="0" w:after="0"/>
              <w:jc w:val="center"/>
              <w:rPr>
                <w:rFonts w:ascii="Arial" w:hAnsi="Arial"/>
                <w:snapToGrid w:val="0"/>
                <w:sz w:val="20"/>
                <w:szCs w:val="20"/>
              </w:rPr>
            </w:pPr>
            <w:r>
              <w:rPr>
                <w:rFonts w:ascii="Arial" w:hAnsi="Arial"/>
                <w:snapToGrid w:val="0"/>
                <w:sz w:val="20"/>
                <w:szCs w:val="20"/>
              </w:rPr>
              <w:t>44</w:t>
            </w:r>
          </w:p>
        </w:tc>
      </w:tr>
      <w:tr w:rsidR="00DA50F4" w:rsidRPr="006C5189" w:rsidTr="00AD22A8">
        <w:trPr>
          <w:gridAfter w:val="1"/>
          <w:wAfter w:w="1303" w:type="dxa"/>
          <w:cantSplit/>
          <w:trHeight w:val="284"/>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SD4.2(b)</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Balance sheet</w:t>
            </w:r>
          </w:p>
        </w:tc>
        <w:tc>
          <w:tcPr>
            <w:tcW w:w="1433" w:type="dxa"/>
            <w:gridSpan w:val="2"/>
            <w:tcBorders>
              <w:top w:val="single" w:sz="2" w:space="0" w:color="BFBFBF"/>
              <w:bottom w:val="single" w:sz="2" w:space="0" w:color="BFBFBF"/>
            </w:tcBorders>
            <w:shd w:val="clear" w:color="auto" w:fill="auto"/>
          </w:tcPr>
          <w:p w:rsidR="00DA50F4" w:rsidRPr="006C5189" w:rsidRDefault="00B71D11" w:rsidP="00DA50F4">
            <w:pPr>
              <w:pStyle w:val="TableofFigures"/>
              <w:spacing w:before="0" w:after="0"/>
              <w:jc w:val="center"/>
              <w:rPr>
                <w:rFonts w:ascii="Arial" w:hAnsi="Arial"/>
                <w:snapToGrid w:val="0"/>
                <w:sz w:val="20"/>
                <w:szCs w:val="20"/>
              </w:rPr>
            </w:pPr>
            <w:r>
              <w:rPr>
                <w:rFonts w:ascii="Arial" w:hAnsi="Arial"/>
                <w:snapToGrid w:val="0"/>
                <w:sz w:val="20"/>
                <w:szCs w:val="20"/>
              </w:rPr>
              <w:t>45</w:t>
            </w:r>
          </w:p>
        </w:tc>
      </w:tr>
      <w:tr w:rsidR="00DA50F4" w:rsidRPr="006C5189" w:rsidTr="00AD22A8">
        <w:trPr>
          <w:gridAfter w:val="1"/>
          <w:wAfter w:w="1303" w:type="dxa"/>
          <w:cantSplit/>
          <w:trHeight w:val="273"/>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SD4.2(b)</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Cash flow statement</w:t>
            </w:r>
          </w:p>
        </w:tc>
        <w:tc>
          <w:tcPr>
            <w:tcW w:w="1433" w:type="dxa"/>
            <w:gridSpan w:val="2"/>
            <w:tcBorders>
              <w:top w:val="single" w:sz="2" w:space="0" w:color="BFBFBF"/>
              <w:bottom w:val="single" w:sz="2" w:space="0" w:color="BFBFBF"/>
            </w:tcBorders>
            <w:shd w:val="clear" w:color="auto" w:fill="auto"/>
          </w:tcPr>
          <w:p w:rsidR="00DA50F4" w:rsidRPr="006C5189" w:rsidRDefault="00B71D11" w:rsidP="00DA50F4">
            <w:pPr>
              <w:pStyle w:val="TableofFigures"/>
              <w:spacing w:before="0" w:after="0"/>
              <w:jc w:val="center"/>
              <w:rPr>
                <w:rFonts w:ascii="Arial" w:hAnsi="Arial"/>
                <w:snapToGrid w:val="0"/>
                <w:sz w:val="20"/>
                <w:szCs w:val="20"/>
              </w:rPr>
            </w:pPr>
            <w:r>
              <w:rPr>
                <w:rFonts w:ascii="Arial" w:hAnsi="Arial"/>
                <w:snapToGrid w:val="0"/>
                <w:sz w:val="20"/>
                <w:szCs w:val="20"/>
              </w:rPr>
              <w:t>47</w:t>
            </w:r>
          </w:p>
        </w:tc>
      </w:tr>
      <w:tr w:rsidR="00DA50F4" w:rsidRPr="006C5189" w:rsidTr="00AD22A8">
        <w:trPr>
          <w:gridAfter w:val="1"/>
          <w:wAfter w:w="1303" w:type="dxa"/>
          <w:cantSplit/>
          <w:trHeight w:val="148"/>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0"/>
              <w:spacing w:before="0" w:after="0"/>
              <w:rPr>
                <w:rFonts w:ascii="Arial" w:hAnsi="Arial"/>
                <w:snapToGrid w:val="0"/>
                <w:sz w:val="20"/>
                <w:szCs w:val="20"/>
              </w:rPr>
            </w:pPr>
          </w:p>
        </w:tc>
        <w:tc>
          <w:tcPr>
            <w:tcW w:w="5670" w:type="dxa"/>
            <w:tcBorders>
              <w:top w:val="single" w:sz="2" w:space="0" w:color="BFBFBF"/>
              <w:bottom w:val="single" w:sz="2" w:space="0" w:color="BFBFBF"/>
            </w:tcBorders>
            <w:shd w:val="clear" w:color="auto" w:fill="auto"/>
          </w:tcPr>
          <w:p w:rsidR="00DA50F4" w:rsidRPr="006C5189" w:rsidDel="00B068E4" w:rsidRDefault="00DA50F4" w:rsidP="00DA50F4">
            <w:pPr>
              <w:pStyle w:val="Tabletext"/>
              <w:spacing w:before="0" w:after="0"/>
              <w:rPr>
                <w:rFonts w:ascii="Arial" w:hAnsi="Arial"/>
                <w:snapToGrid w:val="0"/>
                <w:sz w:val="20"/>
                <w:szCs w:val="20"/>
              </w:rPr>
            </w:pPr>
          </w:p>
        </w:tc>
        <w:tc>
          <w:tcPr>
            <w:tcW w:w="1433" w:type="dxa"/>
            <w:gridSpan w:val="2"/>
            <w:tcBorders>
              <w:top w:val="single" w:sz="2" w:space="0" w:color="BFBFBF"/>
              <w:bottom w:val="single" w:sz="2" w:space="0" w:color="BFBFBF"/>
            </w:tcBorders>
            <w:shd w:val="clear" w:color="auto" w:fill="auto"/>
          </w:tcPr>
          <w:p w:rsidR="00DA50F4" w:rsidRPr="006C5189" w:rsidRDefault="00DA50F4" w:rsidP="00DA50F4">
            <w:pPr>
              <w:pStyle w:val="TableofFigures"/>
              <w:spacing w:before="0" w:after="0"/>
              <w:jc w:val="center"/>
              <w:rPr>
                <w:rFonts w:ascii="Arial" w:hAnsi="Arial"/>
                <w:snapToGrid w:val="0"/>
                <w:sz w:val="20"/>
                <w:szCs w:val="20"/>
              </w:rPr>
            </w:pPr>
          </w:p>
        </w:tc>
      </w:tr>
      <w:tr w:rsidR="00DA50F4" w:rsidRPr="006C5189" w:rsidTr="00AD22A8">
        <w:trPr>
          <w:gridAfter w:val="1"/>
          <w:wAfter w:w="1303" w:type="dxa"/>
          <w:cantSplit/>
          <w:trHeight w:val="20"/>
        </w:trPr>
        <w:tc>
          <w:tcPr>
            <w:tcW w:w="8406" w:type="dxa"/>
            <w:gridSpan w:val="4"/>
            <w:tcBorders>
              <w:top w:val="single" w:sz="2" w:space="0" w:color="BFBFBF"/>
              <w:bottom w:val="single" w:sz="2" w:space="0" w:color="BFBFBF"/>
            </w:tcBorders>
            <w:shd w:val="clear" w:color="auto" w:fill="auto"/>
          </w:tcPr>
          <w:p w:rsidR="00DA50F4" w:rsidRPr="00AD22A8" w:rsidRDefault="00DA50F4" w:rsidP="00DA50F4">
            <w:pPr>
              <w:pStyle w:val="Heading5"/>
              <w:spacing w:before="0"/>
              <w:rPr>
                <w:rFonts w:ascii="Arial" w:hAnsi="Arial" w:cs="Arial"/>
                <w:b/>
                <w:snapToGrid w:val="0"/>
                <w:color w:val="auto"/>
                <w:sz w:val="20"/>
                <w:szCs w:val="20"/>
              </w:rPr>
            </w:pPr>
            <w:r w:rsidRPr="00AD22A8">
              <w:rPr>
                <w:rFonts w:ascii="Arial" w:hAnsi="Arial" w:cs="Arial"/>
                <w:b/>
                <w:snapToGrid w:val="0"/>
                <w:color w:val="auto"/>
                <w:sz w:val="20"/>
                <w:szCs w:val="20"/>
              </w:rPr>
              <w:t>Other requirements under Standing Directions 4.2</w:t>
            </w:r>
          </w:p>
        </w:tc>
      </w:tr>
      <w:tr w:rsidR="00DA50F4" w:rsidRPr="006C5189" w:rsidTr="00AD22A8">
        <w:trPr>
          <w:gridAfter w:val="1"/>
          <w:wAfter w:w="1303" w:type="dxa"/>
          <w:cantSplit/>
          <w:trHeight w:val="54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SD4.2(c)</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Compliance with Australian accounting standards and other authoritative pronouncements</w:t>
            </w:r>
          </w:p>
        </w:tc>
        <w:tc>
          <w:tcPr>
            <w:tcW w:w="1433" w:type="dxa"/>
            <w:gridSpan w:val="2"/>
            <w:tcBorders>
              <w:top w:val="single" w:sz="2" w:space="0" w:color="BFBFBF"/>
              <w:bottom w:val="single" w:sz="2" w:space="0" w:color="BFBFBF"/>
            </w:tcBorders>
            <w:shd w:val="clear" w:color="auto" w:fill="auto"/>
          </w:tcPr>
          <w:p w:rsidR="00DA50F4" w:rsidRPr="006C5189" w:rsidRDefault="00B71D11" w:rsidP="00DA50F4">
            <w:pPr>
              <w:pStyle w:val="TableofFigures"/>
              <w:spacing w:before="0" w:after="0"/>
              <w:jc w:val="center"/>
              <w:rPr>
                <w:rFonts w:ascii="Arial" w:hAnsi="Arial"/>
                <w:snapToGrid w:val="0"/>
                <w:sz w:val="20"/>
                <w:szCs w:val="20"/>
              </w:rPr>
            </w:pPr>
            <w:r>
              <w:rPr>
                <w:rFonts w:ascii="Arial" w:hAnsi="Arial"/>
                <w:snapToGrid w:val="0"/>
                <w:sz w:val="20"/>
                <w:szCs w:val="20"/>
              </w:rPr>
              <w:t>49</w:t>
            </w:r>
          </w:p>
        </w:tc>
      </w:tr>
      <w:tr w:rsidR="00DA50F4" w:rsidRPr="006C5189" w:rsidTr="00AD22A8">
        <w:trPr>
          <w:gridAfter w:val="1"/>
          <w:wAfter w:w="1303" w:type="dxa"/>
          <w:cantSplit/>
          <w:trHeight w:val="264"/>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SD4.2(c)</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Compliance with Ministerial Directions</w:t>
            </w:r>
          </w:p>
        </w:tc>
        <w:tc>
          <w:tcPr>
            <w:tcW w:w="1433" w:type="dxa"/>
            <w:gridSpan w:val="2"/>
            <w:tcBorders>
              <w:top w:val="single" w:sz="2" w:space="0" w:color="BFBFBF"/>
              <w:bottom w:val="single" w:sz="2" w:space="0" w:color="BFBFBF"/>
            </w:tcBorders>
            <w:shd w:val="clear" w:color="auto" w:fill="auto"/>
          </w:tcPr>
          <w:p w:rsidR="00DA50F4" w:rsidRPr="006C5189" w:rsidRDefault="00B71D11" w:rsidP="00DA50F4">
            <w:pPr>
              <w:pStyle w:val="TableofFigures"/>
              <w:spacing w:before="0" w:after="0"/>
              <w:jc w:val="center"/>
              <w:rPr>
                <w:rFonts w:ascii="Arial" w:hAnsi="Arial"/>
                <w:snapToGrid w:val="0"/>
                <w:sz w:val="20"/>
                <w:szCs w:val="20"/>
              </w:rPr>
            </w:pPr>
            <w:r>
              <w:rPr>
                <w:rFonts w:ascii="Arial" w:hAnsi="Arial"/>
                <w:snapToGrid w:val="0"/>
                <w:sz w:val="20"/>
                <w:szCs w:val="20"/>
              </w:rPr>
              <w:t>102</w:t>
            </w:r>
          </w:p>
        </w:tc>
      </w:tr>
      <w:tr w:rsidR="00DA50F4" w:rsidRPr="006C5189" w:rsidTr="00AD22A8">
        <w:trPr>
          <w:gridAfter w:val="1"/>
          <w:wAfter w:w="1303" w:type="dxa"/>
          <w:cantSplit/>
          <w:trHeight w:val="282"/>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SD4.2(d)</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Rounding of amounts</w:t>
            </w:r>
          </w:p>
        </w:tc>
        <w:tc>
          <w:tcPr>
            <w:tcW w:w="1433" w:type="dxa"/>
            <w:gridSpan w:val="2"/>
            <w:tcBorders>
              <w:top w:val="single" w:sz="2" w:space="0" w:color="BFBFBF"/>
              <w:bottom w:val="single" w:sz="2" w:space="0" w:color="BFBFBF"/>
            </w:tcBorders>
            <w:shd w:val="clear" w:color="auto" w:fill="auto"/>
          </w:tcPr>
          <w:p w:rsidR="00DA50F4" w:rsidRPr="0086488F" w:rsidRDefault="00B71D11" w:rsidP="00DA50F4">
            <w:pPr>
              <w:pStyle w:val="TableofFigures"/>
              <w:spacing w:before="0" w:after="0"/>
              <w:jc w:val="center"/>
              <w:rPr>
                <w:rFonts w:ascii="Arial" w:hAnsi="Arial"/>
                <w:snapToGrid w:val="0"/>
                <w:sz w:val="20"/>
                <w:szCs w:val="20"/>
              </w:rPr>
            </w:pPr>
            <w:r>
              <w:rPr>
                <w:rFonts w:ascii="Arial" w:hAnsi="Arial"/>
                <w:snapToGrid w:val="0"/>
                <w:sz w:val="20"/>
                <w:szCs w:val="20"/>
              </w:rPr>
              <w:t>52, 111</w:t>
            </w:r>
          </w:p>
        </w:tc>
      </w:tr>
      <w:tr w:rsidR="00DA50F4" w:rsidRPr="006C5189" w:rsidTr="00AD22A8">
        <w:trPr>
          <w:gridAfter w:val="1"/>
          <w:wAfter w:w="1303" w:type="dxa"/>
          <w:cantSplit/>
          <w:trHeight w:val="272"/>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SD4.2(c)</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r w:rsidRPr="006C5189">
              <w:rPr>
                <w:rFonts w:ascii="Arial" w:hAnsi="Arial"/>
                <w:snapToGrid w:val="0"/>
                <w:sz w:val="20"/>
                <w:szCs w:val="20"/>
              </w:rPr>
              <w:t>Accountable officer’s declaration</w:t>
            </w:r>
          </w:p>
        </w:tc>
        <w:tc>
          <w:tcPr>
            <w:tcW w:w="1433" w:type="dxa"/>
            <w:gridSpan w:val="2"/>
            <w:tcBorders>
              <w:top w:val="single" w:sz="2" w:space="0" w:color="BFBFBF"/>
              <w:bottom w:val="single" w:sz="2" w:space="0" w:color="BFBFBF"/>
            </w:tcBorders>
            <w:shd w:val="clear" w:color="auto" w:fill="auto"/>
          </w:tcPr>
          <w:p w:rsidR="00DA50F4" w:rsidRPr="006C5189" w:rsidRDefault="00B71D11" w:rsidP="00DA50F4">
            <w:pPr>
              <w:pStyle w:val="TableofFigures"/>
              <w:spacing w:before="0" w:after="0"/>
              <w:jc w:val="center"/>
              <w:rPr>
                <w:rFonts w:ascii="Arial" w:hAnsi="Arial"/>
                <w:snapToGrid w:val="0"/>
                <w:sz w:val="20"/>
                <w:szCs w:val="20"/>
              </w:rPr>
            </w:pPr>
            <w:r>
              <w:rPr>
                <w:rFonts w:ascii="Arial" w:hAnsi="Arial"/>
                <w:snapToGrid w:val="0"/>
                <w:sz w:val="20"/>
                <w:szCs w:val="20"/>
              </w:rPr>
              <w:t>41</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napToGrid w:val="0"/>
                <w:sz w:val="20"/>
                <w:szCs w:val="20"/>
              </w:rPr>
            </w:pPr>
          </w:p>
        </w:tc>
        <w:tc>
          <w:tcPr>
            <w:tcW w:w="1433" w:type="dxa"/>
            <w:gridSpan w:val="2"/>
            <w:tcBorders>
              <w:top w:val="single" w:sz="2" w:space="0" w:color="BFBFBF"/>
              <w:bottom w:val="single" w:sz="2" w:space="0" w:color="BFBFBF"/>
            </w:tcBorders>
            <w:shd w:val="clear" w:color="auto" w:fill="auto"/>
          </w:tcPr>
          <w:p w:rsidR="00DA50F4" w:rsidRPr="006C5189" w:rsidRDefault="00DA50F4" w:rsidP="00DA50F4">
            <w:pPr>
              <w:pStyle w:val="TableofFigures"/>
              <w:pBdr>
                <w:left w:val="single" w:sz="4" w:space="4" w:color="0000FF"/>
                <w:right w:val="single" w:sz="4" w:space="4" w:color="0000FF"/>
              </w:pBdr>
              <w:spacing w:before="0" w:after="0"/>
              <w:jc w:val="center"/>
              <w:rPr>
                <w:rFonts w:ascii="Arial" w:hAnsi="Arial"/>
                <w:i/>
                <w:snapToGrid w:val="0"/>
                <w:color w:val="0000FF"/>
                <w:sz w:val="20"/>
                <w:szCs w:val="20"/>
              </w:rPr>
            </w:pPr>
          </w:p>
        </w:tc>
      </w:tr>
      <w:tr w:rsidR="00DA50F4" w:rsidRPr="006C5189" w:rsidTr="00AD22A8">
        <w:trPr>
          <w:gridAfter w:val="1"/>
          <w:wAfter w:w="1303" w:type="dxa"/>
          <w:cantSplit/>
          <w:trHeight w:val="350"/>
        </w:trPr>
        <w:tc>
          <w:tcPr>
            <w:tcW w:w="8406" w:type="dxa"/>
            <w:gridSpan w:val="4"/>
            <w:tcBorders>
              <w:top w:val="single" w:sz="2" w:space="0" w:color="BFBFBF"/>
              <w:bottom w:val="single" w:sz="2" w:space="0" w:color="BFBFBF"/>
            </w:tcBorders>
            <w:shd w:val="clear" w:color="auto" w:fill="auto"/>
          </w:tcPr>
          <w:p w:rsidR="00DA50F4" w:rsidRPr="00AD22A8" w:rsidRDefault="00DA50F4" w:rsidP="00DA50F4">
            <w:pPr>
              <w:pStyle w:val="Heading5"/>
              <w:spacing w:before="0"/>
              <w:rPr>
                <w:rFonts w:ascii="Arial" w:hAnsi="Arial" w:cs="Arial"/>
                <w:b/>
                <w:snapToGrid w:val="0"/>
                <w:color w:val="auto"/>
                <w:sz w:val="20"/>
                <w:szCs w:val="20"/>
              </w:rPr>
            </w:pPr>
            <w:r w:rsidRPr="00AD22A8">
              <w:rPr>
                <w:rFonts w:ascii="Arial" w:hAnsi="Arial" w:cs="Arial"/>
                <w:b/>
                <w:snapToGrid w:val="0"/>
                <w:color w:val="auto"/>
                <w:sz w:val="20"/>
                <w:szCs w:val="20"/>
              </w:rPr>
              <w:t>Other disclosures as required by FRDs in notes to the financial statements</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B15D07" w:rsidRDefault="00DA50F4" w:rsidP="00DA50F4">
            <w:pPr>
              <w:pStyle w:val="Tabletext"/>
              <w:spacing w:before="0" w:after="0"/>
              <w:rPr>
                <w:rFonts w:ascii="Arial" w:hAnsi="Arial"/>
                <w:sz w:val="20"/>
                <w:szCs w:val="20"/>
              </w:rPr>
            </w:pPr>
            <w:r w:rsidRPr="00B15D07">
              <w:rPr>
                <w:rFonts w:ascii="Arial" w:hAnsi="Arial"/>
                <w:sz w:val="20"/>
                <w:szCs w:val="20"/>
              </w:rPr>
              <w:t>FRD 11</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B15D07">
              <w:rPr>
                <w:rFonts w:ascii="Arial" w:hAnsi="Arial"/>
                <w:sz w:val="20"/>
                <w:szCs w:val="20"/>
              </w:rPr>
              <w:t>Disclosure of Ex Gratia Payments</w:t>
            </w:r>
          </w:p>
        </w:tc>
        <w:tc>
          <w:tcPr>
            <w:tcW w:w="1433" w:type="dxa"/>
            <w:gridSpan w:val="2"/>
            <w:tcBorders>
              <w:top w:val="single" w:sz="2" w:space="0" w:color="BFBFBF"/>
              <w:bottom w:val="single" w:sz="2" w:space="0" w:color="BFBFBF"/>
            </w:tcBorders>
            <w:shd w:val="clear" w:color="auto" w:fill="auto"/>
          </w:tcPr>
          <w:p w:rsidR="00DA50F4" w:rsidRPr="0086488F" w:rsidRDefault="00DA50F4" w:rsidP="00DA50F4">
            <w:pPr>
              <w:pStyle w:val="TableofFigures"/>
              <w:spacing w:before="0" w:after="0"/>
              <w:jc w:val="center"/>
              <w:rPr>
                <w:rFonts w:ascii="Arial" w:hAnsi="Arial"/>
                <w:sz w:val="20"/>
                <w:szCs w:val="20"/>
              </w:rPr>
            </w:pPr>
            <w:r>
              <w:rPr>
                <w:rFonts w:ascii="Arial" w:hAnsi="Arial"/>
                <w:sz w:val="20"/>
                <w:szCs w:val="20"/>
              </w:rPr>
              <w:t>n/a</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FRD 17A</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Long Service Leave, Wage Inflation and discount rates</w:t>
            </w:r>
          </w:p>
        </w:tc>
        <w:tc>
          <w:tcPr>
            <w:tcW w:w="1433" w:type="dxa"/>
            <w:gridSpan w:val="2"/>
            <w:tcBorders>
              <w:top w:val="single" w:sz="2" w:space="0" w:color="BFBFBF"/>
              <w:bottom w:val="single" w:sz="2" w:space="0" w:color="BFBFBF"/>
            </w:tcBorders>
            <w:shd w:val="clear" w:color="auto" w:fill="auto"/>
          </w:tcPr>
          <w:p w:rsidR="00DA50F4" w:rsidRPr="006C5189" w:rsidRDefault="00D55A24" w:rsidP="00DA50F4">
            <w:pPr>
              <w:pStyle w:val="TableofFigures"/>
              <w:spacing w:before="0" w:after="0"/>
              <w:jc w:val="center"/>
              <w:rPr>
                <w:rFonts w:ascii="Arial" w:hAnsi="Arial"/>
                <w:sz w:val="20"/>
                <w:szCs w:val="20"/>
              </w:rPr>
            </w:pPr>
            <w:r>
              <w:rPr>
                <w:rFonts w:ascii="Arial" w:hAnsi="Arial"/>
                <w:sz w:val="20"/>
                <w:szCs w:val="20"/>
              </w:rPr>
              <w:t>63</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FRD 21B</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Disclosures of Responsible Persons, Executive Officers and other Personnel (Contractors with Significant Management Responsibilities) in the Financial Report</w:t>
            </w:r>
          </w:p>
        </w:tc>
        <w:tc>
          <w:tcPr>
            <w:tcW w:w="1433" w:type="dxa"/>
            <w:gridSpan w:val="2"/>
            <w:tcBorders>
              <w:top w:val="single" w:sz="2" w:space="0" w:color="BFBFBF"/>
              <w:bottom w:val="single" w:sz="2" w:space="0" w:color="BFBFBF"/>
            </w:tcBorders>
            <w:shd w:val="clear" w:color="auto" w:fill="auto"/>
          </w:tcPr>
          <w:p w:rsidR="00DA50F4" w:rsidRPr="006C5189" w:rsidRDefault="00D55A24" w:rsidP="00DA50F4">
            <w:pPr>
              <w:pStyle w:val="TableofFigures"/>
              <w:spacing w:before="0" w:after="0"/>
              <w:jc w:val="center"/>
              <w:rPr>
                <w:rFonts w:ascii="Arial" w:hAnsi="Arial"/>
                <w:sz w:val="20"/>
                <w:szCs w:val="20"/>
              </w:rPr>
            </w:pPr>
            <w:r>
              <w:rPr>
                <w:rFonts w:ascii="Arial" w:hAnsi="Arial"/>
                <w:sz w:val="20"/>
                <w:szCs w:val="20"/>
              </w:rPr>
              <w:t>102</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FRD 102</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Inventories</w:t>
            </w:r>
          </w:p>
        </w:tc>
        <w:tc>
          <w:tcPr>
            <w:tcW w:w="1433" w:type="dxa"/>
            <w:gridSpan w:val="2"/>
            <w:tcBorders>
              <w:top w:val="single" w:sz="2" w:space="0" w:color="BFBFBF"/>
              <w:bottom w:val="single" w:sz="2" w:space="0" w:color="BFBFBF"/>
            </w:tcBorders>
            <w:shd w:val="clear" w:color="auto" w:fill="auto"/>
          </w:tcPr>
          <w:p w:rsidR="00DA50F4" w:rsidRPr="006C5189" w:rsidRDefault="00D55A24" w:rsidP="00DA50F4">
            <w:pPr>
              <w:pStyle w:val="TableofFigures"/>
              <w:spacing w:before="0" w:after="0"/>
              <w:jc w:val="center"/>
              <w:rPr>
                <w:rFonts w:ascii="Arial" w:hAnsi="Arial"/>
                <w:sz w:val="20"/>
                <w:szCs w:val="20"/>
              </w:rPr>
            </w:pPr>
            <w:r>
              <w:rPr>
                <w:rFonts w:ascii="Arial" w:hAnsi="Arial"/>
                <w:sz w:val="20"/>
                <w:szCs w:val="20"/>
              </w:rPr>
              <w:t>59</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B15D07" w:rsidRDefault="00DA50F4" w:rsidP="00DA50F4">
            <w:pPr>
              <w:pStyle w:val="Tabletext"/>
              <w:spacing w:before="0" w:after="0"/>
              <w:rPr>
                <w:rFonts w:ascii="Arial" w:hAnsi="Arial"/>
                <w:sz w:val="20"/>
                <w:szCs w:val="20"/>
              </w:rPr>
            </w:pPr>
            <w:r w:rsidRPr="00B15D07">
              <w:rPr>
                <w:rFonts w:ascii="Arial" w:hAnsi="Arial"/>
                <w:sz w:val="20"/>
                <w:szCs w:val="20"/>
              </w:rPr>
              <w:t>FRD 103D</w:t>
            </w:r>
          </w:p>
        </w:tc>
        <w:tc>
          <w:tcPr>
            <w:tcW w:w="5670" w:type="dxa"/>
            <w:tcBorders>
              <w:top w:val="single" w:sz="2" w:space="0" w:color="BFBFBF"/>
              <w:bottom w:val="single" w:sz="2" w:space="0" w:color="BFBFBF"/>
            </w:tcBorders>
            <w:shd w:val="clear" w:color="auto" w:fill="auto"/>
          </w:tcPr>
          <w:p w:rsidR="00DA50F4" w:rsidRPr="00B15D07" w:rsidRDefault="00DA50F4" w:rsidP="00DA50F4">
            <w:pPr>
              <w:pStyle w:val="Tabletext"/>
              <w:spacing w:before="0" w:after="0"/>
              <w:rPr>
                <w:rFonts w:ascii="Arial" w:hAnsi="Arial"/>
                <w:sz w:val="20"/>
                <w:szCs w:val="20"/>
              </w:rPr>
            </w:pPr>
            <w:r w:rsidRPr="00B15D07">
              <w:rPr>
                <w:rFonts w:ascii="Arial" w:hAnsi="Arial"/>
                <w:sz w:val="20"/>
                <w:szCs w:val="20"/>
              </w:rPr>
              <w:t>Non</w:t>
            </w:r>
            <w:r w:rsidRPr="00B15D07">
              <w:rPr>
                <w:rFonts w:ascii="Arial" w:hAnsi="Arial"/>
                <w:sz w:val="20"/>
                <w:szCs w:val="20"/>
              </w:rPr>
              <w:noBreakHyphen/>
              <w:t>current Physical Assets</w:t>
            </w:r>
          </w:p>
        </w:tc>
        <w:tc>
          <w:tcPr>
            <w:tcW w:w="1433" w:type="dxa"/>
            <w:gridSpan w:val="2"/>
            <w:tcBorders>
              <w:top w:val="single" w:sz="2" w:space="0" w:color="BFBFBF"/>
              <w:bottom w:val="single" w:sz="2" w:space="0" w:color="BFBFBF"/>
            </w:tcBorders>
            <w:shd w:val="clear" w:color="auto" w:fill="auto"/>
          </w:tcPr>
          <w:p w:rsidR="00DA50F4" w:rsidRPr="006C5189" w:rsidRDefault="00D55A24" w:rsidP="00DA50F4">
            <w:pPr>
              <w:pStyle w:val="TableofFigures"/>
              <w:spacing w:before="0" w:after="0"/>
              <w:jc w:val="center"/>
              <w:rPr>
                <w:rFonts w:ascii="Arial" w:hAnsi="Arial"/>
                <w:sz w:val="20"/>
                <w:szCs w:val="20"/>
              </w:rPr>
            </w:pPr>
            <w:r>
              <w:rPr>
                <w:rFonts w:ascii="Arial" w:hAnsi="Arial"/>
                <w:sz w:val="20"/>
                <w:szCs w:val="20"/>
              </w:rPr>
              <w:t>59,60</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FRD 104</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Foreign Currency</w:t>
            </w:r>
          </w:p>
        </w:tc>
        <w:tc>
          <w:tcPr>
            <w:tcW w:w="1433" w:type="dxa"/>
            <w:gridSpan w:val="2"/>
            <w:tcBorders>
              <w:top w:val="single" w:sz="2" w:space="0" w:color="BFBFBF"/>
              <w:bottom w:val="single" w:sz="2" w:space="0" w:color="BFBFBF"/>
            </w:tcBorders>
            <w:shd w:val="clear" w:color="auto" w:fill="auto"/>
          </w:tcPr>
          <w:p w:rsidR="00DA50F4" w:rsidRPr="006C5189" w:rsidRDefault="00D55A24" w:rsidP="00DA50F4">
            <w:pPr>
              <w:pStyle w:val="TableofFigures"/>
              <w:spacing w:before="0" w:after="0"/>
              <w:jc w:val="center"/>
              <w:rPr>
                <w:rFonts w:ascii="Arial" w:hAnsi="Arial"/>
                <w:sz w:val="20"/>
                <w:szCs w:val="20"/>
              </w:rPr>
            </w:pPr>
            <w:r>
              <w:rPr>
                <w:rFonts w:ascii="Arial" w:hAnsi="Arial"/>
                <w:sz w:val="20"/>
                <w:szCs w:val="20"/>
              </w:rPr>
              <w:t>65</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B15D07" w:rsidRDefault="00DA50F4" w:rsidP="00DA50F4">
            <w:pPr>
              <w:pStyle w:val="Tabletext"/>
              <w:spacing w:before="0" w:after="0"/>
              <w:rPr>
                <w:rFonts w:ascii="Arial" w:hAnsi="Arial"/>
                <w:sz w:val="20"/>
                <w:szCs w:val="20"/>
              </w:rPr>
            </w:pPr>
            <w:r w:rsidRPr="00B15D07">
              <w:rPr>
                <w:rFonts w:ascii="Arial" w:hAnsi="Arial"/>
                <w:sz w:val="20"/>
                <w:szCs w:val="20"/>
              </w:rPr>
              <w:t>FRD 106</w:t>
            </w:r>
          </w:p>
        </w:tc>
        <w:tc>
          <w:tcPr>
            <w:tcW w:w="5670" w:type="dxa"/>
            <w:tcBorders>
              <w:top w:val="single" w:sz="2" w:space="0" w:color="BFBFBF"/>
              <w:bottom w:val="single" w:sz="2" w:space="0" w:color="BFBFBF"/>
            </w:tcBorders>
            <w:shd w:val="clear" w:color="auto" w:fill="auto"/>
          </w:tcPr>
          <w:p w:rsidR="00DA50F4" w:rsidRPr="00B15D07" w:rsidRDefault="00DA50F4" w:rsidP="00DA50F4">
            <w:pPr>
              <w:pStyle w:val="Tabletext"/>
              <w:spacing w:before="0" w:after="0"/>
              <w:rPr>
                <w:rFonts w:ascii="Arial" w:hAnsi="Arial"/>
                <w:sz w:val="20"/>
                <w:szCs w:val="20"/>
              </w:rPr>
            </w:pPr>
            <w:r w:rsidRPr="00B15D07">
              <w:rPr>
                <w:rFonts w:ascii="Arial" w:hAnsi="Arial"/>
                <w:sz w:val="20"/>
                <w:szCs w:val="20"/>
              </w:rPr>
              <w:t>Impairment of Assets</w:t>
            </w:r>
          </w:p>
        </w:tc>
        <w:tc>
          <w:tcPr>
            <w:tcW w:w="1433" w:type="dxa"/>
            <w:gridSpan w:val="2"/>
            <w:tcBorders>
              <w:top w:val="single" w:sz="2" w:space="0" w:color="BFBFBF"/>
              <w:bottom w:val="single" w:sz="2" w:space="0" w:color="BFBFBF"/>
            </w:tcBorders>
            <w:shd w:val="clear" w:color="auto" w:fill="auto"/>
          </w:tcPr>
          <w:p w:rsidR="00DA50F4" w:rsidRPr="006C5189" w:rsidRDefault="00D55A24" w:rsidP="00DA50F4">
            <w:pPr>
              <w:pStyle w:val="TableofFigures"/>
              <w:spacing w:before="0" w:after="0"/>
              <w:jc w:val="center"/>
              <w:rPr>
                <w:rFonts w:ascii="Arial" w:hAnsi="Arial"/>
                <w:sz w:val="20"/>
                <w:szCs w:val="20"/>
              </w:rPr>
            </w:pPr>
            <w:r>
              <w:rPr>
                <w:rFonts w:ascii="Arial" w:hAnsi="Arial"/>
                <w:sz w:val="20"/>
                <w:szCs w:val="20"/>
              </w:rPr>
              <w:t>58</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FRD 109</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Intangible Assets</w:t>
            </w:r>
          </w:p>
        </w:tc>
        <w:tc>
          <w:tcPr>
            <w:tcW w:w="1433" w:type="dxa"/>
            <w:gridSpan w:val="2"/>
            <w:tcBorders>
              <w:top w:val="single" w:sz="2" w:space="0" w:color="BFBFBF"/>
              <w:bottom w:val="single" w:sz="2" w:space="0" w:color="BFBFBF"/>
            </w:tcBorders>
            <w:shd w:val="clear" w:color="auto" w:fill="auto"/>
          </w:tcPr>
          <w:p w:rsidR="00DA50F4" w:rsidRPr="0086488F" w:rsidRDefault="00D55A24" w:rsidP="00DA50F4">
            <w:pPr>
              <w:pStyle w:val="TableofFigures"/>
              <w:spacing w:before="0" w:after="0"/>
              <w:jc w:val="center"/>
              <w:rPr>
                <w:rFonts w:ascii="Arial" w:hAnsi="Arial"/>
                <w:sz w:val="20"/>
                <w:szCs w:val="20"/>
              </w:rPr>
            </w:pPr>
            <w:r>
              <w:rPr>
                <w:rFonts w:ascii="Arial" w:hAnsi="Arial"/>
                <w:sz w:val="20"/>
                <w:szCs w:val="20"/>
              </w:rPr>
              <w:t>61</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B15D07" w:rsidRDefault="00DA50F4" w:rsidP="00DA50F4">
            <w:pPr>
              <w:pStyle w:val="Tabletext"/>
              <w:spacing w:before="0" w:after="0"/>
              <w:rPr>
                <w:rFonts w:ascii="Arial" w:hAnsi="Arial"/>
                <w:sz w:val="20"/>
                <w:szCs w:val="20"/>
              </w:rPr>
            </w:pPr>
            <w:r w:rsidRPr="00B15D07">
              <w:rPr>
                <w:rFonts w:ascii="Arial" w:hAnsi="Arial"/>
                <w:sz w:val="20"/>
                <w:szCs w:val="20"/>
              </w:rPr>
              <w:t>FRD 107</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B15D07">
              <w:rPr>
                <w:rFonts w:ascii="Arial" w:hAnsi="Arial"/>
                <w:sz w:val="20"/>
                <w:szCs w:val="20"/>
              </w:rPr>
              <w:t>Investment Properties</w:t>
            </w:r>
          </w:p>
        </w:tc>
        <w:tc>
          <w:tcPr>
            <w:tcW w:w="1433" w:type="dxa"/>
            <w:gridSpan w:val="2"/>
            <w:tcBorders>
              <w:top w:val="single" w:sz="2" w:space="0" w:color="BFBFBF"/>
              <w:bottom w:val="single" w:sz="2" w:space="0" w:color="BFBFBF"/>
            </w:tcBorders>
            <w:shd w:val="clear" w:color="auto" w:fill="auto"/>
          </w:tcPr>
          <w:p w:rsidR="00DA50F4" w:rsidRPr="0086488F" w:rsidRDefault="00DA50F4" w:rsidP="00DA50F4">
            <w:pPr>
              <w:pStyle w:val="TableofFigures"/>
              <w:spacing w:before="0" w:after="0"/>
              <w:jc w:val="center"/>
              <w:rPr>
                <w:rFonts w:ascii="Arial" w:hAnsi="Arial"/>
                <w:sz w:val="20"/>
                <w:szCs w:val="20"/>
              </w:rPr>
            </w:pPr>
            <w:r>
              <w:rPr>
                <w:rFonts w:ascii="Arial" w:hAnsi="Arial"/>
                <w:sz w:val="20"/>
                <w:szCs w:val="20"/>
              </w:rPr>
              <w:t>n/a</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FRD 110</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Cash Flow Statements</w:t>
            </w:r>
          </w:p>
        </w:tc>
        <w:tc>
          <w:tcPr>
            <w:tcW w:w="1433" w:type="dxa"/>
            <w:gridSpan w:val="2"/>
            <w:tcBorders>
              <w:top w:val="single" w:sz="2" w:space="0" w:color="BFBFBF"/>
              <w:bottom w:val="single" w:sz="2" w:space="0" w:color="BFBFBF"/>
            </w:tcBorders>
            <w:shd w:val="clear" w:color="auto" w:fill="auto"/>
          </w:tcPr>
          <w:p w:rsidR="00DA50F4" w:rsidRPr="0086488F" w:rsidRDefault="00D55A24" w:rsidP="00DA50F4">
            <w:pPr>
              <w:pStyle w:val="TableofFigures"/>
              <w:spacing w:before="0" w:after="0"/>
              <w:jc w:val="center"/>
              <w:rPr>
                <w:rFonts w:ascii="Arial" w:hAnsi="Arial"/>
                <w:sz w:val="20"/>
                <w:szCs w:val="20"/>
              </w:rPr>
            </w:pPr>
            <w:r>
              <w:rPr>
                <w:rFonts w:ascii="Arial" w:hAnsi="Arial"/>
                <w:sz w:val="20"/>
                <w:szCs w:val="20"/>
              </w:rPr>
              <w:t>47</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FRD 112C</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Defined Benefit Superannuation Obligations</w:t>
            </w:r>
          </w:p>
        </w:tc>
        <w:tc>
          <w:tcPr>
            <w:tcW w:w="1433" w:type="dxa"/>
            <w:gridSpan w:val="2"/>
            <w:tcBorders>
              <w:top w:val="single" w:sz="2" w:space="0" w:color="BFBFBF"/>
              <w:bottom w:val="single" w:sz="2" w:space="0" w:color="BFBFBF"/>
            </w:tcBorders>
            <w:shd w:val="clear" w:color="auto" w:fill="auto"/>
          </w:tcPr>
          <w:p w:rsidR="00DA50F4" w:rsidRPr="0086488F" w:rsidRDefault="00D55A24" w:rsidP="00DA50F4">
            <w:pPr>
              <w:pStyle w:val="TableofFigures"/>
              <w:spacing w:before="0" w:after="0"/>
              <w:jc w:val="center"/>
              <w:rPr>
                <w:rFonts w:ascii="Arial" w:hAnsi="Arial"/>
                <w:sz w:val="20"/>
                <w:szCs w:val="20"/>
              </w:rPr>
            </w:pPr>
            <w:r>
              <w:rPr>
                <w:rFonts w:ascii="Arial" w:hAnsi="Arial"/>
                <w:sz w:val="20"/>
                <w:szCs w:val="20"/>
              </w:rPr>
              <w:t>99</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B15D07" w:rsidRDefault="00DA50F4" w:rsidP="00DA50F4">
            <w:pPr>
              <w:pStyle w:val="Tabletext"/>
              <w:spacing w:before="0" w:after="0"/>
              <w:rPr>
                <w:rFonts w:ascii="Arial" w:hAnsi="Arial"/>
                <w:sz w:val="20"/>
                <w:szCs w:val="20"/>
              </w:rPr>
            </w:pPr>
            <w:r w:rsidRPr="00B15D07">
              <w:rPr>
                <w:rFonts w:ascii="Arial" w:hAnsi="Arial"/>
                <w:sz w:val="20"/>
                <w:szCs w:val="20"/>
              </w:rPr>
              <w:t>FRD 113</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B15D07">
              <w:rPr>
                <w:rFonts w:ascii="Arial" w:hAnsi="Arial"/>
                <w:sz w:val="20"/>
                <w:szCs w:val="20"/>
              </w:rPr>
              <w:t>Investments in Subsidiaries, Jointly Controlled Entities and Associates</w:t>
            </w:r>
          </w:p>
        </w:tc>
        <w:tc>
          <w:tcPr>
            <w:tcW w:w="1433" w:type="dxa"/>
            <w:gridSpan w:val="2"/>
            <w:tcBorders>
              <w:top w:val="single" w:sz="2" w:space="0" w:color="BFBFBF"/>
              <w:bottom w:val="single" w:sz="2" w:space="0" w:color="BFBFBF"/>
            </w:tcBorders>
            <w:shd w:val="clear" w:color="auto" w:fill="auto"/>
          </w:tcPr>
          <w:p w:rsidR="00DA50F4" w:rsidRPr="0086488F" w:rsidRDefault="00DA50F4" w:rsidP="00DA50F4">
            <w:pPr>
              <w:pStyle w:val="TableofFigures"/>
              <w:spacing w:before="0" w:after="0"/>
              <w:jc w:val="center"/>
              <w:rPr>
                <w:rFonts w:ascii="Arial" w:hAnsi="Arial"/>
                <w:sz w:val="20"/>
                <w:szCs w:val="20"/>
              </w:rPr>
            </w:pPr>
            <w:r>
              <w:rPr>
                <w:rFonts w:ascii="Arial" w:hAnsi="Arial"/>
                <w:sz w:val="20"/>
                <w:szCs w:val="20"/>
              </w:rPr>
              <w:t>n/a</w:t>
            </w:r>
          </w:p>
        </w:tc>
      </w:tr>
      <w:tr w:rsidR="00DA50F4" w:rsidRPr="006C5189"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FRD 114A</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Financial Instruments – General Government Entities and Public Non Financial Corporations</w:t>
            </w:r>
          </w:p>
        </w:tc>
        <w:tc>
          <w:tcPr>
            <w:tcW w:w="1433" w:type="dxa"/>
            <w:gridSpan w:val="2"/>
            <w:tcBorders>
              <w:top w:val="single" w:sz="2" w:space="0" w:color="BFBFBF"/>
              <w:bottom w:val="single" w:sz="2" w:space="0" w:color="BFBFBF"/>
            </w:tcBorders>
            <w:shd w:val="clear" w:color="auto" w:fill="auto"/>
          </w:tcPr>
          <w:p w:rsidR="00DA50F4" w:rsidRPr="0086488F" w:rsidRDefault="00D55A24" w:rsidP="00DA50F4">
            <w:pPr>
              <w:pStyle w:val="TableofFigures"/>
              <w:spacing w:before="0" w:after="0"/>
              <w:jc w:val="center"/>
              <w:rPr>
                <w:rFonts w:ascii="Arial" w:hAnsi="Arial"/>
                <w:sz w:val="20"/>
                <w:szCs w:val="20"/>
              </w:rPr>
            </w:pPr>
            <w:r>
              <w:rPr>
                <w:rFonts w:ascii="Arial" w:hAnsi="Arial"/>
                <w:sz w:val="20"/>
                <w:szCs w:val="20"/>
              </w:rPr>
              <w:t>57</w:t>
            </w:r>
          </w:p>
        </w:tc>
      </w:tr>
      <w:tr w:rsidR="00DA50F4" w:rsidRPr="00630CA7" w:rsidTr="00AD22A8">
        <w:trPr>
          <w:gridAfter w:val="1"/>
          <w:wAfter w:w="1303" w:type="dxa"/>
          <w:cantSplit/>
          <w:trHeight w:val="20"/>
        </w:trPr>
        <w:tc>
          <w:tcPr>
            <w:tcW w:w="1303"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FRD 119</w:t>
            </w:r>
          </w:p>
        </w:tc>
        <w:tc>
          <w:tcPr>
            <w:tcW w:w="5670" w:type="dxa"/>
            <w:tcBorders>
              <w:top w:val="single" w:sz="2" w:space="0" w:color="BFBFBF"/>
              <w:bottom w:val="single" w:sz="2" w:space="0" w:color="BFBFBF"/>
            </w:tcBorders>
            <w:shd w:val="clear" w:color="auto" w:fill="auto"/>
          </w:tcPr>
          <w:p w:rsidR="00DA50F4" w:rsidRPr="006C5189" w:rsidRDefault="00DA50F4" w:rsidP="00DA50F4">
            <w:pPr>
              <w:pStyle w:val="Tabletext"/>
              <w:spacing w:before="0" w:after="0"/>
              <w:rPr>
                <w:rFonts w:ascii="Arial" w:hAnsi="Arial"/>
                <w:sz w:val="20"/>
                <w:szCs w:val="20"/>
              </w:rPr>
            </w:pPr>
            <w:r w:rsidRPr="006C5189">
              <w:rPr>
                <w:rFonts w:ascii="Arial" w:hAnsi="Arial"/>
                <w:sz w:val="20"/>
                <w:szCs w:val="20"/>
              </w:rPr>
              <w:t>Contributions by Owners</w:t>
            </w:r>
          </w:p>
        </w:tc>
        <w:tc>
          <w:tcPr>
            <w:tcW w:w="1433" w:type="dxa"/>
            <w:gridSpan w:val="2"/>
            <w:tcBorders>
              <w:top w:val="single" w:sz="2" w:space="0" w:color="BFBFBF"/>
              <w:bottom w:val="single" w:sz="2" w:space="0" w:color="BFBFBF"/>
            </w:tcBorders>
            <w:shd w:val="clear" w:color="auto" w:fill="auto"/>
          </w:tcPr>
          <w:p w:rsidR="00DA50F4" w:rsidRPr="00630CA7" w:rsidRDefault="00F16E84" w:rsidP="00DA50F4">
            <w:pPr>
              <w:pStyle w:val="TableofFigures"/>
              <w:spacing w:before="0" w:after="0"/>
              <w:jc w:val="center"/>
              <w:rPr>
                <w:rFonts w:ascii="Arial" w:hAnsi="Arial"/>
                <w:sz w:val="20"/>
                <w:szCs w:val="20"/>
              </w:rPr>
            </w:pPr>
            <w:r>
              <w:rPr>
                <w:rFonts w:ascii="Arial" w:hAnsi="Arial"/>
                <w:sz w:val="20"/>
                <w:szCs w:val="20"/>
              </w:rPr>
              <w:t>46</w:t>
            </w:r>
          </w:p>
        </w:tc>
      </w:tr>
      <w:tr w:rsidR="00DA50F4" w:rsidRPr="00630CA7" w:rsidTr="00AD22A8">
        <w:tblPrEx>
          <w:tblCellMar>
            <w:left w:w="108" w:type="dxa"/>
            <w:right w:w="108" w:type="dxa"/>
          </w:tblCellMar>
        </w:tblPrEx>
        <w:trPr>
          <w:gridAfter w:val="1"/>
          <w:wAfter w:w="1303" w:type="dxa"/>
          <w:cantSplit/>
          <w:trHeight w:hRule="exact" w:val="288"/>
        </w:trPr>
        <w:tc>
          <w:tcPr>
            <w:tcW w:w="8406" w:type="dxa"/>
            <w:gridSpan w:val="4"/>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snapToGrid w:val="0"/>
                <w:sz w:val="20"/>
                <w:szCs w:val="20"/>
              </w:rPr>
            </w:pPr>
          </w:p>
        </w:tc>
      </w:tr>
      <w:tr w:rsidR="00DA50F4" w:rsidRPr="00630CA7" w:rsidTr="00AD22A8">
        <w:trPr>
          <w:cantSplit/>
          <w:trHeight w:val="549"/>
        </w:trPr>
        <w:tc>
          <w:tcPr>
            <w:tcW w:w="1303" w:type="dxa"/>
            <w:tcBorders>
              <w:top w:val="single" w:sz="2" w:space="0" w:color="BFBFBF"/>
              <w:bottom w:val="single" w:sz="2" w:space="0" w:color="BFBFBF"/>
            </w:tcBorders>
            <w:shd w:val="clear" w:color="auto" w:fill="auto"/>
          </w:tcPr>
          <w:p w:rsidR="00DA50F4" w:rsidRPr="00630CA7" w:rsidRDefault="00DA50F4" w:rsidP="00DA50F4">
            <w:pPr>
              <w:pStyle w:val="Heading2pt2a"/>
              <w:outlineLvl w:val="9"/>
              <w:rPr>
                <w:rFonts w:ascii="Arial" w:hAnsi="Arial" w:cs="Arial"/>
                <w:sz w:val="20"/>
                <w:szCs w:val="20"/>
              </w:rPr>
            </w:pPr>
          </w:p>
        </w:tc>
        <w:tc>
          <w:tcPr>
            <w:tcW w:w="8406" w:type="dxa"/>
            <w:gridSpan w:val="4"/>
            <w:tcBorders>
              <w:top w:val="single" w:sz="2" w:space="0" w:color="BFBFBF"/>
              <w:bottom w:val="single" w:sz="2" w:space="0" w:color="BFBFBF"/>
            </w:tcBorders>
            <w:shd w:val="clear" w:color="auto" w:fill="auto"/>
            <w:vAlign w:val="center"/>
          </w:tcPr>
          <w:p w:rsidR="00DA50F4" w:rsidRPr="00630CA7" w:rsidRDefault="00DA50F4" w:rsidP="00DA50F4">
            <w:pPr>
              <w:pStyle w:val="Heading2pt2a"/>
              <w:outlineLvl w:val="9"/>
              <w:rPr>
                <w:rFonts w:ascii="Arial" w:hAnsi="Arial" w:cs="Arial"/>
                <w:sz w:val="20"/>
                <w:szCs w:val="20"/>
              </w:rPr>
            </w:pPr>
            <w:bookmarkStart w:id="334" w:name="_Toc133137618"/>
            <w:bookmarkStart w:id="335" w:name="_Toc133203936"/>
            <w:r w:rsidRPr="00630CA7">
              <w:rPr>
                <w:rFonts w:ascii="Arial" w:hAnsi="Arial" w:cs="Arial"/>
                <w:sz w:val="20"/>
                <w:szCs w:val="20"/>
              </w:rPr>
              <w:t>Legislation</w:t>
            </w:r>
            <w:bookmarkEnd w:id="334"/>
            <w:bookmarkEnd w:id="335"/>
            <w:r w:rsidRPr="00630CA7">
              <w:rPr>
                <w:rFonts w:ascii="Arial" w:hAnsi="Arial" w:cs="Arial"/>
                <w:sz w:val="20"/>
                <w:szCs w:val="20"/>
              </w:rPr>
              <w:t xml:space="preserve"> </w:t>
            </w:r>
          </w:p>
        </w:tc>
      </w:tr>
      <w:tr w:rsidR="00DA50F4" w:rsidRPr="00630CA7" w:rsidTr="00AD22A8">
        <w:tblPrEx>
          <w:tblCellMar>
            <w:left w:w="108" w:type="dxa"/>
            <w:right w:w="108" w:type="dxa"/>
          </w:tblCellMar>
        </w:tblPrEx>
        <w:trPr>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p>
        </w:tc>
        <w:tc>
          <w:tcPr>
            <w:tcW w:w="6973" w:type="dxa"/>
            <w:gridSpan w:val="2"/>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r w:rsidRPr="00630CA7">
              <w:rPr>
                <w:rFonts w:ascii="Arial" w:hAnsi="Arial"/>
                <w:i/>
                <w:sz w:val="20"/>
                <w:szCs w:val="20"/>
              </w:rPr>
              <w:t>Freedom of Information Act 1982</w:t>
            </w:r>
          </w:p>
        </w:tc>
        <w:tc>
          <w:tcPr>
            <w:tcW w:w="1433" w:type="dxa"/>
            <w:gridSpan w:val="2"/>
            <w:tcBorders>
              <w:top w:val="single" w:sz="2" w:space="0" w:color="BFBFBF"/>
              <w:bottom w:val="single" w:sz="2" w:space="0" w:color="BFBFBF"/>
            </w:tcBorders>
            <w:shd w:val="clear" w:color="auto" w:fill="auto"/>
          </w:tcPr>
          <w:p w:rsidR="00DA50F4" w:rsidRPr="00630CA7" w:rsidRDefault="00B71D11" w:rsidP="00DA50F4">
            <w:pPr>
              <w:pStyle w:val="Tabletext"/>
              <w:spacing w:before="0" w:after="0"/>
              <w:jc w:val="center"/>
              <w:rPr>
                <w:rFonts w:ascii="Arial" w:hAnsi="Arial"/>
                <w:sz w:val="20"/>
                <w:szCs w:val="20"/>
              </w:rPr>
            </w:pPr>
            <w:r>
              <w:rPr>
                <w:rFonts w:ascii="Arial" w:hAnsi="Arial"/>
                <w:sz w:val="20"/>
                <w:szCs w:val="20"/>
              </w:rPr>
              <w:t>121, 122</w:t>
            </w:r>
          </w:p>
        </w:tc>
      </w:tr>
      <w:tr w:rsidR="00DA50F4" w:rsidRPr="00630CA7" w:rsidTr="00AD22A8">
        <w:tblPrEx>
          <w:tblCellMar>
            <w:left w:w="108" w:type="dxa"/>
            <w:right w:w="108" w:type="dxa"/>
          </w:tblCellMar>
        </w:tblPrEx>
        <w:trPr>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p>
        </w:tc>
        <w:tc>
          <w:tcPr>
            <w:tcW w:w="6973" w:type="dxa"/>
            <w:gridSpan w:val="2"/>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r w:rsidRPr="00630CA7">
              <w:rPr>
                <w:rFonts w:ascii="Arial" w:hAnsi="Arial"/>
                <w:i/>
                <w:sz w:val="20"/>
                <w:szCs w:val="20"/>
              </w:rPr>
              <w:t>Building Act 1983</w:t>
            </w:r>
          </w:p>
        </w:tc>
        <w:tc>
          <w:tcPr>
            <w:tcW w:w="1433" w:type="dxa"/>
            <w:gridSpan w:val="2"/>
            <w:tcBorders>
              <w:top w:val="single" w:sz="2" w:space="0" w:color="BFBFBF"/>
              <w:bottom w:val="single" w:sz="2" w:space="0" w:color="BFBFBF"/>
            </w:tcBorders>
            <w:shd w:val="clear" w:color="auto" w:fill="auto"/>
          </w:tcPr>
          <w:p w:rsidR="00DA50F4" w:rsidRPr="00630CA7" w:rsidRDefault="00B71D11" w:rsidP="00DA50F4">
            <w:pPr>
              <w:pStyle w:val="Tabletext"/>
              <w:spacing w:before="0" w:after="0"/>
              <w:jc w:val="center"/>
              <w:rPr>
                <w:rFonts w:ascii="Arial" w:hAnsi="Arial"/>
                <w:sz w:val="20"/>
                <w:szCs w:val="20"/>
              </w:rPr>
            </w:pPr>
            <w:r>
              <w:rPr>
                <w:rFonts w:ascii="Arial" w:hAnsi="Arial"/>
                <w:sz w:val="20"/>
                <w:szCs w:val="20"/>
              </w:rPr>
              <w:t>127</w:t>
            </w:r>
          </w:p>
        </w:tc>
      </w:tr>
      <w:tr w:rsidR="00DA50F4" w:rsidRPr="00630CA7" w:rsidTr="00AD22A8">
        <w:tblPrEx>
          <w:tblCellMar>
            <w:left w:w="108" w:type="dxa"/>
            <w:right w:w="108" w:type="dxa"/>
          </w:tblCellMar>
        </w:tblPrEx>
        <w:trPr>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p>
        </w:tc>
        <w:tc>
          <w:tcPr>
            <w:tcW w:w="6973" w:type="dxa"/>
            <w:gridSpan w:val="2"/>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r w:rsidRPr="00630CA7">
              <w:rPr>
                <w:rFonts w:ascii="Arial" w:hAnsi="Arial"/>
                <w:i/>
                <w:sz w:val="20"/>
                <w:szCs w:val="20"/>
              </w:rPr>
              <w:t>Whistleblowers Protection Act 2001</w:t>
            </w:r>
          </w:p>
        </w:tc>
        <w:tc>
          <w:tcPr>
            <w:tcW w:w="1433" w:type="dxa"/>
            <w:gridSpan w:val="2"/>
            <w:tcBorders>
              <w:top w:val="single" w:sz="2" w:space="0" w:color="BFBFBF"/>
              <w:bottom w:val="single" w:sz="2" w:space="0" w:color="BFBFBF"/>
            </w:tcBorders>
            <w:shd w:val="clear" w:color="auto" w:fill="auto"/>
          </w:tcPr>
          <w:p w:rsidR="00DA50F4" w:rsidRPr="00630CA7" w:rsidRDefault="00B71D11" w:rsidP="00DA50F4">
            <w:pPr>
              <w:pStyle w:val="Tabletext"/>
              <w:spacing w:before="0" w:after="0"/>
              <w:jc w:val="center"/>
              <w:rPr>
                <w:rFonts w:ascii="Arial" w:hAnsi="Arial"/>
                <w:sz w:val="20"/>
                <w:szCs w:val="20"/>
              </w:rPr>
            </w:pPr>
            <w:r>
              <w:rPr>
                <w:rFonts w:ascii="Arial" w:hAnsi="Arial"/>
                <w:sz w:val="20"/>
                <w:szCs w:val="20"/>
              </w:rPr>
              <w:t>117-120</w:t>
            </w:r>
          </w:p>
        </w:tc>
      </w:tr>
      <w:tr w:rsidR="00DA50F4" w:rsidRPr="00630CA7" w:rsidTr="00AD22A8">
        <w:tblPrEx>
          <w:tblCellMar>
            <w:left w:w="108" w:type="dxa"/>
            <w:right w:w="108" w:type="dxa"/>
          </w:tblCellMar>
        </w:tblPrEx>
        <w:trPr>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p>
        </w:tc>
        <w:tc>
          <w:tcPr>
            <w:tcW w:w="6973" w:type="dxa"/>
            <w:gridSpan w:val="2"/>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r w:rsidRPr="00630CA7">
              <w:rPr>
                <w:rFonts w:ascii="Arial" w:hAnsi="Arial"/>
                <w:i/>
                <w:sz w:val="20"/>
                <w:szCs w:val="20"/>
              </w:rPr>
              <w:t>Victorian Industry Participation Policy Act 2003</w:t>
            </w:r>
          </w:p>
        </w:tc>
        <w:tc>
          <w:tcPr>
            <w:tcW w:w="1433" w:type="dxa"/>
            <w:gridSpan w:val="2"/>
            <w:tcBorders>
              <w:top w:val="single" w:sz="2" w:space="0" w:color="BFBFBF"/>
              <w:bottom w:val="single" w:sz="2" w:space="0" w:color="BFBFBF"/>
            </w:tcBorders>
            <w:shd w:val="clear" w:color="auto" w:fill="auto"/>
          </w:tcPr>
          <w:p w:rsidR="00DA50F4" w:rsidRPr="00630CA7" w:rsidRDefault="00B71D11" w:rsidP="00DA50F4">
            <w:pPr>
              <w:pStyle w:val="Tabletext"/>
              <w:spacing w:before="0" w:after="0"/>
              <w:jc w:val="center"/>
              <w:rPr>
                <w:rFonts w:ascii="Arial" w:hAnsi="Arial"/>
                <w:sz w:val="20"/>
                <w:szCs w:val="20"/>
              </w:rPr>
            </w:pPr>
            <w:r>
              <w:rPr>
                <w:rFonts w:ascii="Arial" w:hAnsi="Arial"/>
                <w:sz w:val="20"/>
                <w:szCs w:val="20"/>
              </w:rPr>
              <w:t>124</w:t>
            </w:r>
          </w:p>
        </w:tc>
      </w:tr>
      <w:tr w:rsidR="00DA50F4" w:rsidRPr="00630CA7" w:rsidTr="00AD22A8">
        <w:tblPrEx>
          <w:tblCellMar>
            <w:left w:w="108" w:type="dxa"/>
            <w:right w:w="108" w:type="dxa"/>
          </w:tblCellMar>
        </w:tblPrEx>
        <w:trPr>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p>
        </w:tc>
        <w:tc>
          <w:tcPr>
            <w:tcW w:w="6973" w:type="dxa"/>
            <w:gridSpan w:val="2"/>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r w:rsidRPr="00630CA7">
              <w:rPr>
                <w:rFonts w:ascii="Arial" w:hAnsi="Arial"/>
                <w:i/>
                <w:sz w:val="20"/>
                <w:szCs w:val="20"/>
              </w:rPr>
              <w:t>Financial Management Act 1994</w:t>
            </w:r>
          </w:p>
        </w:tc>
        <w:tc>
          <w:tcPr>
            <w:tcW w:w="1433" w:type="dxa"/>
            <w:gridSpan w:val="2"/>
            <w:tcBorders>
              <w:top w:val="single" w:sz="2" w:space="0" w:color="BFBFBF"/>
              <w:bottom w:val="single" w:sz="2" w:space="0" w:color="BFBFBF"/>
            </w:tcBorders>
            <w:shd w:val="clear" w:color="auto" w:fill="auto"/>
          </w:tcPr>
          <w:p w:rsidR="00DA50F4" w:rsidRPr="00630CA7" w:rsidRDefault="00B71D11" w:rsidP="00DA50F4">
            <w:pPr>
              <w:pStyle w:val="Tabletext"/>
              <w:spacing w:before="0" w:after="0"/>
              <w:jc w:val="center"/>
              <w:rPr>
                <w:rFonts w:ascii="Arial" w:hAnsi="Arial"/>
                <w:sz w:val="20"/>
                <w:szCs w:val="20"/>
              </w:rPr>
            </w:pPr>
            <w:r>
              <w:rPr>
                <w:rFonts w:ascii="Arial" w:hAnsi="Arial"/>
                <w:sz w:val="20"/>
                <w:szCs w:val="20"/>
              </w:rPr>
              <w:t>4, 15-17, 40-111, 130</w:t>
            </w:r>
          </w:p>
        </w:tc>
      </w:tr>
      <w:tr w:rsidR="00DA50F4" w:rsidRPr="00630CA7" w:rsidTr="00AD22A8">
        <w:tblPrEx>
          <w:tblCellMar>
            <w:left w:w="108" w:type="dxa"/>
            <w:right w:w="108" w:type="dxa"/>
          </w:tblCellMar>
        </w:tblPrEx>
        <w:trPr>
          <w:cantSplit/>
          <w:trHeight w:val="20"/>
        </w:trPr>
        <w:tc>
          <w:tcPr>
            <w:tcW w:w="1303" w:type="dxa"/>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p>
        </w:tc>
        <w:tc>
          <w:tcPr>
            <w:tcW w:w="6973" w:type="dxa"/>
            <w:gridSpan w:val="2"/>
            <w:tcBorders>
              <w:top w:val="single" w:sz="2" w:space="0" w:color="BFBFBF"/>
              <w:bottom w:val="single" w:sz="2" w:space="0" w:color="BFBFBF"/>
            </w:tcBorders>
            <w:shd w:val="clear" w:color="auto" w:fill="auto"/>
          </w:tcPr>
          <w:p w:rsidR="00DA50F4" w:rsidRPr="00630CA7" w:rsidRDefault="00DA50F4" w:rsidP="00DA50F4">
            <w:pPr>
              <w:pStyle w:val="Tabletext"/>
              <w:spacing w:before="0" w:after="0"/>
              <w:rPr>
                <w:rFonts w:ascii="Arial" w:hAnsi="Arial"/>
                <w:i/>
                <w:sz w:val="20"/>
                <w:szCs w:val="20"/>
              </w:rPr>
            </w:pPr>
            <w:r w:rsidRPr="00630CA7">
              <w:rPr>
                <w:rFonts w:ascii="Arial" w:hAnsi="Arial"/>
                <w:i/>
                <w:sz w:val="20"/>
                <w:szCs w:val="20"/>
              </w:rPr>
              <w:t>Transport Integration Act 2010</w:t>
            </w:r>
          </w:p>
        </w:tc>
        <w:tc>
          <w:tcPr>
            <w:tcW w:w="1433" w:type="dxa"/>
            <w:gridSpan w:val="2"/>
            <w:tcBorders>
              <w:top w:val="single" w:sz="2" w:space="0" w:color="BFBFBF"/>
              <w:bottom w:val="single" w:sz="2" w:space="0" w:color="BFBFBF"/>
            </w:tcBorders>
            <w:shd w:val="clear" w:color="auto" w:fill="auto"/>
          </w:tcPr>
          <w:p w:rsidR="00DA50F4" w:rsidRPr="00630CA7" w:rsidRDefault="00B71D11" w:rsidP="00DA50F4">
            <w:pPr>
              <w:pStyle w:val="Tabletext"/>
              <w:spacing w:before="0" w:after="0"/>
              <w:jc w:val="center"/>
              <w:rPr>
                <w:rFonts w:ascii="Arial" w:hAnsi="Arial"/>
                <w:sz w:val="20"/>
                <w:szCs w:val="20"/>
              </w:rPr>
            </w:pPr>
            <w:r>
              <w:rPr>
                <w:rFonts w:ascii="Arial" w:hAnsi="Arial"/>
                <w:sz w:val="20"/>
                <w:szCs w:val="20"/>
              </w:rPr>
              <w:t>9,10</w:t>
            </w:r>
          </w:p>
        </w:tc>
      </w:tr>
    </w:tbl>
    <w:p w:rsidR="00DA50F4" w:rsidRPr="00D7428B" w:rsidRDefault="00DA50F4" w:rsidP="00CA287F">
      <w:pPr>
        <w:rPr>
          <w:rFonts w:ascii="Arial" w:hAnsi="Arial" w:cs="Arial"/>
        </w:rPr>
      </w:pPr>
    </w:p>
    <w:sectPr w:rsidR="00DA50F4" w:rsidRPr="00D7428B" w:rsidSect="00E140A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9C1" w:rsidRDefault="002059C1" w:rsidP="00250971">
      <w:r>
        <w:separator/>
      </w:r>
    </w:p>
  </w:endnote>
  <w:endnote w:type="continuationSeparator" w:id="0">
    <w:p w:rsidR="002059C1" w:rsidRDefault="002059C1" w:rsidP="0025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IN-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Roman">
    <w:altName w:val="Calibri"/>
    <w:panose1 w:val="00000000000000000000"/>
    <w:charset w:val="4D"/>
    <w:family w:val="auto"/>
    <w:notTrueType/>
    <w:pitch w:val="default"/>
    <w:sig w:usb0="00000003" w:usb1="00000000" w:usb2="00000000" w:usb3="00000000" w:csb0="00000001" w:csb1="00000000"/>
  </w:font>
  <w:font w:name="DIN-LightItalic">
    <w:charset w:val="00"/>
    <w:family w:val="auto"/>
    <w:pitch w:val="variable"/>
    <w:sig w:usb0="00000003" w:usb1="00000000" w:usb2="00000000" w:usb3="00000000" w:csb0="00000001" w:csb1="00000000"/>
  </w:font>
  <w:font w:name="Swiss721BT-Medium">
    <w:altName w:val="Swis721 Md BT"/>
    <w:panose1 w:val="00000000000000000000"/>
    <w:charset w:val="4D"/>
    <w:family w:val="auto"/>
    <w:notTrueType/>
    <w:pitch w:val="default"/>
    <w:sig w:usb0="00000003" w:usb1="00000000" w:usb2="00000000" w:usb3="00000000" w:csb0="00000001" w:csb1="00000000"/>
  </w:font>
  <w:font w:name="DIN-Medium">
    <w:charset w:val="00"/>
    <w:family w:val="auto"/>
    <w:pitch w:val="variable"/>
    <w:sig w:usb0="00000003" w:usb1="00000000" w:usb2="00000000" w:usb3="00000000" w:csb0="00000001" w:csb1="00000000"/>
  </w:font>
  <w:font w:name="DIN-MediumItalic">
    <w:charset w:val="00"/>
    <w:family w:val="auto"/>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HelveticaNeue-LightItalic">
    <w:altName w:val="Arial"/>
    <w:panose1 w:val="00000000000000000000"/>
    <w:charset w:val="00"/>
    <w:family w:val="swiss"/>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35" w:rsidRPr="008B4655" w:rsidRDefault="00803F35">
    <w:pPr>
      <w:pStyle w:val="Footer"/>
      <w:jc w:val="right"/>
      <w:rPr>
        <w:rFonts w:ascii="Arial" w:hAnsi="Arial" w:cs="Arial"/>
      </w:rPr>
    </w:pPr>
    <w:r w:rsidRPr="008B4655">
      <w:rPr>
        <w:rFonts w:ascii="Arial" w:hAnsi="Arial" w:cs="Arial"/>
      </w:rPr>
      <w:fldChar w:fldCharType="begin"/>
    </w:r>
    <w:r w:rsidRPr="008B4655">
      <w:rPr>
        <w:rFonts w:ascii="Arial" w:hAnsi="Arial" w:cs="Arial"/>
      </w:rPr>
      <w:instrText xml:space="preserve"> PAGE   \* MERGEFORMAT </w:instrText>
    </w:r>
    <w:r w:rsidRPr="008B4655">
      <w:rPr>
        <w:rFonts w:ascii="Arial" w:hAnsi="Arial" w:cs="Arial"/>
      </w:rPr>
      <w:fldChar w:fldCharType="separate"/>
    </w:r>
    <w:r w:rsidR="00AD22A8">
      <w:rPr>
        <w:rFonts w:ascii="Arial" w:hAnsi="Arial" w:cs="Arial"/>
        <w:noProof/>
      </w:rPr>
      <w:t>1</w:t>
    </w:r>
    <w:r w:rsidRPr="008B4655">
      <w:rPr>
        <w:rFonts w:ascii="Arial" w:hAnsi="Arial" w:cs="Arial"/>
        <w:noProof/>
      </w:rPr>
      <w:fldChar w:fldCharType="end"/>
    </w:r>
  </w:p>
  <w:p w:rsidR="00803F35" w:rsidRDefault="00803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35" w:rsidRDefault="00803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35" w:rsidRDefault="00803F35">
    <w:pPr>
      <w:pStyle w:val="Footer"/>
      <w:jc w:val="right"/>
    </w:pPr>
    <w:r>
      <w:fldChar w:fldCharType="begin"/>
    </w:r>
    <w:r>
      <w:instrText xml:space="preserve"> PAGE   \* MERGEFORMAT </w:instrText>
    </w:r>
    <w:r>
      <w:fldChar w:fldCharType="separate"/>
    </w:r>
    <w:r w:rsidR="0088608A">
      <w:rPr>
        <w:noProof/>
      </w:rPr>
      <w:t>133</w:t>
    </w:r>
    <w:r>
      <w:rPr>
        <w:noProof/>
      </w:rPr>
      <w:fldChar w:fldCharType="end"/>
    </w:r>
  </w:p>
  <w:p w:rsidR="00803F35" w:rsidRDefault="00803F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35" w:rsidRDefault="00803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9C1" w:rsidRDefault="002059C1" w:rsidP="00250971">
      <w:r>
        <w:separator/>
      </w:r>
    </w:p>
  </w:footnote>
  <w:footnote w:type="continuationSeparator" w:id="0">
    <w:p w:rsidR="002059C1" w:rsidRDefault="002059C1" w:rsidP="00250971">
      <w:r>
        <w:continuationSeparator/>
      </w:r>
    </w:p>
  </w:footnote>
  <w:footnote w:id="1">
    <w:p w:rsidR="00803F35" w:rsidRPr="00A50B7F" w:rsidRDefault="00803F35">
      <w:pPr>
        <w:pStyle w:val="FootnoteText"/>
      </w:pPr>
      <w:r w:rsidRPr="00A50B7F">
        <w:rPr>
          <w:rStyle w:val="FootnoteReference"/>
        </w:rPr>
        <w:footnoteRef/>
      </w:r>
      <w:r w:rsidRPr="00A50B7F">
        <w:t xml:space="preserve"> </w:t>
      </w:r>
      <w:r w:rsidRPr="00A50B7F">
        <w:rPr>
          <w:rFonts w:ascii="Arial" w:hAnsi="Arial" w:cs="Arial"/>
          <w:sz w:val="17"/>
          <w:szCs w:val="17"/>
        </w:rPr>
        <w:t>Targets</w:t>
      </w:r>
      <w:r>
        <w:rPr>
          <w:rFonts w:ascii="Arial" w:hAnsi="Arial" w:cs="Arial"/>
          <w:sz w:val="17"/>
          <w:szCs w:val="17"/>
        </w:rPr>
        <w:t xml:space="preserve">, as stated in this performance report, </w:t>
      </w:r>
      <w:r w:rsidRPr="006B1498">
        <w:rPr>
          <w:rFonts w:ascii="Arial" w:hAnsi="Arial" w:cs="Arial"/>
          <w:sz w:val="17"/>
          <w:szCs w:val="17"/>
        </w:rPr>
        <w:t>are set annually, are agreed with Department of Treasury and Finance and are published in Budget Paper No. 3 each year.</w:t>
      </w:r>
    </w:p>
  </w:footnote>
  <w:footnote w:id="2">
    <w:p w:rsidR="00803F35" w:rsidRPr="006B1498" w:rsidRDefault="00803F35" w:rsidP="00A50B7F">
      <w:pPr>
        <w:jc w:val="both"/>
        <w:rPr>
          <w:rFonts w:ascii="Arial" w:hAnsi="Arial" w:cs="Arial"/>
          <w:sz w:val="17"/>
          <w:szCs w:val="17"/>
        </w:rPr>
      </w:pPr>
      <w:r w:rsidRPr="00A50B7F">
        <w:rPr>
          <w:rStyle w:val="FootnoteReference"/>
        </w:rPr>
        <w:footnoteRef/>
      </w:r>
      <w:r w:rsidRPr="00A50B7F">
        <w:t xml:space="preserve"> </w:t>
      </w:r>
      <w:r w:rsidRPr="006B1498">
        <w:rPr>
          <w:rFonts w:ascii="Arial" w:hAnsi="Arial" w:cs="Arial"/>
          <w:sz w:val="17"/>
          <w:szCs w:val="17"/>
        </w:rPr>
        <w:t>Bus punctuality and reliability results are operator self-assessed and based on small sampling rates.</w:t>
      </w:r>
    </w:p>
    <w:p w:rsidR="00803F35" w:rsidRDefault="00803F35">
      <w:pPr>
        <w:pStyle w:val="FootnoteText"/>
      </w:pPr>
    </w:p>
  </w:footnote>
  <w:footnote w:id="3">
    <w:p w:rsidR="00803F35" w:rsidRPr="003C691A" w:rsidRDefault="00803F35">
      <w:pPr>
        <w:pStyle w:val="FootnoteText"/>
      </w:pPr>
      <w:r w:rsidRPr="003C691A">
        <w:rPr>
          <w:rStyle w:val="FootnoteReference"/>
        </w:rPr>
        <w:footnoteRef/>
      </w:r>
      <w:r w:rsidRPr="003C691A">
        <w:t xml:space="preserve"> </w:t>
      </w:r>
      <w:r w:rsidRPr="006B1498">
        <w:rPr>
          <w:rFonts w:ascii="Arial" w:hAnsi="Arial" w:cs="Arial"/>
          <w:sz w:val="17"/>
          <w:szCs w:val="17"/>
        </w:rPr>
        <w:t xml:space="preserve">Regional coach refers to long-haul coach services, not town bus services.  </w:t>
      </w:r>
    </w:p>
  </w:footnote>
  <w:footnote w:id="4">
    <w:p w:rsidR="00803F35" w:rsidRPr="003C691A" w:rsidRDefault="00803F35">
      <w:pPr>
        <w:pStyle w:val="FootnoteText"/>
      </w:pPr>
      <w:r w:rsidRPr="003C691A">
        <w:rPr>
          <w:rStyle w:val="FootnoteReference"/>
        </w:rPr>
        <w:footnoteRef/>
      </w:r>
      <w:r w:rsidRPr="003C691A">
        <w:t xml:space="preserve"> </w:t>
      </w:r>
      <w:r w:rsidRPr="006B1498">
        <w:rPr>
          <w:rFonts w:ascii="Arial" w:hAnsi="Arial" w:cs="Arial"/>
          <w:sz w:val="17"/>
          <w:szCs w:val="17"/>
        </w:rPr>
        <w:t>Regional bus customer satisfaction index data is from three months (one month at each quarter), no interviewing was carried out in the Oct-Dec12 quarter</w:t>
      </w:r>
    </w:p>
  </w:footnote>
  <w:footnote w:id="5">
    <w:p w:rsidR="00803F35" w:rsidRPr="006B1498" w:rsidRDefault="00803F35" w:rsidP="00064A3F">
      <w:pPr>
        <w:jc w:val="both"/>
        <w:rPr>
          <w:rFonts w:ascii="Arial" w:hAnsi="Arial" w:cs="Arial"/>
          <w:sz w:val="17"/>
          <w:szCs w:val="17"/>
        </w:rPr>
      </w:pPr>
      <w:r w:rsidRPr="00064A3F">
        <w:rPr>
          <w:rStyle w:val="FootnoteReference"/>
        </w:rPr>
        <w:footnoteRef/>
      </w:r>
      <w:r w:rsidRPr="00064A3F">
        <w:t xml:space="preserve"> </w:t>
      </w:r>
      <w:r w:rsidRPr="006B1498">
        <w:rPr>
          <w:rFonts w:ascii="Arial" w:hAnsi="Arial" w:cs="Arial"/>
          <w:sz w:val="17"/>
          <w:szCs w:val="17"/>
        </w:rPr>
        <w:t>Bus punctuality and reliability results are operator self-assessed and based on small sampling rates.</w:t>
      </w:r>
    </w:p>
    <w:p w:rsidR="00803F35" w:rsidRDefault="00803F3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35" w:rsidRDefault="00803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35" w:rsidRDefault="00803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35" w:rsidRDefault="00803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0BBB"/>
    <w:multiLevelType w:val="hybridMultilevel"/>
    <w:tmpl w:val="6FB04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7407A9"/>
    <w:multiLevelType w:val="hybridMultilevel"/>
    <w:tmpl w:val="046E4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6A435A"/>
    <w:multiLevelType w:val="hybridMultilevel"/>
    <w:tmpl w:val="7754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63EE1"/>
    <w:multiLevelType w:val="hybridMultilevel"/>
    <w:tmpl w:val="A23A1A54"/>
    <w:lvl w:ilvl="0" w:tplc="428687A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125BCB"/>
    <w:multiLevelType w:val="hybridMultilevel"/>
    <w:tmpl w:val="BD70FB84"/>
    <w:lvl w:ilvl="0" w:tplc="CFDCC9F2">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6814EF"/>
    <w:multiLevelType w:val="hybridMultilevel"/>
    <w:tmpl w:val="A6E2D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E3CC7"/>
    <w:multiLevelType w:val="hybridMultilevel"/>
    <w:tmpl w:val="EA42A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7482EE4"/>
    <w:multiLevelType w:val="hybridMultilevel"/>
    <w:tmpl w:val="6E2610CC"/>
    <w:lvl w:ilvl="0" w:tplc="7B002D4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A32E91"/>
    <w:multiLevelType w:val="hybridMultilevel"/>
    <w:tmpl w:val="3C12E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5F7893"/>
    <w:multiLevelType w:val="hybridMultilevel"/>
    <w:tmpl w:val="D892FF96"/>
    <w:lvl w:ilvl="0" w:tplc="EC2AB670">
      <w:start w:val="4"/>
      <w:numFmt w:val="bullet"/>
      <w:pStyle w:val="Bullets"/>
      <w:lvlText w:val=""/>
      <w:lvlJc w:val="left"/>
      <w:pPr>
        <w:ind w:left="720" w:hanging="360"/>
      </w:pPr>
      <w:rPr>
        <w:rFonts w:ascii="Symbol" w:eastAsia="MS Mincho" w:hAnsi="Symbol" w:cs="DIN-Light" w:hint="default"/>
      </w:rPr>
    </w:lvl>
    <w:lvl w:ilvl="1" w:tplc="B93A7EBE">
      <w:start w:val="4"/>
      <w:numFmt w:val="bullet"/>
      <w:lvlText w:val=""/>
      <w:lvlJc w:val="left"/>
      <w:pPr>
        <w:ind w:left="1440" w:hanging="360"/>
      </w:pPr>
      <w:rPr>
        <w:rFonts w:ascii="Symbol" w:eastAsia="MS Mincho" w:hAnsi="Symbol" w:cs="DIN-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F0201"/>
    <w:multiLevelType w:val="hybridMultilevel"/>
    <w:tmpl w:val="34BC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880DE1"/>
    <w:multiLevelType w:val="hybridMultilevel"/>
    <w:tmpl w:val="68B2E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pStyle w:val="Bullet2"/>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3" w15:restartNumberingAfterBreak="0">
    <w:nsid w:val="49E34E98"/>
    <w:multiLevelType w:val="hybridMultilevel"/>
    <w:tmpl w:val="D61225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3B72C2"/>
    <w:multiLevelType w:val="hybridMultilevel"/>
    <w:tmpl w:val="52D40D0A"/>
    <w:lvl w:ilvl="0" w:tplc="72385196">
      <w:start w:val="30"/>
      <w:numFmt w:val="bullet"/>
      <w:lvlText w:val="-"/>
      <w:lvlJc w:val="left"/>
      <w:pPr>
        <w:ind w:left="4680" w:hanging="360"/>
      </w:pPr>
      <w:rPr>
        <w:rFonts w:ascii="Calibri" w:eastAsia="MS Mincho" w:hAnsi="Calibri" w:cs="Calibri"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15" w15:restartNumberingAfterBreak="0">
    <w:nsid w:val="762D5F72"/>
    <w:multiLevelType w:val="hybridMultilevel"/>
    <w:tmpl w:val="8E3AF476"/>
    <w:lvl w:ilvl="0" w:tplc="E7126548">
      <w:start w:val="1"/>
      <w:numFmt w:val="bullet"/>
      <w:pStyle w:val="Bullet"/>
      <w:lvlText w:val=""/>
      <w:lvlJc w:val="left"/>
      <w:pPr>
        <w:tabs>
          <w:tab w:val="num" w:pos="360"/>
        </w:tabs>
        <w:ind w:left="360" w:hanging="360"/>
      </w:pPr>
      <w:rPr>
        <w:rFonts w:ascii="Symbol" w:hAnsi="Symbol" w:cs="Symbol" w:hint="default"/>
        <w:color w:val="auto"/>
        <w:sz w:val="20"/>
        <w:szCs w:val="20"/>
      </w:rPr>
    </w:lvl>
    <w:lvl w:ilvl="1" w:tplc="0C090003">
      <w:start w:val="1"/>
      <w:numFmt w:val="bullet"/>
      <w:lvlText w:val=""/>
      <w:lvlJc w:val="left"/>
      <w:pPr>
        <w:tabs>
          <w:tab w:val="num" w:pos="1440"/>
        </w:tabs>
        <w:ind w:left="1440" w:hanging="360"/>
      </w:pPr>
      <w:rPr>
        <w:rFonts w:ascii="Symbol" w:hAnsi="Symbol" w:cs="Symbol" w:hint="default"/>
        <w:sz w:val="16"/>
        <w:szCs w:val="16"/>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7C10525"/>
    <w:multiLevelType w:val="hybridMultilevel"/>
    <w:tmpl w:val="F6141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5"/>
  </w:num>
  <w:num w:numId="5">
    <w:abstractNumId w:val="7"/>
  </w:num>
  <w:num w:numId="6">
    <w:abstractNumId w:val="15"/>
  </w:num>
  <w:num w:numId="7">
    <w:abstractNumId w:val="12"/>
  </w:num>
  <w:num w:numId="8">
    <w:abstractNumId w:val="16"/>
  </w:num>
  <w:num w:numId="9">
    <w:abstractNumId w:val="9"/>
  </w:num>
  <w:num w:numId="10">
    <w:abstractNumId w:val="13"/>
  </w:num>
  <w:num w:numId="11">
    <w:abstractNumId w:val="0"/>
  </w:num>
  <w:num w:numId="12">
    <w:abstractNumId w:val="2"/>
  </w:num>
  <w:num w:numId="13">
    <w:abstractNumId w:val="8"/>
  </w:num>
  <w:num w:numId="14">
    <w:abstractNumId w:val="14"/>
  </w:num>
  <w:num w:numId="15">
    <w:abstractNumId w:val="3"/>
  </w:num>
  <w:num w:numId="16">
    <w:abstractNumId w:val="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258"/>
    <w:rsid w:val="00021EA8"/>
    <w:rsid w:val="000266E2"/>
    <w:rsid w:val="00026C75"/>
    <w:rsid w:val="00031F61"/>
    <w:rsid w:val="000408AA"/>
    <w:rsid w:val="00041FAE"/>
    <w:rsid w:val="00050F2C"/>
    <w:rsid w:val="00054996"/>
    <w:rsid w:val="00057257"/>
    <w:rsid w:val="000572C0"/>
    <w:rsid w:val="00061021"/>
    <w:rsid w:val="00062F5F"/>
    <w:rsid w:val="00064A3F"/>
    <w:rsid w:val="000753BB"/>
    <w:rsid w:val="000A3BDE"/>
    <w:rsid w:val="000B1726"/>
    <w:rsid w:val="000B7A84"/>
    <w:rsid w:val="000C6757"/>
    <w:rsid w:val="000D6E76"/>
    <w:rsid w:val="000E7B77"/>
    <w:rsid w:val="000F6636"/>
    <w:rsid w:val="000F6CCA"/>
    <w:rsid w:val="00102321"/>
    <w:rsid w:val="00124202"/>
    <w:rsid w:val="00197723"/>
    <w:rsid w:val="001A2CFD"/>
    <w:rsid w:val="001A4E7E"/>
    <w:rsid w:val="001A7BC2"/>
    <w:rsid w:val="001B03B1"/>
    <w:rsid w:val="001D4821"/>
    <w:rsid w:val="001D59F3"/>
    <w:rsid w:val="001E1C65"/>
    <w:rsid w:val="001F6C6A"/>
    <w:rsid w:val="001F7C09"/>
    <w:rsid w:val="00204582"/>
    <w:rsid w:val="002059C1"/>
    <w:rsid w:val="00215296"/>
    <w:rsid w:val="0021602F"/>
    <w:rsid w:val="00225D99"/>
    <w:rsid w:val="002407DF"/>
    <w:rsid w:val="00250971"/>
    <w:rsid w:val="00251158"/>
    <w:rsid w:val="0025141D"/>
    <w:rsid w:val="002554C4"/>
    <w:rsid w:val="00264E70"/>
    <w:rsid w:val="00265092"/>
    <w:rsid w:val="00267FB2"/>
    <w:rsid w:val="00286EB0"/>
    <w:rsid w:val="0029126D"/>
    <w:rsid w:val="00293EF2"/>
    <w:rsid w:val="0029420D"/>
    <w:rsid w:val="002C0923"/>
    <w:rsid w:val="002D40B1"/>
    <w:rsid w:val="002D77DA"/>
    <w:rsid w:val="002E248E"/>
    <w:rsid w:val="002E75AC"/>
    <w:rsid w:val="0030430C"/>
    <w:rsid w:val="003236C1"/>
    <w:rsid w:val="003267E8"/>
    <w:rsid w:val="0033015E"/>
    <w:rsid w:val="00331BFA"/>
    <w:rsid w:val="00335392"/>
    <w:rsid w:val="0034098D"/>
    <w:rsid w:val="00342F29"/>
    <w:rsid w:val="00352CCA"/>
    <w:rsid w:val="003626E8"/>
    <w:rsid w:val="00362B1F"/>
    <w:rsid w:val="00365B82"/>
    <w:rsid w:val="00373E2F"/>
    <w:rsid w:val="003813AC"/>
    <w:rsid w:val="003855CE"/>
    <w:rsid w:val="0038622C"/>
    <w:rsid w:val="00394FA3"/>
    <w:rsid w:val="00396737"/>
    <w:rsid w:val="003A3B4C"/>
    <w:rsid w:val="003A6EBA"/>
    <w:rsid w:val="003A77C5"/>
    <w:rsid w:val="003C691A"/>
    <w:rsid w:val="003C707B"/>
    <w:rsid w:val="003E2236"/>
    <w:rsid w:val="003E657B"/>
    <w:rsid w:val="003F3CA7"/>
    <w:rsid w:val="00410894"/>
    <w:rsid w:val="00412FC4"/>
    <w:rsid w:val="00414DD7"/>
    <w:rsid w:val="00424DAB"/>
    <w:rsid w:val="00436553"/>
    <w:rsid w:val="00436B8D"/>
    <w:rsid w:val="00441CCE"/>
    <w:rsid w:val="00442707"/>
    <w:rsid w:val="00446B49"/>
    <w:rsid w:val="004507E5"/>
    <w:rsid w:val="004823A3"/>
    <w:rsid w:val="004946A6"/>
    <w:rsid w:val="0049702C"/>
    <w:rsid w:val="004A34F2"/>
    <w:rsid w:val="004A6979"/>
    <w:rsid w:val="004B0406"/>
    <w:rsid w:val="004B0611"/>
    <w:rsid w:val="004B7C75"/>
    <w:rsid w:val="004C60C8"/>
    <w:rsid w:val="004D3D5C"/>
    <w:rsid w:val="004D50CD"/>
    <w:rsid w:val="004D736E"/>
    <w:rsid w:val="004E18F5"/>
    <w:rsid w:val="004F20FE"/>
    <w:rsid w:val="004F3522"/>
    <w:rsid w:val="00512071"/>
    <w:rsid w:val="00514FB8"/>
    <w:rsid w:val="00523D11"/>
    <w:rsid w:val="00530A42"/>
    <w:rsid w:val="00542016"/>
    <w:rsid w:val="00570960"/>
    <w:rsid w:val="0059181B"/>
    <w:rsid w:val="005965E5"/>
    <w:rsid w:val="005B5C91"/>
    <w:rsid w:val="005B6201"/>
    <w:rsid w:val="005D01F2"/>
    <w:rsid w:val="005F0F68"/>
    <w:rsid w:val="005F55A7"/>
    <w:rsid w:val="0061625B"/>
    <w:rsid w:val="00625227"/>
    <w:rsid w:val="006308E3"/>
    <w:rsid w:val="00637392"/>
    <w:rsid w:val="00641033"/>
    <w:rsid w:val="00646EDE"/>
    <w:rsid w:val="0065269C"/>
    <w:rsid w:val="0066320A"/>
    <w:rsid w:val="00673C6D"/>
    <w:rsid w:val="0068454A"/>
    <w:rsid w:val="0068688E"/>
    <w:rsid w:val="0069152E"/>
    <w:rsid w:val="00692569"/>
    <w:rsid w:val="006B1498"/>
    <w:rsid w:val="006B4B95"/>
    <w:rsid w:val="006B5647"/>
    <w:rsid w:val="006B65A9"/>
    <w:rsid w:val="006B7F1A"/>
    <w:rsid w:val="006C3D8F"/>
    <w:rsid w:val="006D00BC"/>
    <w:rsid w:val="006D23F3"/>
    <w:rsid w:val="006E1F98"/>
    <w:rsid w:val="006F449C"/>
    <w:rsid w:val="0071217D"/>
    <w:rsid w:val="007231E9"/>
    <w:rsid w:val="007523B6"/>
    <w:rsid w:val="00761936"/>
    <w:rsid w:val="00774772"/>
    <w:rsid w:val="00781BF9"/>
    <w:rsid w:val="007A541E"/>
    <w:rsid w:val="007A7448"/>
    <w:rsid w:val="007B67B7"/>
    <w:rsid w:val="007B7030"/>
    <w:rsid w:val="007B7143"/>
    <w:rsid w:val="007C12AA"/>
    <w:rsid w:val="007D3888"/>
    <w:rsid w:val="007D678E"/>
    <w:rsid w:val="007D6B1D"/>
    <w:rsid w:val="007E3461"/>
    <w:rsid w:val="007F62FE"/>
    <w:rsid w:val="00803F35"/>
    <w:rsid w:val="00810CBC"/>
    <w:rsid w:val="00811B1A"/>
    <w:rsid w:val="008344A1"/>
    <w:rsid w:val="00844F93"/>
    <w:rsid w:val="00846530"/>
    <w:rsid w:val="00846CAA"/>
    <w:rsid w:val="008507AB"/>
    <w:rsid w:val="00856AA3"/>
    <w:rsid w:val="00857E55"/>
    <w:rsid w:val="0086040C"/>
    <w:rsid w:val="00870A1B"/>
    <w:rsid w:val="008856B9"/>
    <w:rsid w:val="0088608A"/>
    <w:rsid w:val="00895253"/>
    <w:rsid w:val="008A185A"/>
    <w:rsid w:val="008B23A6"/>
    <w:rsid w:val="008B29A2"/>
    <w:rsid w:val="008B4655"/>
    <w:rsid w:val="008B7253"/>
    <w:rsid w:val="008D3A57"/>
    <w:rsid w:val="008E2A1A"/>
    <w:rsid w:val="00914990"/>
    <w:rsid w:val="00916745"/>
    <w:rsid w:val="00917258"/>
    <w:rsid w:val="009217C7"/>
    <w:rsid w:val="00921D26"/>
    <w:rsid w:val="00927015"/>
    <w:rsid w:val="009331D6"/>
    <w:rsid w:val="0094544F"/>
    <w:rsid w:val="00950C60"/>
    <w:rsid w:val="00951FFC"/>
    <w:rsid w:val="00952468"/>
    <w:rsid w:val="00966837"/>
    <w:rsid w:val="009865E3"/>
    <w:rsid w:val="00990B97"/>
    <w:rsid w:val="009924C2"/>
    <w:rsid w:val="009969FD"/>
    <w:rsid w:val="009A1CB6"/>
    <w:rsid w:val="009A5D05"/>
    <w:rsid w:val="009B0EF8"/>
    <w:rsid w:val="009C0176"/>
    <w:rsid w:val="009C1477"/>
    <w:rsid w:val="009C718D"/>
    <w:rsid w:val="009E7873"/>
    <w:rsid w:val="009F4AED"/>
    <w:rsid w:val="009F6F6D"/>
    <w:rsid w:val="00A06FE3"/>
    <w:rsid w:val="00A17713"/>
    <w:rsid w:val="00A2257C"/>
    <w:rsid w:val="00A30372"/>
    <w:rsid w:val="00A4145F"/>
    <w:rsid w:val="00A50B7F"/>
    <w:rsid w:val="00A53099"/>
    <w:rsid w:val="00A73F5E"/>
    <w:rsid w:val="00A75967"/>
    <w:rsid w:val="00A75D20"/>
    <w:rsid w:val="00A81A5D"/>
    <w:rsid w:val="00A8436C"/>
    <w:rsid w:val="00A84598"/>
    <w:rsid w:val="00A85C40"/>
    <w:rsid w:val="00AA4F25"/>
    <w:rsid w:val="00AB089A"/>
    <w:rsid w:val="00AB656A"/>
    <w:rsid w:val="00AC3D04"/>
    <w:rsid w:val="00AD22A8"/>
    <w:rsid w:val="00AE259B"/>
    <w:rsid w:val="00AE6AD2"/>
    <w:rsid w:val="00B00CE0"/>
    <w:rsid w:val="00B05E02"/>
    <w:rsid w:val="00B11D08"/>
    <w:rsid w:val="00B1327F"/>
    <w:rsid w:val="00B14260"/>
    <w:rsid w:val="00B30C3B"/>
    <w:rsid w:val="00B40948"/>
    <w:rsid w:val="00B47CC8"/>
    <w:rsid w:val="00B556F5"/>
    <w:rsid w:val="00B64A12"/>
    <w:rsid w:val="00B651D5"/>
    <w:rsid w:val="00B714B5"/>
    <w:rsid w:val="00B71D11"/>
    <w:rsid w:val="00B74ADE"/>
    <w:rsid w:val="00B83042"/>
    <w:rsid w:val="00B846B0"/>
    <w:rsid w:val="00B90D27"/>
    <w:rsid w:val="00BA14AA"/>
    <w:rsid w:val="00BA4421"/>
    <w:rsid w:val="00BB2480"/>
    <w:rsid w:val="00BB4B27"/>
    <w:rsid w:val="00BB60D3"/>
    <w:rsid w:val="00BB6834"/>
    <w:rsid w:val="00BC43F4"/>
    <w:rsid w:val="00C05CB3"/>
    <w:rsid w:val="00C06620"/>
    <w:rsid w:val="00C20A50"/>
    <w:rsid w:val="00C226D3"/>
    <w:rsid w:val="00C44F1D"/>
    <w:rsid w:val="00C46511"/>
    <w:rsid w:val="00C50E5F"/>
    <w:rsid w:val="00C6172D"/>
    <w:rsid w:val="00C831A8"/>
    <w:rsid w:val="00C85146"/>
    <w:rsid w:val="00CA1BD5"/>
    <w:rsid w:val="00CA287F"/>
    <w:rsid w:val="00CA535D"/>
    <w:rsid w:val="00CA5BC0"/>
    <w:rsid w:val="00CB2689"/>
    <w:rsid w:val="00CB26C3"/>
    <w:rsid w:val="00CB2AD2"/>
    <w:rsid w:val="00CB2C5B"/>
    <w:rsid w:val="00CC0C23"/>
    <w:rsid w:val="00CD18DF"/>
    <w:rsid w:val="00CD5515"/>
    <w:rsid w:val="00CE3D38"/>
    <w:rsid w:val="00CF1FAC"/>
    <w:rsid w:val="00D01591"/>
    <w:rsid w:val="00D12615"/>
    <w:rsid w:val="00D13670"/>
    <w:rsid w:val="00D23956"/>
    <w:rsid w:val="00D270A9"/>
    <w:rsid w:val="00D27A4E"/>
    <w:rsid w:val="00D34546"/>
    <w:rsid w:val="00D36CDA"/>
    <w:rsid w:val="00D44736"/>
    <w:rsid w:val="00D45619"/>
    <w:rsid w:val="00D517AD"/>
    <w:rsid w:val="00D55A24"/>
    <w:rsid w:val="00D66A1E"/>
    <w:rsid w:val="00D7428B"/>
    <w:rsid w:val="00D94C15"/>
    <w:rsid w:val="00DA26F5"/>
    <w:rsid w:val="00DA42DD"/>
    <w:rsid w:val="00DA50F4"/>
    <w:rsid w:val="00DB234F"/>
    <w:rsid w:val="00DB6104"/>
    <w:rsid w:val="00DB6F9A"/>
    <w:rsid w:val="00DD1946"/>
    <w:rsid w:val="00DD5014"/>
    <w:rsid w:val="00DE7CD3"/>
    <w:rsid w:val="00DF0637"/>
    <w:rsid w:val="00DF4EF0"/>
    <w:rsid w:val="00E009A0"/>
    <w:rsid w:val="00E140A0"/>
    <w:rsid w:val="00E21AAB"/>
    <w:rsid w:val="00E246FA"/>
    <w:rsid w:val="00E26A05"/>
    <w:rsid w:val="00E64104"/>
    <w:rsid w:val="00E642A5"/>
    <w:rsid w:val="00E72670"/>
    <w:rsid w:val="00E726C0"/>
    <w:rsid w:val="00E81963"/>
    <w:rsid w:val="00E84537"/>
    <w:rsid w:val="00EA1A14"/>
    <w:rsid w:val="00EB09E1"/>
    <w:rsid w:val="00EB222E"/>
    <w:rsid w:val="00EB575D"/>
    <w:rsid w:val="00ED42C3"/>
    <w:rsid w:val="00EE6DA3"/>
    <w:rsid w:val="00EE7338"/>
    <w:rsid w:val="00EE796E"/>
    <w:rsid w:val="00EF26C2"/>
    <w:rsid w:val="00F16E84"/>
    <w:rsid w:val="00F2023E"/>
    <w:rsid w:val="00F22532"/>
    <w:rsid w:val="00F23704"/>
    <w:rsid w:val="00F44306"/>
    <w:rsid w:val="00F60E11"/>
    <w:rsid w:val="00F65640"/>
    <w:rsid w:val="00F658F9"/>
    <w:rsid w:val="00F72773"/>
    <w:rsid w:val="00F72BEF"/>
    <w:rsid w:val="00F8360B"/>
    <w:rsid w:val="00F91B42"/>
    <w:rsid w:val="00FA127F"/>
    <w:rsid w:val="00FB23E0"/>
    <w:rsid w:val="00FB3413"/>
    <w:rsid w:val="00FB5F68"/>
    <w:rsid w:val="00FC289E"/>
    <w:rsid w:val="00FD3CE8"/>
    <w:rsid w:val="00FF170D"/>
    <w:rsid w:val="00FF3A07"/>
    <w:rsid w:val="00FF414D"/>
    <w:rsid w:val="00FF4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096739-E781-4681-91C4-F491BD6D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D1367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742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7428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A185A"/>
    <w:pPr>
      <w:keepNext/>
      <w:keepLines/>
      <w:widowControl w:val="0"/>
      <w:suppressAutoHyphens/>
      <w:autoSpaceDE w:val="0"/>
      <w:autoSpaceDN w:val="0"/>
      <w:adjustRightInd w:val="0"/>
      <w:spacing w:before="200" w:line="220" w:lineRule="atLeast"/>
      <w:textAlignment w:val="center"/>
      <w:outlineLvl w:val="3"/>
    </w:pPr>
    <w:rPr>
      <w:rFonts w:ascii="Calibri" w:eastAsia="MS Gothic" w:hAnsi="Calibri"/>
      <w:b/>
      <w:bCs/>
      <w:i/>
      <w:iCs/>
      <w:sz w:val="20"/>
      <w:szCs w:val="18"/>
      <w:lang w:val="en-GB" w:eastAsia="en-US"/>
    </w:rPr>
  </w:style>
  <w:style w:type="paragraph" w:styleId="Heading5">
    <w:name w:val="heading 5"/>
    <w:basedOn w:val="Normal"/>
    <w:next w:val="Normal"/>
    <w:link w:val="Heading5Char"/>
    <w:uiPriority w:val="9"/>
    <w:semiHidden/>
    <w:unhideWhenUsed/>
    <w:qFormat/>
    <w:rsid w:val="00542016"/>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7258"/>
    <w:rPr>
      <w:color w:val="0000FF"/>
      <w:u w:val="single"/>
    </w:rPr>
  </w:style>
  <w:style w:type="paragraph" w:styleId="ListParagraph">
    <w:name w:val="List Paragraph"/>
    <w:basedOn w:val="Normal"/>
    <w:uiPriority w:val="34"/>
    <w:qFormat/>
    <w:rsid w:val="008856B9"/>
    <w:pPr>
      <w:ind w:left="720"/>
      <w:contextualSpacing/>
    </w:pPr>
  </w:style>
  <w:style w:type="character" w:styleId="FollowedHyperlink">
    <w:name w:val="FollowedHyperlink"/>
    <w:uiPriority w:val="99"/>
    <w:semiHidden/>
    <w:unhideWhenUsed/>
    <w:rsid w:val="00A75D20"/>
    <w:rPr>
      <w:color w:val="800080"/>
      <w:u w:val="single"/>
    </w:rPr>
  </w:style>
  <w:style w:type="paragraph" w:styleId="NormalWeb">
    <w:name w:val="Normal (Web)"/>
    <w:basedOn w:val="Normal"/>
    <w:uiPriority w:val="99"/>
    <w:semiHidden/>
    <w:unhideWhenUsed/>
    <w:rsid w:val="00A75D20"/>
    <w:pPr>
      <w:spacing w:before="100" w:beforeAutospacing="1" w:after="100" w:afterAutospacing="1"/>
    </w:pPr>
  </w:style>
  <w:style w:type="character" w:customStyle="1" w:styleId="apple-converted-space">
    <w:name w:val="apple-converted-space"/>
    <w:basedOn w:val="DefaultParagraphFont"/>
    <w:rsid w:val="0071217D"/>
  </w:style>
  <w:style w:type="table" w:styleId="TableGrid">
    <w:name w:val="Table Grid"/>
    <w:basedOn w:val="TableNormal"/>
    <w:uiPriority w:val="59"/>
    <w:rsid w:val="00D13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D13670"/>
    <w:rPr>
      <w:rFonts w:ascii="Cambria" w:eastAsia="Times New Roman" w:hAnsi="Cambria" w:cs="Times New Roman"/>
      <w:b/>
      <w:bCs/>
      <w:color w:val="365F91"/>
      <w:sz w:val="28"/>
      <w:szCs w:val="28"/>
    </w:rPr>
  </w:style>
  <w:style w:type="character" w:styleId="CommentReference">
    <w:name w:val="annotation reference"/>
    <w:uiPriority w:val="99"/>
    <w:semiHidden/>
    <w:unhideWhenUsed/>
    <w:rsid w:val="001F7C09"/>
    <w:rPr>
      <w:sz w:val="16"/>
      <w:szCs w:val="16"/>
    </w:rPr>
  </w:style>
  <w:style w:type="paragraph" w:styleId="CommentText">
    <w:name w:val="annotation text"/>
    <w:basedOn w:val="Normal"/>
    <w:link w:val="CommentTextChar"/>
    <w:uiPriority w:val="99"/>
    <w:semiHidden/>
    <w:unhideWhenUsed/>
    <w:rsid w:val="001F7C09"/>
    <w:rPr>
      <w:sz w:val="20"/>
      <w:szCs w:val="20"/>
    </w:rPr>
  </w:style>
  <w:style w:type="character" w:customStyle="1" w:styleId="CommentTextChar">
    <w:name w:val="Comment Text Char"/>
    <w:basedOn w:val="DefaultParagraphFont"/>
    <w:link w:val="CommentText"/>
    <w:uiPriority w:val="99"/>
    <w:semiHidden/>
    <w:rsid w:val="001F7C09"/>
  </w:style>
  <w:style w:type="paragraph" w:styleId="BalloonText">
    <w:name w:val="Balloon Text"/>
    <w:basedOn w:val="Normal"/>
    <w:link w:val="BalloonTextChar"/>
    <w:uiPriority w:val="99"/>
    <w:semiHidden/>
    <w:unhideWhenUsed/>
    <w:rsid w:val="001F7C09"/>
    <w:rPr>
      <w:rFonts w:ascii="Tahoma" w:hAnsi="Tahoma" w:cs="Tahoma"/>
      <w:sz w:val="16"/>
      <w:szCs w:val="16"/>
    </w:rPr>
  </w:style>
  <w:style w:type="character" w:customStyle="1" w:styleId="BalloonTextChar">
    <w:name w:val="Balloon Text Char"/>
    <w:link w:val="BalloonText"/>
    <w:uiPriority w:val="99"/>
    <w:semiHidden/>
    <w:rsid w:val="001F7C09"/>
    <w:rPr>
      <w:rFonts w:ascii="Tahoma" w:hAnsi="Tahoma" w:cs="Tahoma"/>
      <w:sz w:val="16"/>
      <w:szCs w:val="16"/>
    </w:rPr>
  </w:style>
  <w:style w:type="paragraph" w:customStyle="1" w:styleId="Tablecopy">
    <w:name w:val="Table copy"/>
    <w:basedOn w:val="Normal"/>
    <w:next w:val="Normal"/>
    <w:uiPriority w:val="99"/>
    <w:rsid w:val="00C46511"/>
    <w:pPr>
      <w:widowControl w:val="0"/>
      <w:tabs>
        <w:tab w:val="right" w:pos="6980"/>
        <w:tab w:val="right" w:pos="8400"/>
        <w:tab w:val="right" w:pos="9800"/>
      </w:tabs>
      <w:suppressAutoHyphens/>
      <w:autoSpaceDE w:val="0"/>
      <w:autoSpaceDN w:val="0"/>
      <w:adjustRightInd w:val="0"/>
      <w:spacing w:line="200" w:lineRule="atLeast"/>
      <w:textAlignment w:val="center"/>
    </w:pPr>
    <w:rPr>
      <w:rFonts w:ascii="Calibri" w:eastAsia="MS Mincho" w:hAnsi="Calibri" w:cs="DIN-Regular"/>
      <w:color w:val="000000"/>
      <w:sz w:val="16"/>
      <w:szCs w:val="17"/>
      <w:lang w:val="en-GB" w:eastAsia="en-US"/>
    </w:rPr>
  </w:style>
  <w:style w:type="paragraph" w:customStyle="1" w:styleId="TableHeading">
    <w:name w:val="Table Heading"/>
    <w:basedOn w:val="Normal"/>
    <w:uiPriority w:val="99"/>
    <w:rsid w:val="00C46511"/>
    <w:pPr>
      <w:widowControl w:val="0"/>
      <w:tabs>
        <w:tab w:val="right" w:pos="6980"/>
        <w:tab w:val="right" w:pos="8400"/>
        <w:tab w:val="right" w:pos="9800"/>
      </w:tabs>
      <w:suppressAutoHyphens/>
      <w:autoSpaceDE w:val="0"/>
      <w:autoSpaceDN w:val="0"/>
      <w:adjustRightInd w:val="0"/>
      <w:spacing w:before="57" w:after="113" w:line="200" w:lineRule="atLeast"/>
      <w:jc w:val="right"/>
      <w:textAlignment w:val="center"/>
    </w:pPr>
    <w:rPr>
      <w:rFonts w:ascii="Calibri" w:eastAsia="MS Mincho" w:hAnsi="Calibri" w:cs="DIN-Bold"/>
      <w:b/>
      <w:bCs/>
      <w:color w:val="000000"/>
      <w:sz w:val="16"/>
      <w:szCs w:val="17"/>
      <w:lang w:val="en-GB" w:eastAsia="en-US"/>
    </w:rPr>
  </w:style>
  <w:style w:type="paragraph" w:customStyle="1" w:styleId="smallbodytext">
    <w:name w:val="small body text"/>
    <w:basedOn w:val="Normal"/>
    <w:qFormat/>
    <w:rsid w:val="00C46511"/>
    <w:pPr>
      <w:widowControl w:val="0"/>
      <w:suppressAutoHyphens/>
      <w:autoSpaceDE w:val="0"/>
      <w:autoSpaceDN w:val="0"/>
      <w:adjustRightInd w:val="0"/>
      <w:spacing w:before="57" w:after="113" w:line="220" w:lineRule="atLeast"/>
      <w:textAlignment w:val="center"/>
    </w:pPr>
    <w:rPr>
      <w:rFonts w:ascii="Calibri" w:eastAsia="MS Mincho" w:hAnsi="Calibri" w:cs="DIN-Light"/>
      <w:color w:val="000000"/>
      <w:sz w:val="16"/>
      <w:szCs w:val="18"/>
      <w:lang w:val="en-GB" w:eastAsia="en-US"/>
    </w:rPr>
  </w:style>
  <w:style w:type="paragraph" w:styleId="CommentSubject">
    <w:name w:val="annotation subject"/>
    <w:basedOn w:val="CommentText"/>
    <w:next w:val="CommentText"/>
    <w:link w:val="CommentSubjectChar"/>
    <w:uiPriority w:val="99"/>
    <w:semiHidden/>
    <w:unhideWhenUsed/>
    <w:rsid w:val="00250971"/>
    <w:rPr>
      <w:b/>
      <w:bCs/>
    </w:rPr>
  </w:style>
  <w:style w:type="character" w:customStyle="1" w:styleId="CommentSubjectChar">
    <w:name w:val="Comment Subject Char"/>
    <w:link w:val="CommentSubject"/>
    <w:uiPriority w:val="99"/>
    <w:semiHidden/>
    <w:rsid w:val="00250971"/>
    <w:rPr>
      <w:b/>
      <w:bCs/>
    </w:rPr>
  </w:style>
  <w:style w:type="paragraph" w:styleId="Header">
    <w:name w:val="header"/>
    <w:basedOn w:val="Normal"/>
    <w:link w:val="HeaderChar"/>
    <w:uiPriority w:val="99"/>
    <w:unhideWhenUsed/>
    <w:rsid w:val="00250971"/>
    <w:pPr>
      <w:tabs>
        <w:tab w:val="center" w:pos="4513"/>
        <w:tab w:val="right" w:pos="9026"/>
      </w:tabs>
    </w:pPr>
  </w:style>
  <w:style w:type="character" w:customStyle="1" w:styleId="HeaderChar">
    <w:name w:val="Header Char"/>
    <w:link w:val="Header"/>
    <w:uiPriority w:val="99"/>
    <w:rsid w:val="00250971"/>
    <w:rPr>
      <w:sz w:val="24"/>
      <w:szCs w:val="24"/>
    </w:rPr>
  </w:style>
  <w:style w:type="paragraph" w:styleId="Footer">
    <w:name w:val="footer"/>
    <w:basedOn w:val="Normal"/>
    <w:link w:val="FooterChar"/>
    <w:uiPriority w:val="99"/>
    <w:unhideWhenUsed/>
    <w:rsid w:val="00250971"/>
    <w:pPr>
      <w:tabs>
        <w:tab w:val="center" w:pos="4513"/>
        <w:tab w:val="right" w:pos="9026"/>
      </w:tabs>
    </w:pPr>
  </w:style>
  <w:style w:type="character" w:customStyle="1" w:styleId="FooterChar">
    <w:name w:val="Footer Char"/>
    <w:link w:val="Footer"/>
    <w:uiPriority w:val="99"/>
    <w:rsid w:val="00250971"/>
    <w:rPr>
      <w:sz w:val="24"/>
      <w:szCs w:val="24"/>
    </w:rPr>
  </w:style>
  <w:style w:type="character" w:customStyle="1" w:styleId="Heading2Char">
    <w:name w:val="Heading 2 Char"/>
    <w:link w:val="Heading2"/>
    <w:uiPriority w:val="9"/>
    <w:rsid w:val="00D7428B"/>
    <w:rPr>
      <w:rFonts w:ascii="Cambria" w:eastAsia="Times New Roman" w:hAnsi="Cambria" w:cs="Times New Roman"/>
      <w:b/>
      <w:bCs/>
      <w:color w:val="4F81BD"/>
      <w:sz w:val="26"/>
      <w:szCs w:val="26"/>
    </w:rPr>
  </w:style>
  <w:style w:type="character" w:customStyle="1" w:styleId="Heading3Char">
    <w:name w:val="Heading 3 Char"/>
    <w:link w:val="Heading3"/>
    <w:uiPriority w:val="9"/>
    <w:rsid w:val="00D7428B"/>
    <w:rPr>
      <w:rFonts w:ascii="Cambria" w:eastAsia="Times New Roman" w:hAnsi="Cambria" w:cs="Times New Roman"/>
      <w:b/>
      <w:bCs/>
      <w:color w:val="4F81BD"/>
      <w:sz w:val="24"/>
      <w:szCs w:val="24"/>
    </w:rPr>
  </w:style>
  <w:style w:type="character" w:customStyle="1" w:styleId="Abbreviation">
    <w:name w:val="Abbreviation"/>
    <w:uiPriority w:val="99"/>
    <w:rsid w:val="0029126D"/>
    <w:rPr>
      <w:rFonts w:ascii="DIN-Light" w:hAnsi="DIN-Light" w:cs="DIN-Light"/>
      <w:sz w:val="16"/>
      <w:szCs w:val="16"/>
    </w:rPr>
  </w:style>
  <w:style w:type="paragraph" w:styleId="FootnoteText">
    <w:name w:val="footnote text"/>
    <w:basedOn w:val="Normal"/>
    <w:link w:val="FootnoteTextChar"/>
    <w:uiPriority w:val="99"/>
    <w:unhideWhenUsed/>
    <w:rsid w:val="00A50B7F"/>
    <w:rPr>
      <w:sz w:val="20"/>
      <w:szCs w:val="20"/>
    </w:rPr>
  </w:style>
  <w:style w:type="character" w:customStyle="1" w:styleId="FootnoteTextChar">
    <w:name w:val="Footnote Text Char"/>
    <w:basedOn w:val="DefaultParagraphFont"/>
    <w:link w:val="FootnoteText"/>
    <w:uiPriority w:val="99"/>
    <w:rsid w:val="00A50B7F"/>
  </w:style>
  <w:style w:type="character" w:styleId="FootnoteReference">
    <w:name w:val="footnote reference"/>
    <w:uiPriority w:val="99"/>
    <w:unhideWhenUsed/>
    <w:rsid w:val="00A50B7F"/>
    <w:rPr>
      <w:vertAlign w:val="superscript"/>
    </w:rPr>
  </w:style>
  <w:style w:type="paragraph" w:styleId="EndnoteText">
    <w:name w:val="endnote text"/>
    <w:basedOn w:val="Normal"/>
    <w:link w:val="EndnoteTextChar"/>
    <w:uiPriority w:val="99"/>
    <w:semiHidden/>
    <w:unhideWhenUsed/>
    <w:rsid w:val="00A50B7F"/>
    <w:rPr>
      <w:sz w:val="20"/>
      <w:szCs w:val="20"/>
    </w:rPr>
  </w:style>
  <w:style w:type="character" w:customStyle="1" w:styleId="EndnoteTextChar">
    <w:name w:val="Endnote Text Char"/>
    <w:basedOn w:val="DefaultParagraphFont"/>
    <w:link w:val="EndnoteText"/>
    <w:uiPriority w:val="99"/>
    <w:semiHidden/>
    <w:rsid w:val="00A50B7F"/>
  </w:style>
  <w:style w:type="character" w:styleId="EndnoteReference">
    <w:name w:val="endnote reference"/>
    <w:uiPriority w:val="99"/>
    <w:semiHidden/>
    <w:unhideWhenUsed/>
    <w:rsid w:val="00A50B7F"/>
    <w:rPr>
      <w:vertAlign w:val="superscript"/>
    </w:rPr>
  </w:style>
  <w:style w:type="paragraph" w:customStyle="1" w:styleId="Title1">
    <w:name w:val="Title1"/>
    <w:basedOn w:val="Normal"/>
    <w:link w:val="Title1Char"/>
    <w:qFormat/>
    <w:rsid w:val="00E72670"/>
    <w:rPr>
      <w:rFonts w:ascii="Arial" w:hAnsi="Arial" w:cs="Arial"/>
      <w:b/>
      <w:sz w:val="40"/>
      <w:szCs w:val="36"/>
    </w:rPr>
  </w:style>
  <w:style w:type="character" w:customStyle="1" w:styleId="Title1Char">
    <w:name w:val="Title1 Char"/>
    <w:link w:val="Title1"/>
    <w:rsid w:val="00E72670"/>
    <w:rPr>
      <w:rFonts w:ascii="Arial" w:hAnsi="Arial" w:cs="Arial"/>
      <w:b/>
      <w:sz w:val="40"/>
      <w:szCs w:val="36"/>
    </w:rPr>
  </w:style>
  <w:style w:type="paragraph" w:customStyle="1" w:styleId="Heading10">
    <w:name w:val="Heading1"/>
    <w:basedOn w:val="Normal"/>
    <w:link w:val="Heading1Char0"/>
    <w:qFormat/>
    <w:rsid w:val="00B11D08"/>
    <w:rPr>
      <w:rFonts w:ascii="Arial" w:hAnsi="Arial" w:cs="Arial"/>
      <w:b/>
      <w:sz w:val="36"/>
      <w:szCs w:val="28"/>
    </w:rPr>
  </w:style>
  <w:style w:type="paragraph" w:customStyle="1" w:styleId="Heading20">
    <w:name w:val="Heading2"/>
    <w:basedOn w:val="Heading10"/>
    <w:link w:val="Heading2Char0"/>
    <w:qFormat/>
    <w:rsid w:val="00B11D08"/>
    <w:rPr>
      <w:sz w:val="32"/>
    </w:rPr>
  </w:style>
  <w:style w:type="character" w:customStyle="1" w:styleId="Heading1Char0">
    <w:name w:val="Heading1 Char"/>
    <w:link w:val="Heading10"/>
    <w:rsid w:val="00B11D08"/>
    <w:rPr>
      <w:rFonts w:ascii="Arial" w:hAnsi="Arial" w:cs="Arial"/>
      <w:b/>
      <w:sz w:val="36"/>
      <w:szCs w:val="28"/>
    </w:rPr>
  </w:style>
  <w:style w:type="paragraph" w:styleId="TOC1">
    <w:name w:val="toc 1"/>
    <w:basedOn w:val="Normal"/>
    <w:next w:val="Normal"/>
    <w:autoRedefine/>
    <w:uiPriority w:val="39"/>
    <w:unhideWhenUsed/>
    <w:rsid w:val="00DA50F4"/>
    <w:pPr>
      <w:tabs>
        <w:tab w:val="right" w:leader="dot" w:pos="8070"/>
      </w:tabs>
      <w:spacing w:after="100"/>
    </w:pPr>
    <w:rPr>
      <w:rFonts w:ascii="Arial" w:hAnsi="Arial"/>
      <w:noProof/>
    </w:rPr>
  </w:style>
  <w:style w:type="paragraph" w:styleId="TOC2">
    <w:name w:val="toc 2"/>
    <w:basedOn w:val="Normal"/>
    <w:next w:val="Normal"/>
    <w:autoRedefine/>
    <w:uiPriority w:val="39"/>
    <w:unhideWhenUsed/>
    <w:rsid w:val="00CA287F"/>
    <w:pPr>
      <w:spacing w:after="100"/>
      <w:ind w:left="240"/>
    </w:pPr>
    <w:rPr>
      <w:rFonts w:ascii="Arial" w:hAnsi="Arial"/>
    </w:rPr>
  </w:style>
  <w:style w:type="paragraph" w:styleId="TOC3">
    <w:name w:val="toc 3"/>
    <w:basedOn w:val="Normal"/>
    <w:next w:val="Normal"/>
    <w:autoRedefine/>
    <w:uiPriority w:val="39"/>
    <w:unhideWhenUsed/>
    <w:rsid w:val="00CA287F"/>
    <w:pPr>
      <w:spacing w:after="100"/>
      <w:ind w:left="480"/>
    </w:pPr>
    <w:rPr>
      <w:rFonts w:ascii="Arial" w:hAnsi="Arial"/>
    </w:rPr>
  </w:style>
  <w:style w:type="paragraph" w:customStyle="1" w:styleId="Heading30">
    <w:name w:val="Heading3"/>
    <w:basedOn w:val="Normal"/>
    <w:link w:val="Heading3Char0"/>
    <w:qFormat/>
    <w:rsid w:val="00DB6104"/>
    <w:pPr>
      <w:autoSpaceDE w:val="0"/>
      <w:autoSpaceDN w:val="0"/>
      <w:adjustRightInd w:val="0"/>
    </w:pPr>
    <w:rPr>
      <w:rFonts w:ascii="Arial" w:hAnsi="Arial" w:cs="Arial"/>
      <w:b/>
      <w:bCs/>
      <w:sz w:val="26"/>
    </w:rPr>
  </w:style>
  <w:style w:type="character" w:customStyle="1" w:styleId="Heading2Char0">
    <w:name w:val="Heading2 Char"/>
    <w:link w:val="Heading20"/>
    <w:rsid w:val="00B11D08"/>
    <w:rPr>
      <w:rFonts w:ascii="Arial" w:hAnsi="Arial" w:cs="Arial"/>
      <w:b/>
      <w:sz w:val="32"/>
      <w:szCs w:val="28"/>
    </w:rPr>
  </w:style>
  <w:style w:type="character" w:customStyle="1" w:styleId="Heading3Char0">
    <w:name w:val="Heading3 Char"/>
    <w:link w:val="Heading30"/>
    <w:rsid w:val="00DB6104"/>
    <w:rPr>
      <w:rFonts w:ascii="Arial" w:hAnsi="Arial" w:cs="Arial"/>
      <w:b/>
      <w:bCs/>
      <w:sz w:val="26"/>
      <w:szCs w:val="24"/>
    </w:rPr>
  </w:style>
  <w:style w:type="character" w:customStyle="1" w:styleId="Heading5Char">
    <w:name w:val="Heading 5 Char"/>
    <w:link w:val="Heading5"/>
    <w:uiPriority w:val="9"/>
    <w:semiHidden/>
    <w:rsid w:val="00542016"/>
    <w:rPr>
      <w:rFonts w:ascii="Cambria" w:eastAsia="Times New Roman" w:hAnsi="Cambria" w:cs="Times New Roman"/>
      <w:color w:val="243F60"/>
      <w:sz w:val="24"/>
      <w:szCs w:val="24"/>
    </w:rPr>
  </w:style>
  <w:style w:type="character" w:styleId="Strong">
    <w:name w:val="Strong"/>
    <w:uiPriority w:val="22"/>
    <w:qFormat/>
    <w:rsid w:val="00542016"/>
    <w:rPr>
      <w:b/>
      <w:bCs/>
    </w:rPr>
  </w:style>
  <w:style w:type="paragraph" w:customStyle="1" w:styleId="Tabletext">
    <w:name w:val="Table text"/>
    <w:basedOn w:val="TableofFigures"/>
    <w:link w:val="TabletextChar"/>
    <w:qFormat/>
    <w:rsid w:val="00542016"/>
    <w:pPr>
      <w:jc w:val="left"/>
    </w:pPr>
    <w:rPr>
      <w:noProof/>
    </w:rPr>
  </w:style>
  <w:style w:type="paragraph" w:styleId="TableofFigures">
    <w:name w:val="table of figures"/>
    <w:basedOn w:val="Normal"/>
    <w:next w:val="Normal"/>
    <w:link w:val="TableofFiguresChar"/>
    <w:qFormat/>
    <w:rsid w:val="00542016"/>
    <w:pPr>
      <w:spacing w:before="30" w:after="30"/>
      <w:jc w:val="right"/>
    </w:pPr>
    <w:rPr>
      <w:rFonts w:ascii="Calibri" w:hAnsi="Calibri" w:cs="Arial"/>
      <w:sz w:val="18"/>
      <w:szCs w:val="18"/>
      <w:lang w:eastAsia="en-US"/>
    </w:rPr>
  </w:style>
  <w:style w:type="character" w:customStyle="1" w:styleId="TableofFiguresChar">
    <w:name w:val="Table of Figures Char"/>
    <w:link w:val="TableofFigures"/>
    <w:rsid w:val="00542016"/>
    <w:rPr>
      <w:rFonts w:ascii="Calibri" w:hAnsi="Calibri" w:cs="Arial"/>
      <w:sz w:val="18"/>
      <w:szCs w:val="18"/>
      <w:lang w:eastAsia="en-US"/>
    </w:rPr>
  </w:style>
  <w:style w:type="character" w:customStyle="1" w:styleId="TabletextChar">
    <w:name w:val="Table text Char"/>
    <w:link w:val="Tabletext"/>
    <w:rsid w:val="00542016"/>
    <w:rPr>
      <w:rFonts w:ascii="Calibri" w:hAnsi="Calibri" w:cs="Arial"/>
      <w:noProof/>
      <w:sz w:val="18"/>
      <w:szCs w:val="18"/>
      <w:lang w:eastAsia="en-US"/>
    </w:rPr>
  </w:style>
  <w:style w:type="paragraph" w:customStyle="1" w:styleId="Notes">
    <w:name w:val="Notes"/>
    <w:basedOn w:val="Normal"/>
    <w:link w:val="NotesChar"/>
    <w:qFormat/>
    <w:rsid w:val="00542016"/>
    <w:pPr>
      <w:tabs>
        <w:tab w:val="left" w:pos="454"/>
      </w:tabs>
      <w:ind w:left="461" w:hanging="461"/>
    </w:pPr>
    <w:rPr>
      <w:rFonts w:ascii="Garamond" w:hAnsi="Garamond"/>
      <w:i/>
      <w:iCs/>
      <w:sz w:val="18"/>
      <w:szCs w:val="18"/>
      <w:lang w:eastAsia="en-US"/>
    </w:rPr>
  </w:style>
  <w:style w:type="character" w:customStyle="1" w:styleId="NotesChar">
    <w:name w:val="Notes Char"/>
    <w:link w:val="Notes"/>
    <w:locked/>
    <w:rsid w:val="00542016"/>
    <w:rPr>
      <w:rFonts w:ascii="Garamond" w:hAnsi="Garamond"/>
      <w:i/>
      <w:iCs/>
      <w:sz w:val="18"/>
      <w:szCs w:val="18"/>
      <w:lang w:eastAsia="en-US"/>
    </w:rPr>
  </w:style>
  <w:style w:type="paragraph" w:customStyle="1" w:styleId="SmallLine">
    <w:name w:val="Small Line"/>
    <w:basedOn w:val="Normal"/>
    <w:link w:val="SmallLineChar"/>
    <w:rsid w:val="00542016"/>
    <w:pPr>
      <w:spacing w:before="120"/>
    </w:pPr>
    <w:rPr>
      <w:rFonts w:ascii="Garamond" w:hAnsi="Garamond"/>
      <w:sz w:val="4"/>
      <w:szCs w:val="4"/>
      <w:lang w:eastAsia="en-US"/>
    </w:rPr>
  </w:style>
  <w:style w:type="character" w:customStyle="1" w:styleId="SmallLineChar">
    <w:name w:val="Small Line Char"/>
    <w:link w:val="SmallLine"/>
    <w:locked/>
    <w:rsid w:val="00542016"/>
    <w:rPr>
      <w:rFonts w:ascii="Garamond" w:hAnsi="Garamond"/>
      <w:sz w:val="4"/>
      <w:szCs w:val="4"/>
      <w:lang w:eastAsia="en-US"/>
    </w:rPr>
  </w:style>
  <w:style w:type="paragraph" w:customStyle="1" w:styleId="Tabletextheading">
    <w:name w:val="Table text heading"/>
    <w:basedOn w:val="TableofFigures"/>
    <w:link w:val="TabletextheadingChar"/>
    <w:qFormat/>
    <w:rsid w:val="00542016"/>
    <w:rPr>
      <w:i/>
      <w:iCs/>
      <w:noProof/>
    </w:rPr>
  </w:style>
  <w:style w:type="character" w:customStyle="1" w:styleId="TabletextheadingChar">
    <w:name w:val="Table text heading Char"/>
    <w:link w:val="Tabletextheading"/>
    <w:rsid w:val="00542016"/>
    <w:rPr>
      <w:rFonts w:ascii="Calibri" w:hAnsi="Calibri" w:cs="Arial"/>
      <w:i/>
      <w:iCs/>
      <w:noProof/>
      <w:sz w:val="18"/>
      <w:szCs w:val="18"/>
      <w:lang w:eastAsia="en-US"/>
    </w:rPr>
  </w:style>
  <w:style w:type="paragraph" w:customStyle="1" w:styleId="Tableheading0">
    <w:name w:val="Table heading"/>
    <w:basedOn w:val="Heading5"/>
    <w:link w:val="TableheadingChar"/>
    <w:qFormat/>
    <w:rsid w:val="00542016"/>
    <w:pPr>
      <w:keepLines w:val="0"/>
      <w:spacing w:before="100" w:after="40"/>
      <w:ind w:left="1170" w:hanging="1170"/>
    </w:pPr>
    <w:rPr>
      <w:rFonts w:ascii="Calibri" w:hAnsi="Calibri" w:cs="Arial"/>
      <w:b/>
      <w:bCs/>
      <w:color w:val="auto"/>
      <w:sz w:val="20"/>
      <w:szCs w:val="20"/>
      <w:lang w:eastAsia="en-US"/>
    </w:rPr>
  </w:style>
  <w:style w:type="character" w:customStyle="1" w:styleId="TableheadingChar">
    <w:name w:val="Table heading Char"/>
    <w:link w:val="Tableheading0"/>
    <w:rsid w:val="00542016"/>
    <w:rPr>
      <w:rFonts w:ascii="Calibri" w:hAnsi="Calibri" w:cs="Arial"/>
      <w:b/>
      <w:bCs/>
      <w:lang w:eastAsia="en-US"/>
    </w:rPr>
  </w:style>
  <w:style w:type="paragraph" w:customStyle="1" w:styleId="TabletextheadingCentred">
    <w:name w:val="Table text heading Centred"/>
    <w:basedOn w:val="Tabletextheading"/>
    <w:link w:val="TabletextheadingCentredChar"/>
    <w:rsid w:val="00542016"/>
    <w:pPr>
      <w:spacing w:before="0" w:after="0"/>
      <w:jc w:val="center"/>
    </w:pPr>
    <w:rPr>
      <w:noProof w:val="0"/>
      <w:szCs w:val="20"/>
    </w:rPr>
  </w:style>
  <w:style w:type="character" w:customStyle="1" w:styleId="TabletextheadingCentredChar">
    <w:name w:val="Table text heading Centred Char"/>
    <w:link w:val="TabletextheadingCentred"/>
    <w:locked/>
    <w:rsid w:val="00542016"/>
    <w:rPr>
      <w:rFonts w:ascii="Calibri" w:hAnsi="Calibri" w:cs="Arial"/>
      <w:i/>
      <w:iCs/>
      <w:sz w:val="18"/>
      <w:lang w:eastAsia="en-US"/>
    </w:rPr>
  </w:style>
  <w:style w:type="paragraph" w:customStyle="1" w:styleId="TableText0">
    <w:name w:val="Table Text"/>
    <w:basedOn w:val="Normal"/>
    <w:qFormat/>
    <w:rsid w:val="00542016"/>
    <w:pPr>
      <w:spacing w:before="30" w:after="30"/>
    </w:pPr>
    <w:rPr>
      <w:rFonts w:ascii="Calibri" w:hAnsi="Calibri" w:cs="Arial"/>
      <w:sz w:val="18"/>
      <w:szCs w:val="18"/>
    </w:rPr>
  </w:style>
  <w:style w:type="paragraph" w:customStyle="1" w:styleId="TabletextIndent2">
    <w:name w:val="Table text Indent 2"/>
    <w:basedOn w:val="Normal"/>
    <w:rsid w:val="00542016"/>
    <w:pPr>
      <w:spacing w:before="30" w:after="30"/>
      <w:ind w:left="268" w:hanging="268"/>
      <w:jc w:val="both"/>
    </w:pPr>
    <w:rPr>
      <w:rFonts w:ascii="Calibri" w:hAnsi="Calibri" w:cs="Arial"/>
      <w:sz w:val="18"/>
      <w:szCs w:val="18"/>
    </w:rPr>
  </w:style>
  <w:style w:type="paragraph" w:customStyle="1" w:styleId="Bullet">
    <w:name w:val="Bullet"/>
    <w:basedOn w:val="Normal"/>
    <w:link w:val="BulletCharChar"/>
    <w:rsid w:val="00542016"/>
    <w:pPr>
      <w:numPr>
        <w:numId w:val="6"/>
      </w:numPr>
      <w:spacing w:before="120"/>
    </w:pPr>
    <w:rPr>
      <w:rFonts w:ascii="Garamond" w:hAnsi="Garamond"/>
      <w:sz w:val="22"/>
      <w:szCs w:val="22"/>
      <w:lang w:eastAsia="en-US"/>
    </w:rPr>
  </w:style>
  <w:style w:type="character" w:customStyle="1" w:styleId="BulletCharChar">
    <w:name w:val="Bullet Char Char"/>
    <w:link w:val="Bullet"/>
    <w:locked/>
    <w:rsid w:val="00542016"/>
    <w:rPr>
      <w:rFonts w:ascii="Garamond" w:hAnsi="Garamond"/>
      <w:sz w:val="22"/>
      <w:szCs w:val="22"/>
      <w:lang w:eastAsia="en-US"/>
    </w:rPr>
  </w:style>
  <w:style w:type="paragraph" w:customStyle="1" w:styleId="Bullet1">
    <w:name w:val="Bullet 1"/>
    <w:basedOn w:val="Normal"/>
    <w:uiPriority w:val="11"/>
    <w:semiHidden/>
    <w:qFormat/>
    <w:rsid w:val="00542016"/>
    <w:pPr>
      <w:numPr>
        <w:numId w:val="7"/>
      </w:numPr>
      <w:spacing w:line="260" w:lineRule="atLeast"/>
    </w:pPr>
    <w:rPr>
      <w:rFonts w:ascii="Calibri" w:hAnsi="Calibri" w:cs="Calibri"/>
      <w:sz w:val="22"/>
      <w:szCs w:val="22"/>
    </w:rPr>
  </w:style>
  <w:style w:type="paragraph" w:customStyle="1" w:styleId="Bullet2">
    <w:name w:val="Bullet 2"/>
    <w:basedOn w:val="Bullet1"/>
    <w:uiPriority w:val="11"/>
    <w:semiHidden/>
    <w:rsid w:val="00542016"/>
    <w:pPr>
      <w:numPr>
        <w:ilvl w:val="1"/>
      </w:numPr>
    </w:pPr>
  </w:style>
  <w:style w:type="paragraph" w:customStyle="1" w:styleId="Bullet3">
    <w:name w:val="Bullet 3"/>
    <w:basedOn w:val="Bullet2"/>
    <w:uiPriority w:val="11"/>
    <w:semiHidden/>
    <w:rsid w:val="00542016"/>
    <w:pPr>
      <w:numPr>
        <w:ilvl w:val="2"/>
      </w:numPr>
    </w:pPr>
  </w:style>
  <w:style w:type="paragraph" w:customStyle="1" w:styleId="Default">
    <w:name w:val="Default"/>
    <w:rsid w:val="00542016"/>
    <w:pPr>
      <w:autoSpaceDE w:val="0"/>
      <w:autoSpaceDN w:val="0"/>
      <w:adjustRightInd w:val="0"/>
    </w:pPr>
    <w:rPr>
      <w:color w:val="000000"/>
      <w:sz w:val="24"/>
      <w:szCs w:val="24"/>
    </w:rPr>
  </w:style>
  <w:style w:type="character" w:customStyle="1" w:styleId="Heading4Char">
    <w:name w:val="Heading 4 Char"/>
    <w:link w:val="Heading4"/>
    <w:uiPriority w:val="9"/>
    <w:rsid w:val="008A185A"/>
    <w:rPr>
      <w:rFonts w:ascii="Calibri" w:eastAsia="MS Gothic" w:hAnsi="Calibri"/>
      <w:b/>
      <w:bCs/>
      <w:i/>
      <w:iCs/>
      <w:szCs w:val="18"/>
      <w:lang w:val="en-GB" w:eastAsia="en-US"/>
    </w:rPr>
  </w:style>
  <w:style w:type="paragraph" w:customStyle="1" w:styleId="NoParagraphStyle">
    <w:name w:val="[No Paragraph Style]"/>
    <w:rsid w:val="008A185A"/>
    <w:pPr>
      <w:widowControl w:val="0"/>
      <w:autoSpaceDE w:val="0"/>
      <w:autoSpaceDN w:val="0"/>
      <w:adjustRightInd w:val="0"/>
      <w:spacing w:line="288" w:lineRule="auto"/>
      <w:textAlignment w:val="center"/>
    </w:pPr>
    <w:rPr>
      <w:rFonts w:ascii="Times-Roman" w:eastAsia="MS Mincho" w:hAnsi="Times-Roman" w:cs="Times-Roman"/>
      <w:color w:val="000000"/>
      <w:sz w:val="24"/>
      <w:szCs w:val="24"/>
      <w:lang w:val="en-US" w:eastAsia="en-US"/>
    </w:rPr>
  </w:style>
  <w:style w:type="paragraph" w:customStyle="1" w:styleId="BOLdBC">
    <w:name w:val="BOLd BC"/>
    <w:basedOn w:val="Normal"/>
    <w:qFormat/>
    <w:rsid w:val="008A185A"/>
    <w:pPr>
      <w:widowControl w:val="0"/>
      <w:tabs>
        <w:tab w:val="right" w:leader="dot" w:pos="9570"/>
      </w:tabs>
      <w:suppressAutoHyphens/>
      <w:autoSpaceDE w:val="0"/>
      <w:autoSpaceDN w:val="0"/>
      <w:adjustRightInd w:val="0"/>
      <w:spacing w:before="120" w:after="60" w:line="220" w:lineRule="atLeast"/>
      <w:textAlignment w:val="center"/>
    </w:pPr>
    <w:rPr>
      <w:rFonts w:ascii="Arial" w:hAnsi="Arial" w:cs="Frutiger-Roman"/>
      <w:b/>
      <w:color w:val="000000"/>
      <w:sz w:val="20"/>
      <w:szCs w:val="20"/>
      <w:lang w:val="en-GB" w:eastAsia="en-US"/>
    </w:rPr>
  </w:style>
  <w:style w:type="paragraph" w:customStyle="1" w:styleId="HeadingLevel1">
    <w:name w:val="Heading Level 1"/>
    <w:basedOn w:val="NoParagraphStyle"/>
    <w:uiPriority w:val="99"/>
    <w:rsid w:val="008A185A"/>
    <w:pPr>
      <w:suppressAutoHyphens/>
      <w:spacing w:after="113" w:line="500" w:lineRule="atLeast"/>
    </w:pPr>
    <w:rPr>
      <w:rFonts w:ascii="DIN-Light" w:hAnsi="DIN-Light" w:cs="DIN-Light"/>
      <w:color w:val="8DBB38"/>
      <w:sz w:val="48"/>
      <w:szCs w:val="48"/>
    </w:rPr>
  </w:style>
  <w:style w:type="paragraph" w:customStyle="1" w:styleId="BodyCopy">
    <w:name w:val="Body Copy"/>
    <w:basedOn w:val="NoParagraphStyle"/>
    <w:uiPriority w:val="99"/>
    <w:rsid w:val="008A185A"/>
    <w:pPr>
      <w:suppressAutoHyphens/>
      <w:spacing w:before="57" w:after="113" w:line="220" w:lineRule="atLeast"/>
    </w:pPr>
    <w:rPr>
      <w:rFonts w:ascii="DIN-Light" w:hAnsi="DIN-Light" w:cs="DIN-Light"/>
      <w:sz w:val="18"/>
      <w:szCs w:val="18"/>
      <w:lang w:val="en-GB"/>
    </w:rPr>
  </w:style>
  <w:style w:type="character" w:customStyle="1" w:styleId="Body-boldbold">
    <w:name w:val="Body - bold bold"/>
    <w:uiPriority w:val="99"/>
    <w:rsid w:val="008A185A"/>
    <w:rPr>
      <w:b/>
      <w:bCs/>
    </w:rPr>
  </w:style>
  <w:style w:type="character" w:customStyle="1" w:styleId="Body-bold">
    <w:name w:val="Body - bold"/>
    <w:uiPriority w:val="99"/>
    <w:rsid w:val="008A185A"/>
  </w:style>
  <w:style w:type="character" w:customStyle="1" w:styleId="Body-italic">
    <w:name w:val="Body - italic"/>
    <w:uiPriority w:val="99"/>
    <w:rsid w:val="008A185A"/>
    <w:rPr>
      <w:rFonts w:ascii="DIN-LightItalic" w:hAnsi="DIN-LightItalic" w:cs="DIN-LightItalic"/>
      <w:i/>
      <w:iCs/>
      <w:color w:val="000000"/>
      <w:spacing w:val="0"/>
      <w:sz w:val="18"/>
      <w:szCs w:val="18"/>
      <w:u w:val="none"/>
      <w:vertAlign w:val="baseline"/>
      <w:lang w:val="en-GB"/>
    </w:rPr>
  </w:style>
  <w:style w:type="paragraph" w:customStyle="1" w:styleId="Abbreviations">
    <w:name w:val="Abbreviations"/>
    <w:basedOn w:val="NoParagraphStyle"/>
    <w:uiPriority w:val="99"/>
    <w:rsid w:val="008A185A"/>
    <w:pPr>
      <w:keepLines/>
      <w:tabs>
        <w:tab w:val="left" w:pos="800"/>
      </w:tabs>
      <w:suppressAutoHyphens/>
      <w:spacing w:after="85" w:line="220" w:lineRule="atLeast"/>
      <w:ind w:left="800" w:hanging="800"/>
    </w:pPr>
    <w:rPr>
      <w:rFonts w:ascii="DIN-Light" w:hAnsi="DIN-Light" w:cs="DIN-Light"/>
      <w:sz w:val="18"/>
      <w:szCs w:val="18"/>
      <w:lang w:val="en-GB"/>
    </w:rPr>
  </w:style>
  <w:style w:type="paragraph" w:customStyle="1" w:styleId="Indent">
    <w:name w:val="Indent"/>
    <w:basedOn w:val="NoParagraphStyle"/>
    <w:uiPriority w:val="99"/>
    <w:rsid w:val="008A185A"/>
    <w:pPr>
      <w:suppressAutoHyphens/>
      <w:spacing w:after="113" w:line="220" w:lineRule="atLeast"/>
      <w:ind w:left="180" w:hanging="180"/>
    </w:pPr>
    <w:rPr>
      <w:rFonts w:ascii="DIN-Light" w:hAnsi="DIN-Light" w:cs="DIN-Light"/>
      <w:sz w:val="18"/>
      <w:szCs w:val="18"/>
      <w:lang w:val="en-GB"/>
    </w:rPr>
  </w:style>
  <w:style w:type="paragraph" w:customStyle="1" w:styleId="BulletsLevel1">
    <w:name w:val="Bullets Level 1"/>
    <w:basedOn w:val="Indent"/>
    <w:uiPriority w:val="99"/>
    <w:rsid w:val="008A185A"/>
  </w:style>
  <w:style w:type="paragraph" w:customStyle="1" w:styleId="BulletsLevel2">
    <w:name w:val="Bullets Level 2"/>
    <w:basedOn w:val="NoParagraphStyle"/>
    <w:uiPriority w:val="99"/>
    <w:rsid w:val="008A185A"/>
    <w:pPr>
      <w:suppressAutoHyphens/>
      <w:spacing w:after="113" w:line="220" w:lineRule="atLeast"/>
      <w:ind w:left="340" w:hanging="180"/>
    </w:pPr>
    <w:rPr>
      <w:rFonts w:ascii="DIN-Light" w:hAnsi="DIN-Light" w:cs="DIN-Light"/>
      <w:sz w:val="18"/>
      <w:szCs w:val="18"/>
      <w:lang w:val="en-GB"/>
    </w:rPr>
  </w:style>
  <w:style w:type="paragraph" w:customStyle="1" w:styleId="SubheadLevel3JobTitle">
    <w:name w:val="Subhead Level 3  Job Title"/>
    <w:basedOn w:val="Normal"/>
    <w:uiPriority w:val="99"/>
    <w:rsid w:val="008A185A"/>
    <w:pPr>
      <w:widowControl w:val="0"/>
      <w:suppressAutoHyphens/>
      <w:autoSpaceDE w:val="0"/>
      <w:autoSpaceDN w:val="0"/>
      <w:adjustRightInd w:val="0"/>
      <w:spacing w:before="57" w:after="113" w:line="220" w:lineRule="atLeast"/>
      <w:textAlignment w:val="center"/>
    </w:pPr>
    <w:rPr>
      <w:rFonts w:ascii="DIN-LightItalic" w:eastAsia="MS Mincho" w:hAnsi="DIN-LightItalic" w:cs="DIN-LightItalic"/>
      <w:i/>
      <w:iCs/>
      <w:color w:val="000000"/>
      <w:sz w:val="18"/>
      <w:szCs w:val="18"/>
      <w:lang w:val="en-GB" w:eastAsia="en-US"/>
    </w:rPr>
  </w:style>
  <w:style w:type="paragraph" w:customStyle="1" w:styleId="SubheadLevel1">
    <w:name w:val="Subhead Level 1"/>
    <w:basedOn w:val="NoParagraphStyle"/>
    <w:uiPriority w:val="99"/>
    <w:rsid w:val="008A185A"/>
    <w:pPr>
      <w:suppressAutoHyphens/>
      <w:spacing w:before="57" w:after="113"/>
    </w:pPr>
    <w:rPr>
      <w:rFonts w:ascii="Swiss721BT-Medium" w:hAnsi="Swiss721BT-Medium" w:cs="Swiss721BT-Medium"/>
      <w:lang w:val="en-GB"/>
    </w:rPr>
  </w:style>
  <w:style w:type="paragraph" w:customStyle="1" w:styleId="SubheadLevel2">
    <w:name w:val="Subhead Level 2"/>
    <w:basedOn w:val="BodyCopy"/>
    <w:uiPriority w:val="99"/>
    <w:rsid w:val="008A185A"/>
    <w:pPr>
      <w:spacing w:after="57"/>
    </w:pPr>
    <w:rPr>
      <w:rFonts w:ascii="DIN-Regular" w:hAnsi="DIN-Regular" w:cs="DIN-Regular"/>
      <w:color w:val="8DBB38"/>
      <w:sz w:val="20"/>
      <w:szCs w:val="20"/>
    </w:rPr>
  </w:style>
  <w:style w:type="paragraph" w:customStyle="1" w:styleId="Body">
    <w:name w:val="Body"/>
    <w:basedOn w:val="NoParagraphStyle"/>
    <w:uiPriority w:val="99"/>
    <w:rsid w:val="008A185A"/>
    <w:pPr>
      <w:keepLines/>
      <w:suppressAutoHyphens/>
      <w:spacing w:before="57" w:after="113" w:line="220" w:lineRule="atLeast"/>
    </w:pPr>
    <w:rPr>
      <w:rFonts w:ascii="DIN-Light" w:hAnsi="DIN-Light" w:cs="DIN-Light"/>
      <w:sz w:val="18"/>
      <w:szCs w:val="18"/>
    </w:rPr>
  </w:style>
  <w:style w:type="paragraph" w:customStyle="1" w:styleId="IntroCopy">
    <w:name w:val="Intro Copy"/>
    <w:basedOn w:val="NoParagraphStyle"/>
    <w:uiPriority w:val="99"/>
    <w:rsid w:val="008A185A"/>
    <w:pPr>
      <w:suppressAutoHyphens/>
      <w:spacing w:before="39" w:after="78"/>
    </w:pPr>
    <w:rPr>
      <w:rFonts w:ascii="DIN-Light" w:hAnsi="DIN-Light" w:cs="DIN-Light"/>
      <w:spacing w:val="-3"/>
      <w:sz w:val="32"/>
      <w:szCs w:val="32"/>
      <w:lang w:val="en-GB"/>
    </w:rPr>
  </w:style>
  <w:style w:type="paragraph" w:customStyle="1" w:styleId="PositionTitle">
    <w:name w:val="Position Title"/>
    <w:basedOn w:val="BodyCopy"/>
    <w:uiPriority w:val="99"/>
    <w:rsid w:val="008A185A"/>
    <w:pPr>
      <w:spacing w:after="0"/>
    </w:pPr>
    <w:rPr>
      <w:rFonts w:ascii="DIN-Medium" w:hAnsi="DIN-Medium" w:cs="DIN-Medium"/>
    </w:rPr>
  </w:style>
  <w:style w:type="paragraph" w:customStyle="1" w:styleId="F-bodycopyblackbold">
    <w:name w:val="** F - bodycopy black bold"/>
    <w:basedOn w:val="Normal"/>
    <w:uiPriority w:val="99"/>
    <w:rsid w:val="008A185A"/>
    <w:pPr>
      <w:widowControl w:val="0"/>
      <w:tabs>
        <w:tab w:val="right" w:pos="6980"/>
        <w:tab w:val="right" w:pos="8400"/>
        <w:tab w:val="right" w:pos="9800"/>
      </w:tabs>
      <w:suppressAutoHyphens/>
      <w:autoSpaceDE w:val="0"/>
      <w:autoSpaceDN w:val="0"/>
      <w:adjustRightInd w:val="0"/>
      <w:spacing w:before="57" w:after="113" w:line="200" w:lineRule="atLeast"/>
      <w:textAlignment w:val="center"/>
    </w:pPr>
    <w:rPr>
      <w:rFonts w:ascii="DIN-Bold" w:eastAsia="MS Mincho" w:hAnsi="DIN-Bold" w:cs="DIN-Bold"/>
      <w:b/>
      <w:bCs/>
      <w:color w:val="000000"/>
      <w:sz w:val="17"/>
      <w:szCs w:val="17"/>
      <w:lang w:val="en-GB" w:eastAsia="en-US"/>
    </w:rPr>
  </w:style>
  <w:style w:type="paragraph" w:customStyle="1" w:styleId="ColorfulList-Accent11">
    <w:name w:val="Colorful List - Accent 11"/>
    <w:basedOn w:val="Normal"/>
    <w:uiPriority w:val="34"/>
    <w:qFormat/>
    <w:rsid w:val="008A185A"/>
    <w:pPr>
      <w:widowControl w:val="0"/>
      <w:suppressAutoHyphens/>
      <w:autoSpaceDE w:val="0"/>
      <w:autoSpaceDN w:val="0"/>
      <w:adjustRightInd w:val="0"/>
      <w:spacing w:before="57" w:after="113" w:line="220" w:lineRule="atLeast"/>
      <w:ind w:left="720"/>
      <w:contextualSpacing/>
      <w:textAlignment w:val="center"/>
    </w:pPr>
    <w:rPr>
      <w:rFonts w:ascii="Calibri" w:eastAsia="MS Mincho" w:hAnsi="Calibri" w:cs="DIN-Light"/>
      <w:color w:val="000000"/>
      <w:sz w:val="20"/>
      <w:szCs w:val="18"/>
      <w:lang w:val="en-GB" w:eastAsia="en-US"/>
    </w:rPr>
  </w:style>
  <w:style w:type="paragraph" w:customStyle="1" w:styleId="SubHead">
    <w:name w:val="Sub Head"/>
    <w:basedOn w:val="NoParagraphStyle"/>
    <w:uiPriority w:val="99"/>
    <w:rsid w:val="008A185A"/>
    <w:pPr>
      <w:tabs>
        <w:tab w:val="left" w:pos="454"/>
        <w:tab w:val="left" w:pos="480"/>
      </w:tabs>
      <w:suppressAutoHyphens/>
      <w:spacing w:before="57" w:after="113"/>
    </w:pPr>
    <w:rPr>
      <w:rFonts w:ascii="Swiss721BT-Medium" w:hAnsi="Swiss721BT-Medium" w:cs="Swiss721BT-Medium"/>
    </w:rPr>
  </w:style>
  <w:style w:type="paragraph" w:customStyle="1" w:styleId="Bullets">
    <w:name w:val="Bullets"/>
    <w:basedOn w:val="ColorfulList-Accent11"/>
    <w:uiPriority w:val="99"/>
    <w:rsid w:val="008A185A"/>
    <w:pPr>
      <w:numPr>
        <w:numId w:val="9"/>
      </w:numPr>
    </w:pPr>
  </w:style>
  <w:style w:type="paragraph" w:customStyle="1" w:styleId="HeaderLH">
    <w:name w:val="Header LH"/>
    <w:basedOn w:val="Normal"/>
    <w:uiPriority w:val="99"/>
    <w:rsid w:val="008A185A"/>
    <w:pPr>
      <w:widowControl w:val="0"/>
      <w:suppressAutoHyphens/>
      <w:autoSpaceDE w:val="0"/>
      <w:autoSpaceDN w:val="0"/>
      <w:adjustRightInd w:val="0"/>
      <w:spacing w:before="57" w:after="113" w:line="400" w:lineRule="atLeast"/>
      <w:textAlignment w:val="center"/>
    </w:pPr>
    <w:rPr>
      <w:rFonts w:ascii="DIN-Light" w:eastAsia="MS Mincho" w:hAnsi="DIN-Light" w:cs="DIN-Light"/>
      <w:color w:val="8DBB38"/>
      <w:sz w:val="36"/>
      <w:szCs w:val="36"/>
      <w:lang w:val="en-GB" w:eastAsia="en-US"/>
    </w:rPr>
  </w:style>
  <w:style w:type="paragraph" w:customStyle="1" w:styleId="F-bodycopyboldrightTables">
    <w:name w:val="** F - bodycopy # bold right (Tables)"/>
    <w:basedOn w:val="Normal"/>
    <w:uiPriority w:val="99"/>
    <w:rsid w:val="008A185A"/>
    <w:pPr>
      <w:widowControl w:val="0"/>
      <w:suppressAutoHyphens/>
      <w:autoSpaceDE w:val="0"/>
      <w:autoSpaceDN w:val="0"/>
      <w:adjustRightInd w:val="0"/>
      <w:spacing w:before="57" w:after="113" w:line="288" w:lineRule="auto"/>
      <w:jc w:val="right"/>
      <w:textAlignment w:val="center"/>
    </w:pPr>
    <w:rPr>
      <w:rFonts w:ascii="DIN-Bold" w:eastAsia="MS Mincho" w:hAnsi="DIN-Bold" w:cs="DIN-Bold"/>
      <w:b/>
      <w:bCs/>
      <w:color w:val="000000"/>
      <w:sz w:val="17"/>
      <w:szCs w:val="17"/>
      <w:lang w:val="en-GB" w:eastAsia="en-US"/>
    </w:rPr>
  </w:style>
  <w:style w:type="paragraph" w:customStyle="1" w:styleId="F--subheadTables">
    <w:name w:val="** F -- subhead (Tables)"/>
    <w:basedOn w:val="NoParagraphStyle"/>
    <w:uiPriority w:val="99"/>
    <w:rsid w:val="008A185A"/>
    <w:pPr>
      <w:suppressAutoHyphens/>
      <w:spacing w:line="200" w:lineRule="atLeast"/>
    </w:pPr>
    <w:rPr>
      <w:rFonts w:ascii="DIN-Bold" w:hAnsi="DIN-Bold" w:cs="DIN-Bold"/>
      <w:b/>
      <w:bCs/>
      <w:caps/>
      <w:color w:val="8DBB38"/>
      <w:spacing w:val="-2"/>
      <w:sz w:val="18"/>
      <w:szCs w:val="18"/>
      <w:lang w:val="en-GB"/>
    </w:rPr>
  </w:style>
  <w:style w:type="paragraph" w:customStyle="1" w:styleId="F--bodycopyTables">
    <w:name w:val="** F --bodycopy (Tables)"/>
    <w:basedOn w:val="NoParagraphStyle"/>
    <w:next w:val="NoParagraphStyle"/>
    <w:uiPriority w:val="99"/>
    <w:rsid w:val="008A185A"/>
    <w:pPr>
      <w:tabs>
        <w:tab w:val="right" w:pos="6980"/>
        <w:tab w:val="right" w:pos="8400"/>
        <w:tab w:val="right" w:pos="9800"/>
      </w:tabs>
      <w:suppressAutoHyphens/>
      <w:spacing w:after="113" w:line="200" w:lineRule="atLeast"/>
    </w:pPr>
    <w:rPr>
      <w:rFonts w:ascii="DIN-Light" w:hAnsi="DIN-Light" w:cs="DIN-Light"/>
      <w:sz w:val="17"/>
      <w:szCs w:val="17"/>
      <w:lang w:val="en-GB"/>
    </w:rPr>
  </w:style>
  <w:style w:type="paragraph" w:customStyle="1" w:styleId="F-bodycopyboldleftTables">
    <w:name w:val="** F - bodycopy # bold left (Tables)"/>
    <w:basedOn w:val="Normal"/>
    <w:uiPriority w:val="99"/>
    <w:rsid w:val="008A185A"/>
    <w:pPr>
      <w:widowControl w:val="0"/>
      <w:suppressAutoHyphens/>
      <w:autoSpaceDE w:val="0"/>
      <w:autoSpaceDN w:val="0"/>
      <w:adjustRightInd w:val="0"/>
      <w:spacing w:before="57" w:after="113" w:line="288" w:lineRule="auto"/>
      <w:textAlignment w:val="center"/>
    </w:pPr>
    <w:rPr>
      <w:rFonts w:ascii="DIN-Bold" w:eastAsia="MS Mincho" w:hAnsi="DIN-Bold" w:cs="DIN-Bold"/>
      <w:b/>
      <w:bCs/>
      <w:color w:val="000000"/>
      <w:sz w:val="17"/>
      <w:szCs w:val="17"/>
      <w:lang w:val="en-GB" w:eastAsia="en-US"/>
    </w:rPr>
  </w:style>
  <w:style w:type="paragraph" w:customStyle="1" w:styleId="F-NoteitalicTables">
    <w:name w:val="** F - Note italic (Tables)"/>
    <w:basedOn w:val="Body"/>
    <w:uiPriority w:val="99"/>
    <w:rsid w:val="008A185A"/>
    <w:pPr>
      <w:tabs>
        <w:tab w:val="left" w:pos="180"/>
      </w:tabs>
      <w:spacing w:before="0" w:after="57" w:line="140" w:lineRule="atLeast"/>
    </w:pPr>
    <w:rPr>
      <w:rFonts w:ascii="DIN-LightItalic" w:hAnsi="DIN-LightItalic" w:cs="DIN-LightItalic"/>
      <w:i/>
      <w:iCs/>
      <w:sz w:val="12"/>
      <w:szCs w:val="12"/>
      <w:lang w:val="en-GB"/>
    </w:rPr>
  </w:style>
  <w:style w:type="paragraph" w:customStyle="1" w:styleId="F-subhead2Tables">
    <w:name w:val="** F - subhead #2 (Tables)"/>
    <w:basedOn w:val="F-bodycopyboldleftTables"/>
    <w:uiPriority w:val="99"/>
    <w:rsid w:val="008A185A"/>
    <w:rPr>
      <w:rFonts w:ascii="DIN-MediumItalic" w:hAnsi="DIN-MediumItalic" w:cs="DIN-MediumItalic"/>
      <w:b w:val="0"/>
      <w:bCs w:val="0"/>
      <w:i/>
      <w:iCs/>
    </w:rPr>
  </w:style>
  <w:style w:type="paragraph" w:customStyle="1" w:styleId="SubSub">
    <w:name w:val="Sub Sub"/>
    <w:basedOn w:val="Body"/>
    <w:uiPriority w:val="99"/>
    <w:rsid w:val="008A185A"/>
    <w:pPr>
      <w:spacing w:after="57"/>
    </w:pPr>
    <w:rPr>
      <w:rFonts w:ascii="DIN-Regular" w:hAnsi="DIN-Regular" w:cs="DIN-Regular"/>
      <w:color w:val="8DBB38"/>
      <w:sz w:val="20"/>
      <w:szCs w:val="20"/>
      <w:lang w:val="en-GB"/>
    </w:rPr>
  </w:style>
  <w:style w:type="paragraph" w:customStyle="1" w:styleId="SubSubSub">
    <w:name w:val="Sub Sub Sub"/>
    <w:basedOn w:val="Body"/>
    <w:uiPriority w:val="99"/>
    <w:rsid w:val="008A185A"/>
    <w:pPr>
      <w:spacing w:after="57"/>
    </w:pPr>
    <w:rPr>
      <w:rFonts w:ascii="DIN-MediumItalic" w:hAnsi="DIN-MediumItalic" w:cs="DIN-MediumItalic"/>
      <w:i/>
      <w:iCs/>
      <w:lang w:val="en-GB"/>
    </w:rPr>
  </w:style>
  <w:style w:type="character" w:customStyle="1" w:styleId="BodyBold">
    <w:name w:val="Body Bold"/>
    <w:uiPriority w:val="99"/>
    <w:rsid w:val="008A185A"/>
  </w:style>
  <w:style w:type="paragraph" w:customStyle="1" w:styleId="Intro">
    <w:name w:val="Intro"/>
    <w:basedOn w:val="NoParagraphStyle"/>
    <w:uiPriority w:val="99"/>
    <w:rsid w:val="008A185A"/>
    <w:pPr>
      <w:suppressAutoHyphens/>
      <w:spacing w:before="39" w:after="78"/>
    </w:pPr>
    <w:rPr>
      <w:rFonts w:ascii="DIN-Light" w:hAnsi="DIN-Light" w:cs="DIN-Light"/>
      <w:spacing w:val="-2"/>
    </w:rPr>
  </w:style>
  <w:style w:type="paragraph" w:customStyle="1" w:styleId="F-bodycopyrightTables">
    <w:name w:val="** F - bodycopy # right (Tables)"/>
    <w:basedOn w:val="NoParagraphStyle"/>
    <w:uiPriority w:val="99"/>
    <w:rsid w:val="008A185A"/>
    <w:pPr>
      <w:jc w:val="right"/>
    </w:pPr>
    <w:rPr>
      <w:rFonts w:ascii="DIN-Light" w:hAnsi="DIN-Light" w:cs="DIN-Light"/>
      <w:sz w:val="17"/>
      <w:szCs w:val="17"/>
    </w:rPr>
  </w:style>
  <w:style w:type="paragraph" w:customStyle="1" w:styleId="F-bodycopyblackboldTables">
    <w:name w:val="** F - bodycopy black bold  (Tables)"/>
    <w:basedOn w:val="F-bodycopyboldleftTables"/>
    <w:uiPriority w:val="99"/>
    <w:rsid w:val="008A185A"/>
  </w:style>
  <w:style w:type="paragraph" w:customStyle="1" w:styleId="IndentNobullet">
    <w:name w:val="Indent No bullet"/>
    <w:basedOn w:val="Body"/>
    <w:uiPriority w:val="99"/>
    <w:rsid w:val="008A185A"/>
    <w:pPr>
      <w:ind w:left="283" w:hanging="283"/>
    </w:pPr>
    <w:rPr>
      <w:lang w:val="en-GB"/>
    </w:rPr>
  </w:style>
  <w:style w:type="paragraph" w:customStyle="1" w:styleId="Indentlevel2">
    <w:name w:val="Indent level 2"/>
    <w:basedOn w:val="Bullets"/>
    <w:uiPriority w:val="99"/>
    <w:rsid w:val="008A185A"/>
    <w:pPr>
      <w:ind w:left="480"/>
    </w:pPr>
  </w:style>
  <w:style w:type="paragraph" w:customStyle="1" w:styleId="AppendicesContents">
    <w:name w:val="Appendices Contents"/>
    <w:basedOn w:val="Body"/>
    <w:uiPriority w:val="99"/>
    <w:rsid w:val="008A185A"/>
    <w:pPr>
      <w:tabs>
        <w:tab w:val="right" w:leader="dot" w:pos="3820"/>
        <w:tab w:val="left" w:pos="3855"/>
      </w:tabs>
      <w:spacing w:before="0" w:after="28" w:line="288" w:lineRule="auto"/>
    </w:pPr>
    <w:rPr>
      <w:rFonts w:ascii="DIN-Medium" w:hAnsi="DIN-Medium" w:cs="DIN-Medium"/>
      <w:color w:val="FFFFFF"/>
      <w:sz w:val="16"/>
      <w:szCs w:val="16"/>
    </w:rPr>
  </w:style>
  <w:style w:type="paragraph" w:customStyle="1" w:styleId="Fbodycopyrigh">
    <w:name w:val="** F – bodycopy righ"/>
    <w:basedOn w:val="Tablecopy"/>
    <w:uiPriority w:val="99"/>
    <w:rsid w:val="008A185A"/>
    <w:pPr>
      <w:spacing w:before="57" w:after="57"/>
      <w:jc w:val="right"/>
    </w:pPr>
    <w:rPr>
      <w:rFonts w:ascii="DIN-Light" w:hAnsi="DIN-Light" w:cs="DIN-Light"/>
    </w:rPr>
  </w:style>
  <w:style w:type="character" w:customStyle="1" w:styleId="Body-Medium">
    <w:name w:val="Body - Medium"/>
    <w:uiPriority w:val="99"/>
    <w:rsid w:val="008A185A"/>
  </w:style>
  <w:style w:type="paragraph" w:customStyle="1" w:styleId="AppendixFootnotes">
    <w:name w:val="&gt;Appendix Footnotes"/>
    <w:basedOn w:val="Body"/>
    <w:uiPriority w:val="99"/>
    <w:rsid w:val="008A185A"/>
    <w:pPr>
      <w:tabs>
        <w:tab w:val="left" w:pos="227"/>
      </w:tabs>
      <w:spacing w:before="0" w:after="57" w:line="180" w:lineRule="atLeast"/>
    </w:pPr>
    <w:rPr>
      <w:sz w:val="14"/>
      <w:szCs w:val="14"/>
    </w:rPr>
  </w:style>
  <w:style w:type="paragraph" w:customStyle="1" w:styleId="AppendixFootnotesHeader">
    <w:name w:val="Appendix Footnotes Header"/>
    <w:basedOn w:val="AppendixFootnotes"/>
    <w:uiPriority w:val="99"/>
    <w:rsid w:val="008A185A"/>
    <w:pPr>
      <w:spacing w:before="113"/>
    </w:pPr>
    <w:rPr>
      <w:rFonts w:ascii="DIN-Medium" w:hAnsi="DIN-Medium" w:cs="DIN-Medium"/>
    </w:rPr>
  </w:style>
  <w:style w:type="paragraph" w:customStyle="1" w:styleId="F-bodycopyblack">
    <w:name w:val="** F - bodycopy # black"/>
    <w:basedOn w:val="Normal"/>
    <w:uiPriority w:val="99"/>
    <w:rsid w:val="008A185A"/>
    <w:pPr>
      <w:widowControl w:val="0"/>
      <w:tabs>
        <w:tab w:val="right" w:pos="6980"/>
        <w:tab w:val="right" w:pos="8400"/>
        <w:tab w:val="right" w:pos="9800"/>
      </w:tabs>
      <w:suppressAutoHyphens/>
      <w:autoSpaceDE w:val="0"/>
      <w:autoSpaceDN w:val="0"/>
      <w:adjustRightInd w:val="0"/>
      <w:spacing w:before="57" w:after="57" w:line="200" w:lineRule="atLeast"/>
      <w:jc w:val="right"/>
      <w:textAlignment w:val="center"/>
    </w:pPr>
    <w:rPr>
      <w:rFonts w:ascii="DIN-Bold" w:eastAsia="MS Mincho" w:hAnsi="DIN-Bold" w:cs="DIN-Bold"/>
      <w:b/>
      <w:bCs/>
      <w:color w:val="000000"/>
      <w:sz w:val="17"/>
      <w:szCs w:val="17"/>
      <w:lang w:val="en-GB" w:eastAsia="en-US"/>
    </w:rPr>
  </w:style>
  <w:style w:type="character" w:customStyle="1" w:styleId="SubSub-Italic">
    <w:name w:val="Sub Sub - Italic"/>
    <w:uiPriority w:val="99"/>
    <w:rsid w:val="008A185A"/>
    <w:rPr>
      <w:i/>
      <w:iCs/>
    </w:rPr>
  </w:style>
  <w:style w:type="paragraph" w:customStyle="1" w:styleId="Introsmaller">
    <w:name w:val="Intro (smaller)"/>
    <w:basedOn w:val="Intro"/>
    <w:uiPriority w:val="99"/>
    <w:rsid w:val="008A185A"/>
  </w:style>
  <w:style w:type="paragraph" w:customStyle="1" w:styleId="F--subhead">
    <w:name w:val="** F -- subhead"/>
    <w:basedOn w:val="NoParagraphStyle"/>
    <w:uiPriority w:val="99"/>
    <w:rsid w:val="008A185A"/>
    <w:pPr>
      <w:spacing w:line="200" w:lineRule="atLeast"/>
    </w:pPr>
    <w:rPr>
      <w:rFonts w:ascii="DIN-Bold" w:hAnsi="DIN-Bold" w:cs="DIN-Bold"/>
      <w:b/>
      <w:bCs/>
      <w:caps/>
      <w:color w:val="8DBB38"/>
      <w:spacing w:val="-2"/>
      <w:sz w:val="18"/>
      <w:szCs w:val="18"/>
      <w:lang w:val="en-GB"/>
    </w:rPr>
  </w:style>
  <w:style w:type="paragraph" w:customStyle="1" w:styleId="Tablenumbers">
    <w:name w:val="&gt;Table numbers"/>
    <w:basedOn w:val="Tablecopy"/>
    <w:uiPriority w:val="99"/>
    <w:rsid w:val="008A185A"/>
    <w:pPr>
      <w:spacing w:before="57" w:after="57"/>
      <w:jc w:val="right"/>
    </w:pPr>
    <w:rPr>
      <w:rFonts w:ascii="DIN-Light" w:hAnsi="DIN-Light" w:cs="DIN-Light"/>
    </w:rPr>
  </w:style>
  <w:style w:type="paragraph" w:customStyle="1" w:styleId="IndentFinancials">
    <w:name w:val="Indent Financials"/>
    <w:basedOn w:val="Bullets"/>
    <w:uiPriority w:val="99"/>
    <w:rsid w:val="008A185A"/>
    <w:pPr>
      <w:spacing w:line="200" w:lineRule="atLeast"/>
    </w:pPr>
    <w:rPr>
      <w:sz w:val="17"/>
      <w:szCs w:val="17"/>
      <w:lang w:val="en-US"/>
    </w:rPr>
  </w:style>
  <w:style w:type="paragraph" w:customStyle="1" w:styleId="F-subhead2">
    <w:name w:val="** F - subhead #2"/>
    <w:basedOn w:val="Normal"/>
    <w:uiPriority w:val="99"/>
    <w:rsid w:val="008A185A"/>
    <w:pPr>
      <w:widowControl w:val="0"/>
      <w:tabs>
        <w:tab w:val="right" w:pos="6980"/>
        <w:tab w:val="right" w:pos="8400"/>
        <w:tab w:val="right" w:pos="9800"/>
      </w:tabs>
      <w:suppressAutoHyphens/>
      <w:autoSpaceDE w:val="0"/>
      <w:autoSpaceDN w:val="0"/>
      <w:adjustRightInd w:val="0"/>
      <w:spacing w:before="57" w:after="57" w:line="200" w:lineRule="atLeast"/>
      <w:textAlignment w:val="center"/>
    </w:pPr>
    <w:rPr>
      <w:rFonts w:ascii="DIN-MediumItalic" w:eastAsia="MS Mincho" w:hAnsi="DIN-MediumItalic" w:cs="DIN-MediumItalic"/>
      <w:i/>
      <w:iCs/>
      <w:color w:val="000000"/>
      <w:sz w:val="17"/>
      <w:szCs w:val="17"/>
      <w:lang w:val="en-GB" w:eastAsia="en-US"/>
    </w:rPr>
  </w:style>
  <w:style w:type="character" w:customStyle="1" w:styleId="Superscript">
    <w:name w:val="Superscript"/>
    <w:uiPriority w:val="99"/>
    <w:rsid w:val="008A185A"/>
    <w:rPr>
      <w:vertAlign w:val="superscript"/>
    </w:rPr>
  </w:style>
  <w:style w:type="paragraph" w:styleId="Title">
    <w:name w:val="Title"/>
    <w:basedOn w:val="Normal"/>
    <w:next w:val="Normal"/>
    <w:link w:val="TitleChar"/>
    <w:uiPriority w:val="10"/>
    <w:qFormat/>
    <w:rsid w:val="008A185A"/>
    <w:pPr>
      <w:widowControl w:val="0"/>
      <w:pBdr>
        <w:bottom w:val="single" w:sz="8" w:space="4" w:color="4F81BD"/>
      </w:pBdr>
      <w:suppressAutoHyphens/>
      <w:autoSpaceDE w:val="0"/>
      <w:autoSpaceDN w:val="0"/>
      <w:adjustRightInd w:val="0"/>
      <w:spacing w:after="300"/>
      <w:contextualSpacing/>
      <w:textAlignment w:val="center"/>
    </w:pPr>
    <w:rPr>
      <w:rFonts w:ascii="Calibri" w:eastAsia="MS Gothic" w:hAnsi="Calibri"/>
      <w:b/>
      <w:spacing w:val="5"/>
      <w:kern w:val="28"/>
      <w:sz w:val="36"/>
      <w:szCs w:val="52"/>
      <w:lang w:val="en-GB" w:eastAsia="en-US"/>
    </w:rPr>
  </w:style>
  <w:style w:type="character" w:customStyle="1" w:styleId="TitleChar">
    <w:name w:val="Title Char"/>
    <w:link w:val="Title"/>
    <w:uiPriority w:val="10"/>
    <w:rsid w:val="008A185A"/>
    <w:rPr>
      <w:rFonts w:ascii="Calibri" w:eastAsia="MS Gothic" w:hAnsi="Calibri"/>
      <w:b/>
      <w:spacing w:val="5"/>
      <w:kern w:val="28"/>
      <w:sz w:val="36"/>
      <w:szCs w:val="52"/>
      <w:lang w:val="en-GB" w:eastAsia="en-US"/>
    </w:rPr>
  </w:style>
  <w:style w:type="paragraph" w:styleId="Revision">
    <w:name w:val="Revision"/>
    <w:hidden/>
    <w:uiPriority w:val="71"/>
    <w:rsid w:val="008A185A"/>
    <w:rPr>
      <w:rFonts w:ascii="Calibri" w:eastAsia="MS Mincho" w:hAnsi="Calibri" w:cs="DIN-Light"/>
      <w:color w:val="000000"/>
      <w:szCs w:val="18"/>
      <w:lang w:val="en-GB" w:eastAsia="en-US"/>
    </w:rPr>
  </w:style>
  <w:style w:type="paragraph" w:styleId="TOC4">
    <w:name w:val="toc 4"/>
    <w:basedOn w:val="Normal"/>
    <w:next w:val="Normal"/>
    <w:autoRedefine/>
    <w:uiPriority w:val="39"/>
    <w:unhideWhenUsed/>
    <w:rsid w:val="008A185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A185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A185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A185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A185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A185A"/>
    <w:pPr>
      <w:spacing w:after="100" w:line="276" w:lineRule="auto"/>
      <w:ind w:left="1760"/>
    </w:pPr>
    <w:rPr>
      <w:rFonts w:ascii="Calibri" w:hAnsi="Calibri"/>
      <w:sz w:val="22"/>
      <w:szCs w:val="22"/>
    </w:rPr>
  </w:style>
  <w:style w:type="paragraph" w:customStyle="1" w:styleId="Style11ptSkyBlueBefore12ptAfter3pt">
    <w:name w:val="Style 11 pt Sky Blue Before:  12 pt After:  3 pt"/>
    <w:basedOn w:val="Normal"/>
    <w:rsid w:val="008A185A"/>
    <w:pPr>
      <w:spacing w:before="240" w:after="60"/>
    </w:pPr>
    <w:rPr>
      <w:rFonts w:ascii="Arial" w:hAnsi="Arial"/>
      <w:color w:val="0000FF"/>
      <w:sz w:val="22"/>
      <w:szCs w:val="20"/>
    </w:rPr>
  </w:style>
  <w:style w:type="paragraph" w:customStyle="1" w:styleId="Normal1">
    <w:name w:val="Normal1"/>
    <w:basedOn w:val="Normal"/>
    <w:link w:val="Normal1Char"/>
    <w:qFormat/>
    <w:rsid w:val="008A185A"/>
    <w:rPr>
      <w:rFonts w:ascii="Arial" w:hAnsi="Arial" w:cs="Arial"/>
    </w:rPr>
  </w:style>
  <w:style w:type="paragraph" w:customStyle="1" w:styleId="Heading40">
    <w:name w:val="Heading4"/>
    <w:basedOn w:val="Heading4"/>
    <w:link w:val="Heading4Char0"/>
    <w:qFormat/>
    <w:rsid w:val="00DB6104"/>
    <w:pPr>
      <w:spacing w:before="0" w:line="240" w:lineRule="auto"/>
    </w:pPr>
    <w:rPr>
      <w:rFonts w:ascii="Arial" w:hAnsi="Arial" w:cs="Arial"/>
      <w:sz w:val="24"/>
      <w:szCs w:val="24"/>
    </w:rPr>
  </w:style>
  <w:style w:type="character" w:customStyle="1" w:styleId="Normal1Char">
    <w:name w:val="Normal1 Char"/>
    <w:link w:val="Normal1"/>
    <w:rsid w:val="008A185A"/>
    <w:rPr>
      <w:rFonts w:ascii="Arial" w:hAnsi="Arial" w:cs="Arial"/>
      <w:sz w:val="24"/>
      <w:szCs w:val="24"/>
    </w:rPr>
  </w:style>
  <w:style w:type="character" w:customStyle="1" w:styleId="Heading4Char0">
    <w:name w:val="Heading4 Char"/>
    <w:link w:val="Heading40"/>
    <w:rsid w:val="00DB6104"/>
    <w:rPr>
      <w:rFonts w:ascii="Arial" w:eastAsia="MS Gothic" w:hAnsi="Arial" w:cs="Arial"/>
      <w:b/>
      <w:bCs/>
      <w:i/>
      <w:iCs/>
      <w:sz w:val="24"/>
      <w:szCs w:val="24"/>
      <w:lang w:val="en-GB" w:eastAsia="en-US"/>
    </w:rPr>
  </w:style>
  <w:style w:type="paragraph" w:customStyle="1" w:styleId="Heading50">
    <w:name w:val="Heading5"/>
    <w:basedOn w:val="Heading40"/>
    <w:link w:val="Heading5Char0"/>
    <w:qFormat/>
    <w:rsid w:val="002E75AC"/>
    <w:rPr>
      <w:b w:val="0"/>
    </w:rPr>
  </w:style>
  <w:style w:type="character" w:customStyle="1" w:styleId="Heading5Char0">
    <w:name w:val="Heading5 Char"/>
    <w:link w:val="Heading50"/>
    <w:rsid w:val="002E75AC"/>
    <w:rPr>
      <w:rFonts w:ascii="Arial" w:eastAsia="MS Gothic" w:hAnsi="Arial" w:cs="Arial"/>
      <w:b w:val="0"/>
      <w:bCs/>
      <w:i/>
      <w:iCs/>
      <w:sz w:val="24"/>
      <w:szCs w:val="24"/>
      <w:lang w:val="en-GB" w:eastAsia="en-US"/>
    </w:rPr>
  </w:style>
  <w:style w:type="paragraph" w:customStyle="1" w:styleId="Heading2pt2a">
    <w:name w:val="Heading 2 pt2a"/>
    <w:basedOn w:val="Normal"/>
    <w:qFormat/>
    <w:rsid w:val="00DA50F4"/>
    <w:pPr>
      <w:keepNext/>
      <w:outlineLvl w:val="1"/>
    </w:pPr>
    <w:rPr>
      <w:rFonts w:ascii="Calibri" w:hAnsi="Calibri" w:cs="Arial Bold"/>
      <w:b/>
      <w:bCs/>
      <w:kern w:val="28"/>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9995">
      <w:bodyDiv w:val="1"/>
      <w:marLeft w:val="0"/>
      <w:marRight w:val="0"/>
      <w:marTop w:val="0"/>
      <w:marBottom w:val="0"/>
      <w:divBdr>
        <w:top w:val="none" w:sz="0" w:space="0" w:color="auto"/>
        <w:left w:val="none" w:sz="0" w:space="0" w:color="auto"/>
        <w:bottom w:val="none" w:sz="0" w:space="0" w:color="auto"/>
        <w:right w:val="none" w:sz="0" w:space="0" w:color="auto"/>
      </w:divBdr>
      <w:divsChild>
        <w:div w:id="1585146631">
          <w:marLeft w:val="0"/>
          <w:marRight w:val="0"/>
          <w:marTop w:val="0"/>
          <w:marBottom w:val="0"/>
          <w:divBdr>
            <w:top w:val="none" w:sz="0" w:space="0" w:color="auto"/>
            <w:left w:val="none" w:sz="0" w:space="0" w:color="auto"/>
            <w:bottom w:val="none" w:sz="0" w:space="0" w:color="auto"/>
            <w:right w:val="none" w:sz="0" w:space="0" w:color="auto"/>
          </w:divBdr>
        </w:div>
        <w:div w:id="2141873282">
          <w:marLeft w:val="0"/>
          <w:marRight w:val="0"/>
          <w:marTop w:val="0"/>
          <w:marBottom w:val="0"/>
          <w:divBdr>
            <w:top w:val="none" w:sz="0" w:space="0" w:color="auto"/>
            <w:left w:val="none" w:sz="0" w:space="0" w:color="auto"/>
            <w:bottom w:val="none" w:sz="0" w:space="0" w:color="auto"/>
            <w:right w:val="none" w:sz="0" w:space="0" w:color="auto"/>
          </w:divBdr>
        </w:div>
      </w:divsChild>
    </w:div>
    <w:div w:id="90862467">
      <w:bodyDiv w:val="1"/>
      <w:marLeft w:val="0"/>
      <w:marRight w:val="0"/>
      <w:marTop w:val="0"/>
      <w:marBottom w:val="0"/>
      <w:divBdr>
        <w:top w:val="none" w:sz="0" w:space="0" w:color="auto"/>
        <w:left w:val="none" w:sz="0" w:space="0" w:color="auto"/>
        <w:bottom w:val="none" w:sz="0" w:space="0" w:color="auto"/>
        <w:right w:val="none" w:sz="0" w:space="0" w:color="auto"/>
      </w:divBdr>
    </w:div>
    <w:div w:id="95827917">
      <w:bodyDiv w:val="1"/>
      <w:marLeft w:val="0"/>
      <w:marRight w:val="0"/>
      <w:marTop w:val="0"/>
      <w:marBottom w:val="0"/>
      <w:divBdr>
        <w:top w:val="none" w:sz="0" w:space="0" w:color="auto"/>
        <w:left w:val="none" w:sz="0" w:space="0" w:color="auto"/>
        <w:bottom w:val="none" w:sz="0" w:space="0" w:color="auto"/>
        <w:right w:val="none" w:sz="0" w:space="0" w:color="auto"/>
      </w:divBdr>
    </w:div>
    <w:div w:id="123738873">
      <w:bodyDiv w:val="1"/>
      <w:marLeft w:val="0"/>
      <w:marRight w:val="0"/>
      <w:marTop w:val="0"/>
      <w:marBottom w:val="0"/>
      <w:divBdr>
        <w:top w:val="none" w:sz="0" w:space="0" w:color="auto"/>
        <w:left w:val="none" w:sz="0" w:space="0" w:color="auto"/>
        <w:bottom w:val="none" w:sz="0" w:space="0" w:color="auto"/>
        <w:right w:val="none" w:sz="0" w:space="0" w:color="auto"/>
      </w:divBdr>
    </w:div>
    <w:div w:id="175000088">
      <w:bodyDiv w:val="1"/>
      <w:marLeft w:val="0"/>
      <w:marRight w:val="0"/>
      <w:marTop w:val="0"/>
      <w:marBottom w:val="0"/>
      <w:divBdr>
        <w:top w:val="none" w:sz="0" w:space="0" w:color="auto"/>
        <w:left w:val="none" w:sz="0" w:space="0" w:color="auto"/>
        <w:bottom w:val="none" w:sz="0" w:space="0" w:color="auto"/>
        <w:right w:val="none" w:sz="0" w:space="0" w:color="auto"/>
      </w:divBdr>
    </w:div>
    <w:div w:id="466507882">
      <w:bodyDiv w:val="1"/>
      <w:marLeft w:val="0"/>
      <w:marRight w:val="0"/>
      <w:marTop w:val="0"/>
      <w:marBottom w:val="0"/>
      <w:divBdr>
        <w:top w:val="none" w:sz="0" w:space="0" w:color="auto"/>
        <w:left w:val="none" w:sz="0" w:space="0" w:color="auto"/>
        <w:bottom w:val="none" w:sz="0" w:space="0" w:color="auto"/>
        <w:right w:val="none" w:sz="0" w:space="0" w:color="auto"/>
      </w:divBdr>
    </w:div>
    <w:div w:id="505943171">
      <w:bodyDiv w:val="1"/>
      <w:marLeft w:val="0"/>
      <w:marRight w:val="0"/>
      <w:marTop w:val="0"/>
      <w:marBottom w:val="0"/>
      <w:divBdr>
        <w:top w:val="none" w:sz="0" w:space="0" w:color="auto"/>
        <w:left w:val="none" w:sz="0" w:space="0" w:color="auto"/>
        <w:bottom w:val="none" w:sz="0" w:space="0" w:color="auto"/>
        <w:right w:val="none" w:sz="0" w:space="0" w:color="auto"/>
      </w:divBdr>
    </w:div>
    <w:div w:id="883098542">
      <w:bodyDiv w:val="1"/>
      <w:marLeft w:val="0"/>
      <w:marRight w:val="0"/>
      <w:marTop w:val="0"/>
      <w:marBottom w:val="0"/>
      <w:divBdr>
        <w:top w:val="none" w:sz="0" w:space="0" w:color="auto"/>
        <w:left w:val="none" w:sz="0" w:space="0" w:color="auto"/>
        <w:bottom w:val="none" w:sz="0" w:space="0" w:color="auto"/>
        <w:right w:val="none" w:sz="0" w:space="0" w:color="auto"/>
      </w:divBdr>
    </w:div>
    <w:div w:id="1032077138">
      <w:bodyDiv w:val="1"/>
      <w:marLeft w:val="0"/>
      <w:marRight w:val="0"/>
      <w:marTop w:val="0"/>
      <w:marBottom w:val="0"/>
      <w:divBdr>
        <w:top w:val="none" w:sz="0" w:space="0" w:color="auto"/>
        <w:left w:val="none" w:sz="0" w:space="0" w:color="auto"/>
        <w:bottom w:val="none" w:sz="0" w:space="0" w:color="auto"/>
        <w:right w:val="none" w:sz="0" w:space="0" w:color="auto"/>
      </w:divBdr>
    </w:div>
    <w:div w:id="1100183574">
      <w:bodyDiv w:val="1"/>
      <w:marLeft w:val="0"/>
      <w:marRight w:val="0"/>
      <w:marTop w:val="0"/>
      <w:marBottom w:val="0"/>
      <w:divBdr>
        <w:top w:val="none" w:sz="0" w:space="0" w:color="auto"/>
        <w:left w:val="none" w:sz="0" w:space="0" w:color="auto"/>
        <w:bottom w:val="none" w:sz="0" w:space="0" w:color="auto"/>
        <w:right w:val="none" w:sz="0" w:space="0" w:color="auto"/>
      </w:divBdr>
    </w:div>
    <w:div w:id="1363438001">
      <w:bodyDiv w:val="1"/>
      <w:marLeft w:val="0"/>
      <w:marRight w:val="0"/>
      <w:marTop w:val="0"/>
      <w:marBottom w:val="0"/>
      <w:divBdr>
        <w:top w:val="none" w:sz="0" w:space="0" w:color="auto"/>
        <w:left w:val="none" w:sz="0" w:space="0" w:color="auto"/>
        <w:bottom w:val="none" w:sz="0" w:space="0" w:color="auto"/>
        <w:right w:val="none" w:sz="0" w:space="0" w:color="auto"/>
      </w:divBdr>
    </w:div>
    <w:div w:id="1433893527">
      <w:bodyDiv w:val="1"/>
      <w:marLeft w:val="0"/>
      <w:marRight w:val="0"/>
      <w:marTop w:val="0"/>
      <w:marBottom w:val="0"/>
      <w:divBdr>
        <w:top w:val="none" w:sz="0" w:space="0" w:color="auto"/>
        <w:left w:val="none" w:sz="0" w:space="0" w:color="auto"/>
        <w:bottom w:val="none" w:sz="0" w:space="0" w:color="auto"/>
        <w:right w:val="none" w:sz="0" w:space="0" w:color="auto"/>
      </w:divBdr>
    </w:div>
    <w:div w:id="1500971546">
      <w:bodyDiv w:val="1"/>
      <w:marLeft w:val="0"/>
      <w:marRight w:val="0"/>
      <w:marTop w:val="0"/>
      <w:marBottom w:val="0"/>
      <w:divBdr>
        <w:top w:val="none" w:sz="0" w:space="0" w:color="auto"/>
        <w:left w:val="none" w:sz="0" w:space="0" w:color="auto"/>
        <w:bottom w:val="none" w:sz="0" w:space="0" w:color="auto"/>
        <w:right w:val="none" w:sz="0" w:space="0" w:color="auto"/>
      </w:divBdr>
    </w:div>
    <w:div w:id="1560706826">
      <w:bodyDiv w:val="1"/>
      <w:marLeft w:val="0"/>
      <w:marRight w:val="0"/>
      <w:marTop w:val="0"/>
      <w:marBottom w:val="0"/>
      <w:divBdr>
        <w:top w:val="none" w:sz="0" w:space="0" w:color="auto"/>
        <w:left w:val="none" w:sz="0" w:space="0" w:color="auto"/>
        <w:bottom w:val="none" w:sz="0" w:space="0" w:color="auto"/>
        <w:right w:val="none" w:sz="0" w:space="0" w:color="auto"/>
      </w:divBdr>
    </w:div>
    <w:div w:id="1697653753">
      <w:bodyDiv w:val="1"/>
      <w:marLeft w:val="0"/>
      <w:marRight w:val="0"/>
      <w:marTop w:val="0"/>
      <w:marBottom w:val="0"/>
      <w:divBdr>
        <w:top w:val="none" w:sz="0" w:space="0" w:color="auto"/>
        <w:left w:val="none" w:sz="0" w:space="0" w:color="auto"/>
        <w:bottom w:val="none" w:sz="0" w:space="0" w:color="auto"/>
        <w:right w:val="none" w:sz="0" w:space="0" w:color="auto"/>
      </w:divBdr>
    </w:div>
    <w:div w:id="1992174430">
      <w:bodyDiv w:val="1"/>
      <w:marLeft w:val="0"/>
      <w:marRight w:val="0"/>
      <w:marTop w:val="0"/>
      <w:marBottom w:val="0"/>
      <w:divBdr>
        <w:top w:val="none" w:sz="0" w:space="0" w:color="auto"/>
        <w:left w:val="none" w:sz="0" w:space="0" w:color="auto"/>
        <w:bottom w:val="none" w:sz="0" w:space="0" w:color="auto"/>
        <w:right w:val="none" w:sz="0" w:space="0" w:color="auto"/>
      </w:divBdr>
    </w:div>
    <w:div w:id="2061517100">
      <w:bodyDiv w:val="1"/>
      <w:marLeft w:val="0"/>
      <w:marRight w:val="0"/>
      <w:marTop w:val="0"/>
      <w:marBottom w:val="0"/>
      <w:divBdr>
        <w:top w:val="none" w:sz="0" w:space="0" w:color="auto"/>
        <w:left w:val="none" w:sz="0" w:space="0" w:color="auto"/>
        <w:bottom w:val="none" w:sz="0" w:space="0" w:color="auto"/>
        <w:right w:val="none" w:sz="0" w:space="0" w:color="auto"/>
      </w:divBdr>
    </w:div>
    <w:div w:id="2065056076">
      <w:bodyDiv w:val="1"/>
      <w:marLeft w:val="0"/>
      <w:marRight w:val="0"/>
      <w:marTop w:val="0"/>
      <w:marBottom w:val="0"/>
      <w:divBdr>
        <w:top w:val="none" w:sz="0" w:space="0" w:color="auto"/>
        <w:left w:val="none" w:sz="0" w:space="0" w:color="auto"/>
        <w:bottom w:val="none" w:sz="0" w:space="0" w:color="auto"/>
        <w:right w:val="none" w:sz="0" w:space="0" w:color="auto"/>
      </w:divBdr>
    </w:div>
    <w:div w:id="21055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cuments%20and%20Settings\taylork\Trim\Offline%20Records%20(A1)\Annual%20Report%202012-2013%20~%20Communications%20-%20Media%20Relations\contracts.vi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ptv.vic.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43CE-44B1-445B-9AE4-1A2832B5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31926</Words>
  <Characters>181984</Characters>
  <Application>Microsoft Office Word</Application>
  <DocSecurity>12</DocSecurity>
  <Lines>1516</Lines>
  <Paragraphs>426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213484</CharactersWithSpaces>
  <SharedDoc>false</SharedDoc>
  <HLinks>
    <vt:vector size="336" baseType="variant">
      <vt:variant>
        <vt:i4>589854</vt:i4>
      </vt:variant>
      <vt:variant>
        <vt:i4>327</vt:i4>
      </vt:variant>
      <vt:variant>
        <vt:i4>0</vt:i4>
      </vt:variant>
      <vt:variant>
        <vt:i4>5</vt:i4>
      </vt:variant>
      <vt:variant>
        <vt:lpwstr>C:\Documents and Settings\taylork\Trim\Offline Records (A1)\Annual Report 2012-2013 ~ Communications - Media Relations\contracts.vic.gov.au</vt:lpwstr>
      </vt:variant>
      <vt:variant>
        <vt:lpwstr/>
      </vt:variant>
      <vt:variant>
        <vt:i4>1441843</vt:i4>
      </vt:variant>
      <vt:variant>
        <vt:i4>321</vt:i4>
      </vt:variant>
      <vt:variant>
        <vt:i4>0</vt:i4>
      </vt:variant>
      <vt:variant>
        <vt:i4>5</vt:i4>
      </vt:variant>
      <vt:variant>
        <vt:lpwstr/>
      </vt:variant>
      <vt:variant>
        <vt:lpwstr>_Toc366672130</vt:lpwstr>
      </vt:variant>
      <vt:variant>
        <vt:i4>1507379</vt:i4>
      </vt:variant>
      <vt:variant>
        <vt:i4>315</vt:i4>
      </vt:variant>
      <vt:variant>
        <vt:i4>0</vt:i4>
      </vt:variant>
      <vt:variant>
        <vt:i4>5</vt:i4>
      </vt:variant>
      <vt:variant>
        <vt:lpwstr/>
      </vt:variant>
      <vt:variant>
        <vt:lpwstr>_Toc366672129</vt:lpwstr>
      </vt:variant>
      <vt:variant>
        <vt:i4>1507379</vt:i4>
      </vt:variant>
      <vt:variant>
        <vt:i4>309</vt:i4>
      </vt:variant>
      <vt:variant>
        <vt:i4>0</vt:i4>
      </vt:variant>
      <vt:variant>
        <vt:i4>5</vt:i4>
      </vt:variant>
      <vt:variant>
        <vt:lpwstr/>
      </vt:variant>
      <vt:variant>
        <vt:lpwstr>_Toc366672128</vt:lpwstr>
      </vt:variant>
      <vt:variant>
        <vt:i4>1507379</vt:i4>
      </vt:variant>
      <vt:variant>
        <vt:i4>303</vt:i4>
      </vt:variant>
      <vt:variant>
        <vt:i4>0</vt:i4>
      </vt:variant>
      <vt:variant>
        <vt:i4>5</vt:i4>
      </vt:variant>
      <vt:variant>
        <vt:lpwstr/>
      </vt:variant>
      <vt:variant>
        <vt:lpwstr>_Toc366672127</vt:lpwstr>
      </vt:variant>
      <vt:variant>
        <vt:i4>1507379</vt:i4>
      </vt:variant>
      <vt:variant>
        <vt:i4>297</vt:i4>
      </vt:variant>
      <vt:variant>
        <vt:i4>0</vt:i4>
      </vt:variant>
      <vt:variant>
        <vt:i4>5</vt:i4>
      </vt:variant>
      <vt:variant>
        <vt:lpwstr/>
      </vt:variant>
      <vt:variant>
        <vt:lpwstr>_Toc366672126</vt:lpwstr>
      </vt:variant>
      <vt:variant>
        <vt:i4>1507379</vt:i4>
      </vt:variant>
      <vt:variant>
        <vt:i4>291</vt:i4>
      </vt:variant>
      <vt:variant>
        <vt:i4>0</vt:i4>
      </vt:variant>
      <vt:variant>
        <vt:i4>5</vt:i4>
      </vt:variant>
      <vt:variant>
        <vt:lpwstr/>
      </vt:variant>
      <vt:variant>
        <vt:lpwstr>_Toc366672125</vt:lpwstr>
      </vt:variant>
      <vt:variant>
        <vt:i4>1507379</vt:i4>
      </vt:variant>
      <vt:variant>
        <vt:i4>285</vt:i4>
      </vt:variant>
      <vt:variant>
        <vt:i4>0</vt:i4>
      </vt:variant>
      <vt:variant>
        <vt:i4>5</vt:i4>
      </vt:variant>
      <vt:variant>
        <vt:lpwstr/>
      </vt:variant>
      <vt:variant>
        <vt:lpwstr>_Toc366672124</vt:lpwstr>
      </vt:variant>
      <vt:variant>
        <vt:i4>1507379</vt:i4>
      </vt:variant>
      <vt:variant>
        <vt:i4>279</vt:i4>
      </vt:variant>
      <vt:variant>
        <vt:i4>0</vt:i4>
      </vt:variant>
      <vt:variant>
        <vt:i4>5</vt:i4>
      </vt:variant>
      <vt:variant>
        <vt:lpwstr/>
      </vt:variant>
      <vt:variant>
        <vt:lpwstr>_Toc366672123</vt:lpwstr>
      </vt:variant>
      <vt:variant>
        <vt:i4>1507379</vt:i4>
      </vt:variant>
      <vt:variant>
        <vt:i4>273</vt:i4>
      </vt:variant>
      <vt:variant>
        <vt:i4>0</vt:i4>
      </vt:variant>
      <vt:variant>
        <vt:i4>5</vt:i4>
      </vt:variant>
      <vt:variant>
        <vt:lpwstr/>
      </vt:variant>
      <vt:variant>
        <vt:lpwstr>_Toc366672122</vt:lpwstr>
      </vt:variant>
      <vt:variant>
        <vt:i4>1507379</vt:i4>
      </vt:variant>
      <vt:variant>
        <vt:i4>267</vt:i4>
      </vt:variant>
      <vt:variant>
        <vt:i4>0</vt:i4>
      </vt:variant>
      <vt:variant>
        <vt:i4>5</vt:i4>
      </vt:variant>
      <vt:variant>
        <vt:lpwstr/>
      </vt:variant>
      <vt:variant>
        <vt:lpwstr>_Toc366672121</vt:lpwstr>
      </vt:variant>
      <vt:variant>
        <vt:i4>1507379</vt:i4>
      </vt:variant>
      <vt:variant>
        <vt:i4>261</vt:i4>
      </vt:variant>
      <vt:variant>
        <vt:i4>0</vt:i4>
      </vt:variant>
      <vt:variant>
        <vt:i4>5</vt:i4>
      </vt:variant>
      <vt:variant>
        <vt:lpwstr/>
      </vt:variant>
      <vt:variant>
        <vt:lpwstr>_Toc366672120</vt:lpwstr>
      </vt:variant>
      <vt:variant>
        <vt:i4>1310771</vt:i4>
      </vt:variant>
      <vt:variant>
        <vt:i4>255</vt:i4>
      </vt:variant>
      <vt:variant>
        <vt:i4>0</vt:i4>
      </vt:variant>
      <vt:variant>
        <vt:i4>5</vt:i4>
      </vt:variant>
      <vt:variant>
        <vt:lpwstr/>
      </vt:variant>
      <vt:variant>
        <vt:lpwstr>_Toc366672119</vt:lpwstr>
      </vt:variant>
      <vt:variant>
        <vt:i4>1310771</vt:i4>
      </vt:variant>
      <vt:variant>
        <vt:i4>249</vt:i4>
      </vt:variant>
      <vt:variant>
        <vt:i4>0</vt:i4>
      </vt:variant>
      <vt:variant>
        <vt:i4>5</vt:i4>
      </vt:variant>
      <vt:variant>
        <vt:lpwstr/>
      </vt:variant>
      <vt:variant>
        <vt:lpwstr>_Toc366672118</vt:lpwstr>
      </vt:variant>
      <vt:variant>
        <vt:i4>1310771</vt:i4>
      </vt:variant>
      <vt:variant>
        <vt:i4>243</vt:i4>
      </vt:variant>
      <vt:variant>
        <vt:i4>0</vt:i4>
      </vt:variant>
      <vt:variant>
        <vt:i4>5</vt:i4>
      </vt:variant>
      <vt:variant>
        <vt:lpwstr/>
      </vt:variant>
      <vt:variant>
        <vt:lpwstr>_Toc366672117</vt:lpwstr>
      </vt:variant>
      <vt:variant>
        <vt:i4>1310771</vt:i4>
      </vt:variant>
      <vt:variant>
        <vt:i4>237</vt:i4>
      </vt:variant>
      <vt:variant>
        <vt:i4>0</vt:i4>
      </vt:variant>
      <vt:variant>
        <vt:i4>5</vt:i4>
      </vt:variant>
      <vt:variant>
        <vt:lpwstr/>
      </vt:variant>
      <vt:variant>
        <vt:lpwstr>_Toc366672116</vt:lpwstr>
      </vt:variant>
      <vt:variant>
        <vt:i4>1179706</vt:i4>
      </vt:variant>
      <vt:variant>
        <vt:i4>231</vt:i4>
      </vt:variant>
      <vt:variant>
        <vt:i4>0</vt:i4>
      </vt:variant>
      <vt:variant>
        <vt:i4>5</vt:i4>
      </vt:variant>
      <vt:variant>
        <vt:lpwstr/>
      </vt:variant>
      <vt:variant>
        <vt:lpwstr>_Toc366674815</vt:lpwstr>
      </vt:variant>
      <vt:variant>
        <vt:i4>1179706</vt:i4>
      </vt:variant>
      <vt:variant>
        <vt:i4>225</vt:i4>
      </vt:variant>
      <vt:variant>
        <vt:i4>0</vt:i4>
      </vt:variant>
      <vt:variant>
        <vt:i4>5</vt:i4>
      </vt:variant>
      <vt:variant>
        <vt:lpwstr/>
      </vt:variant>
      <vt:variant>
        <vt:lpwstr>_Toc366674814</vt:lpwstr>
      </vt:variant>
      <vt:variant>
        <vt:i4>1179706</vt:i4>
      </vt:variant>
      <vt:variant>
        <vt:i4>219</vt:i4>
      </vt:variant>
      <vt:variant>
        <vt:i4>0</vt:i4>
      </vt:variant>
      <vt:variant>
        <vt:i4>5</vt:i4>
      </vt:variant>
      <vt:variant>
        <vt:lpwstr/>
      </vt:variant>
      <vt:variant>
        <vt:lpwstr>_Toc366674813</vt:lpwstr>
      </vt:variant>
      <vt:variant>
        <vt:i4>1179706</vt:i4>
      </vt:variant>
      <vt:variant>
        <vt:i4>213</vt:i4>
      </vt:variant>
      <vt:variant>
        <vt:i4>0</vt:i4>
      </vt:variant>
      <vt:variant>
        <vt:i4>5</vt:i4>
      </vt:variant>
      <vt:variant>
        <vt:lpwstr/>
      </vt:variant>
      <vt:variant>
        <vt:lpwstr>_Toc366674812</vt:lpwstr>
      </vt:variant>
      <vt:variant>
        <vt:i4>1179706</vt:i4>
      </vt:variant>
      <vt:variant>
        <vt:i4>207</vt:i4>
      </vt:variant>
      <vt:variant>
        <vt:i4>0</vt:i4>
      </vt:variant>
      <vt:variant>
        <vt:i4>5</vt:i4>
      </vt:variant>
      <vt:variant>
        <vt:lpwstr/>
      </vt:variant>
      <vt:variant>
        <vt:lpwstr>_Toc366674811</vt:lpwstr>
      </vt:variant>
      <vt:variant>
        <vt:i4>1179706</vt:i4>
      </vt:variant>
      <vt:variant>
        <vt:i4>201</vt:i4>
      </vt:variant>
      <vt:variant>
        <vt:i4>0</vt:i4>
      </vt:variant>
      <vt:variant>
        <vt:i4>5</vt:i4>
      </vt:variant>
      <vt:variant>
        <vt:lpwstr/>
      </vt:variant>
      <vt:variant>
        <vt:lpwstr>_Toc366674810</vt:lpwstr>
      </vt:variant>
      <vt:variant>
        <vt:i4>1245242</vt:i4>
      </vt:variant>
      <vt:variant>
        <vt:i4>195</vt:i4>
      </vt:variant>
      <vt:variant>
        <vt:i4>0</vt:i4>
      </vt:variant>
      <vt:variant>
        <vt:i4>5</vt:i4>
      </vt:variant>
      <vt:variant>
        <vt:lpwstr/>
      </vt:variant>
      <vt:variant>
        <vt:lpwstr>_Toc366674809</vt:lpwstr>
      </vt:variant>
      <vt:variant>
        <vt:i4>1245242</vt:i4>
      </vt:variant>
      <vt:variant>
        <vt:i4>189</vt:i4>
      </vt:variant>
      <vt:variant>
        <vt:i4>0</vt:i4>
      </vt:variant>
      <vt:variant>
        <vt:i4>5</vt:i4>
      </vt:variant>
      <vt:variant>
        <vt:lpwstr/>
      </vt:variant>
      <vt:variant>
        <vt:lpwstr>_Toc366674808</vt:lpwstr>
      </vt:variant>
      <vt:variant>
        <vt:i4>1245242</vt:i4>
      </vt:variant>
      <vt:variant>
        <vt:i4>186</vt:i4>
      </vt:variant>
      <vt:variant>
        <vt:i4>0</vt:i4>
      </vt:variant>
      <vt:variant>
        <vt:i4>5</vt:i4>
      </vt:variant>
      <vt:variant>
        <vt:lpwstr/>
      </vt:variant>
      <vt:variant>
        <vt:lpwstr>_Toc366674807</vt:lpwstr>
      </vt:variant>
      <vt:variant>
        <vt:i4>1245242</vt:i4>
      </vt:variant>
      <vt:variant>
        <vt:i4>180</vt:i4>
      </vt:variant>
      <vt:variant>
        <vt:i4>0</vt:i4>
      </vt:variant>
      <vt:variant>
        <vt:i4>5</vt:i4>
      </vt:variant>
      <vt:variant>
        <vt:lpwstr/>
      </vt:variant>
      <vt:variant>
        <vt:lpwstr>_Toc366674806</vt:lpwstr>
      </vt:variant>
      <vt:variant>
        <vt:i4>1245242</vt:i4>
      </vt:variant>
      <vt:variant>
        <vt:i4>174</vt:i4>
      </vt:variant>
      <vt:variant>
        <vt:i4>0</vt:i4>
      </vt:variant>
      <vt:variant>
        <vt:i4>5</vt:i4>
      </vt:variant>
      <vt:variant>
        <vt:lpwstr/>
      </vt:variant>
      <vt:variant>
        <vt:lpwstr>_Toc366674805</vt:lpwstr>
      </vt:variant>
      <vt:variant>
        <vt:i4>1376307</vt:i4>
      </vt:variant>
      <vt:variant>
        <vt:i4>168</vt:i4>
      </vt:variant>
      <vt:variant>
        <vt:i4>0</vt:i4>
      </vt:variant>
      <vt:variant>
        <vt:i4>5</vt:i4>
      </vt:variant>
      <vt:variant>
        <vt:lpwstr/>
      </vt:variant>
      <vt:variant>
        <vt:lpwstr>_Toc366672104</vt:lpwstr>
      </vt:variant>
      <vt:variant>
        <vt:i4>1376307</vt:i4>
      </vt:variant>
      <vt:variant>
        <vt:i4>162</vt:i4>
      </vt:variant>
      <vt:variant>
        <vt:i4>0</vt:i4>
      </vt:variant>
      <vt:variant>
        <vt:i4>5</vt:i4>
      </vt:variant>
      <vt:variant>
        <vt:lpwstr/>
      </vt:variant>
      <vt:variant>
        <vt:lpwstr>_Toc366672103</vt:lpwstr>
      </vt:variant>
      <vt:variant>
        <vt:i4>1376307</vt:i4>
      </vt:variant>
      <vt:variant>
        <vt:i4>156</vt:i4>
      </vt:variant>
      <vt:variant>
        <vt:i4>0</vt:i4>
      </vt:variant>
      <vt:variant>
        <vt:i4>5</vt:i4>
      </vt:variant>
      <vt:variant>
        <vt:lpwstr/>
      </vt:variant>
      <vt:variant>
        <vt:lpwstr>_Toc366672102</vt:lpwstr>
      </vt:variant>
      <vt:variant>
        <vt:i4>1376307</vt:i4>
      </vt:variant>
      <vt:variant>
        <vt:i4>150</vt:i4>
      </vt:variant>
      <vt:variant>
        <vt:i4>0</vt:i4>
      </vt:variant>
      <vt:variant>
        <vt:i4>5</vt:i4>
      </vt:variant>
      <vt:variant>
        <vt:lpwstr/>
      </vt:variant>
      <vt:variant>
        <vt:lpwstr>_Toc366672101</vt:lpwstr>
      </vt:variant>
      <vt:variant>
        <vt:i4>1376307</vt:i4>
      </vt:variant>
      <vt:variant>
        <vt:i4>144</vt:i4>
      </vt:variant>
      <vt:variant>
        <vt:i4>0</vt:i4>
      </vt:variant>
      <vt:variant>
        <vt:i4>5</vt:i4>
      </vt:variant>
      <vt:variant>
        <vt:lpwstr/>
      </vt:variant>
      <vt:variant>
        <vt:lpwstr>_Toc366672100</vt:lpwstr>
      </vt:variant>
      <vt:variant>
        <vt:i4>1835058</vt:i4>
      </vt:variant>
      <vt:variant>
        <vt:i4>138</vt:i4>
      </vt:variant>
      <vt:variant>
        <vt:i4>0</vt:i4>
      </vt:variant>
      <vt:variant>
        <vt:i4>5</vt:i4>
      </vt:variant>
      <vt:variant>
        <vt:lpwstr/>
      </vt:variant>
      <vt:variant>
        <vt:lpwstr>_Toc366672099</vt:lpwstr>
      </vt:variant>
      <vt:variant>
        <vt:i4>1835058</vt:i4>
      </vt:variant>
      <vt:variant>
        <vt:i4>132</vt:i4>
      </vt:variant>
      <vt:variant>
        <vt:i4>0</vt:i4>
      </vt:variant>
      <vt:variant>
        <vt:i4>5</vt:i4>
      </vt:variant>
      <vt:variant>
        <vt:lpwstr/>
      </vt:variant>
      <vt:variant>
        <vt:lpwstr>_Toc366672098</vt:lpwstr>
      </vt:variant>
      <vt:variant>
        <vt:i4>1835058</vt:i4>
      </vt:variant>
      <vt:variant>
        <vt:i4>126</vt:i4>
      </vt:variant>
      <vt:variant>
        <vt:i4>0</vt:i4>
      </vt:variant>
      <vt:variant>
        <vt:i4>5</vt:i4>
      </vt:variant>
      <vt:variant>
        <vt:lpwstr/>
      </vt:variant>
      <vt:variant>
        <vt:lpwstr>_Toc366672097</vt:lpwstr>
      </vt:variant>
      <vt:variant>
        <vt:i4>1835058</vt:i4>
      </vt:variant>
      <vt:variant>
        <vt:i4>120</vt:i4>
      </vt:variant>
      <vt:variant>
        <vt:i4>0</vt:i4>
      </vt:variant>
      <vt:variant>
        <vt:i4>5</vt:i4>
      </vt:variant>
      <vt:variant>
        <vt:lpwstr/>
      </vt:variant>
      <vt:variant>
        <vt:lpwstr>_Toc366672096</vt:lpwstr>
      </vt:variant>
      <vt:variant>
        <vt:i4>1835058</vt:i4>
      </vt:variant>
      <vt:variant>
        <vt:i4>114</vt:i4>
      </vt:variant>
      <vt:variant>
        <vt:i4>0</vt:i4>
      </vt:variant>
      <vt:variant>
        <vt:i4>5</vt:i4>
      </vt:variant>
      <vt:variant>
        <vt:lpwstr/>
      </vt:variant>
      <vt:variant>
        <vt:lpwstr>_Toc366672095</vt:lpwstr>
      </vt:variant>
      <vt:variant>
        <vt:i4>1835058</vt:i4>
      </vt:variant>
      <vt:variant>
        <vt:i4>108</vt:i4>
      </vt:variant>
      <vt:variant>
        <vt:i4>0</vt:i4>
      </vt:variant>
      <vt:variant>
        <vt:i4>5</vt:i4>
      </vt:variant>
      <vt:variant>
        <vt:lpwstr/>
      </vt:variant>
      <vt:variant>
        <vt:lpwstr>_Toc366672094</vt:lpwstr>
      </vt:variant>
      <vt:variant>
        <vt:i4>1835058</vt:i4>
      </vt:variant>
      <vt:variant>
        <vt:i4>102</vt:i4>
      </vt:variant>
      <vt:variant>
        <vt:i4>0</vt:i4>
      </vt:variant>
      <vt:variant>
        <vt:i4>5</vt:i4>
      </vt:variant>
      <vt:variant>
        <vt:lpwstr/>
      </vt:variant>
      <vt:variant>
        <vt:lpwstr>_Toc366672093</vt:lpwstr>
      </vt:variant>
      <vt:variant>
        <vt:i4>1835058</vt:i4>
      </vt:variant>
      <vt:variant>
        <vt:i4>96</vt:i4>
      </vt:variant>
      <vt:variant>
        <vt:i4>0</vt:i4>
      </vt:variant>
      <vt:variant>
        <vt:i4>5</vt:i4>
      </vt:variant>
      <vt:variant>
        <vt:lpwstr/>
      </vt:variant>
      <vt:variant>
        <vt:lpwstr>_Toc366672092</vt:lpwstr>
      </vt:variant>
      <vt:variant>
        <vt:i4>6750329</vt:i4>
      </vt:variant>
      <vt:variant>
        <vt:i4>93</vt:i4>
      </vt:variant>
      <vt:variant>
        <vt:i4>0</vt:i4>
      </vt:variant>
      <vt:variant>
        <vt:i4>5</vt:i4>
      </vt:variant>
      <vt:variant>
        <vt:lpwstr>http://www.ptv.vic.gov.au/</vt:lpwstr>
      </vt:variant>
      <vt:variant>
        <vt:lpwstr/>
      </vt:variant>
      <vt:variant>
        <vt:i4>1835058</vt:i4>
      </vt:variant>
      <vt:variant>
        <vt:i4>87</vt:i4>
      </vt:variant>
      <vt:variant>
        <vt:i4>0</vt:i4>
      </vt:variant>
      <vt:variant>
        <vt:i4>5</vt:i4>
      </vt:variant>
      <vt:variant>
        <vt:lpwstr/>
      </vt:variant>
      <vt:variant>
        <vt:lpwstr>_Toc366672091</vt:lpwstr>
      </vt:variant>
      <vt:variant>
        <vt:i4>1835058</vt:i4>
      </vt:variant>
      <vt:variant>
        <vt:i4>81</vt:i4>
      </vt:variant>
      <vt:variant>
        <vt:i4>0</vt:i4>
      </vt:variant>
      <vt:variant>
        <vt:i4>5</vt:i4>
      </vt:variant>
      <vt:variant>
        <vt:lpwstr/>
      </vt:variant>
      <vt:variant>
        <vt:lpwstr>_Toc366672090</vt:lpwstr>
      </vt:variant>
      <vt:variant>
        <vt:i4>1900594</vt:i4>
      </vt:variant>
      <vt:variant>
        <vt:i4>75</vt:i4>
      </vt:variant>
      <vt:variant>
        <vt:i4>0</vt:i4>
      </vt:variant>
      <vt:variant>
        <vt:i4>5</vt:i4>
      </vt:variant>
      <vt:variant>
        <vt:lpwstr/>
      </vt:variant>
      <vt:variant>
        <vt:lpwstr>_Toc366672089</vt:lpwstr>
      </vt:variant>
      <vt:variant>
        <vt:i4>1900594</vt:i4>
      </vt:variant>
      <vt:variant>
        <vt:i4>69</vt:i4>
      </vt:variant>
      <vt:variant>
        <vt:i4>0</vt:i4>
      </vt:variant>
      <vt:variant>
        <vt:i4>5</vt:i4>
      </vt:variant>
      <vt:variant>
        <vt:lpwstr/>
      </vt:variant>
      <vt:variant>
        <vt:lpwstr>_Toc366672088</vt:lpwstr>
      </vt:variant>
      <vt:variant>
        <vt:i4>1900594</vt:i4>
      </vt:variant>
      <vt:variant>
        <vt:i4>63</vt:i4>
      </vt:variant>
      <vt:variant>
        <vt:i4>0</vt:i4>
      </vt:variant>
      <vt:variant>
        <vt:i4>5</vt:i4>
      </vt:variant>
      <vt:variant>
        <vt:lpwstr/>
      </vt:variant>
      <vt:variant>
        <vt:lpwstr>_Toc366672087</vt:lpwstr>
      </vt:variant>
      <vt:variant>
        <vt:i4>1900594</vt:i4>
      </vt:variant>
      <vt:variant>
        <vt:i4>57</vt:i4>
      </vt:variant>
      <vt:variant>
        <vt:i4>0</vt:i4>
      </vt:variant>
      <vt:variant>
        <vt:i4>5</vt:i4>
      </vt:variant>
      <vt:variant>
        <vt:lpwstr/>
      </vt:variant>
      <vt:variant>
        <vt:lpwstr>_Toc366672086</vt:lpwstr>
      </vt:variant>
      <vt:variant>
        <vt:i4>1900594</vt:i4>
      </vt:variant>
      <vt:variant>
        <vt:i4>51</vt:i4>
      </vt:variant>
      <vt:variant>
        <vt:i4>0</vt:i4>
      </vt:variant>
      <vt:variant>
        <vt:i4>5</vt:i4>
      </vt:variant>
      <vt:variant>
        <vt:lpwstr/>
      </vt:variant>
      <vt:variant>
        <vt:lpwstr>_Toc366672085</vt:lpwstr>
      </vt:variant>
      <vt:variant>
        <vt:i4>1900594</vt:i4>
      </vt:variant>
      <vt:variant>
        <vt:i4>44</vt:i4>
      </vt:variant>
      <vt:variant>
        <vt:i4>0</vt:i4>
      </vt:variant>
      <vt:variant>
        <vt:i4>5</vt:i4>
      </vt:variant>
      <vt:variant>
        <vt:lpwstr/>
      </vt:variant>
      <vt:variant>
        <vt:lpwstr>_Toc366672084</vt:lpwstr>
      </vt:variant>
      <vt:variant>
        <vt:i4>1900594</vt:i4>
      </vt:variant>
      <vt:variant>
        <vt:i4>38</vt:i4>
      </vt:variant>
      <vt:variant>
        <vt:i4>0</vt:i4>
      </vt:variant>
      <vt:variant>
        <vt:i4>5</vt:i4>
      </vt:variant>
      <vt:variant>
        <vt:lpwstr/>
      </vt:variant>
      <vt:variant>
        <vt:lpwstr>_Toc366672083</vt:lpwstr>
      </vt:variant>
      <vt:variant>
        <vt:i4>1900594</vt:i4>
      </vt:variant>
      <vt:variant>
        <vt:i4>32</vt:i4>
      </vt:variant>
      <vt:variant>
        <vt:i4>0</vt:i4>
      </vt:variant>
      <vt:variant>
        <vt:i4>5</vt:i4>
      </vt:variant>
      <vt:variant>
        <vt:lpwstr/>
      </vt:variant>
      <vt:variant>
        <vt:lpwstr>_Toc366672082</vt:lpwstr>
      </vt:variant>
      <vt:variant>
        <vt:i4>1900594</vt:i4>
      </vt:variant>
      <vt:variant>
        <vt:i4>26</vt:i4>
      </vt:variant>
      <vt:variant>
        <vt:i4>0</vt:i4>
      </vt:variant>
      <vt:variant>
        <vt:i4>5</vt:i4>
      </vt:variant>
      <vt:variant>
        <vt:lpwstr/>
      </vt:variant>
      <vt:variant>
        <vt:lpwstr>_Toc366672081</vt:lpwstr>
      </vt:variant>
      <vt:variant>
        <vt:i4>1900594</vt:i4>
      </vt:variant>
      <vt:variant>
        <vt:i4>20</vt:i4>
      </vt:variant>
      <vt:variant>
        <vt:i4>0</vt:i4>
      </vt:variant>
      <vt:variant>
        <vt:i4>5</vt:i4>
      </vt:variant>
      <vt:variant>
        <vt:lpwstr/>
      </vt:variant>
      <vt:variant>
        <vt:lpwstr>_Toc366672080</vt:lpwstr>
      </vt:variant>
      <vt:variant>
        <vt:i4>1179698</vt:i4>
      </vt:variant>
      <vt:variant>
        <vt:i4>14</vt:i4>
      </vt:variant>
      <vt:variant>
        <vt:i4>0</vt:i4>
      </vt:variant>
      <vt:variant>
        <vt:i4>5</vt:i4>
      </vt:variant>
      <vt:variant>
        <vt:lpwstr/>
      </vt:variant>
      <vt:variant>
        <vt:lpwstr>_Toc366672079</vt:lpwstr>
      </vt:variant>
      <vt:variant>
        <vt:i4>1179698</vt:i4>
      </vt:variant>
      <vt:variant>
        <vt:i4>8</vt:i4>
      </vt:variant>
      <vt:variant>
        <vt:i4>0</vt:i4>
      </vt:variant>
      <vt:variant>
        <vt:i4>5</vt:i4>
      </vt:variant>
      <vt:variant>
        <vt:lpwstr/>
      </vt:variant>
      <vt:variant>
        <vt:lpwstr>_Toc366672078</vt:lpwstr>
      </vt:variant>
      <vt:variant>
        <vt:i4>1179698</vt:i4>
      </vt:variant>
      <vt:variant>
        <vt:i4>2</vt:i4>
      </vt:variant>
      <vt:variant>
        <vt:i4>0</vt:i4>
      </vt:variant>
      <vt:variant>
        <vt:i4>5</vt:i4>
      </vt:variant>
      <vt:variant>
        <vt:lpwstr/>
      </vt:variant>
      <vt:variant>
        <vt:lpwstr>_Toc366672077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taylork</dc:creator>
  <cp:keywords/>
  <dc:description/>
  <cp:lastModifiedBy>Roslyn Kilgour (PTV)</cp:lastModifiedBy>
  <cp:revision>2</cp:revision>
  <cp:lastPrinted>2013-09-11T05:37:00Z</cp:lastPrinted>
  <dcterms:created xsi:type="dcterms:W3CDTF">2018-09-25T00:57:00Z</dcterms:created>
  <dcterms:modified xsi:type="dcterms:W3CDTF">2018-09-25T00:57:00Z</dcterms:modified>
</cp:coreProperties>
</file>