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0D5F7" w14:textId="3ED05350" w:rsidR="009E31B2" w:rsidRPr="00431F42" w:rsidRDefault="00A01FB1" w:rsidP="009E31B2">
      <w:pPr>
        <w:pStyle w:val="Documenttitle"/>
      </w:pPr>
      <w:r w:rsidRPr="001F22F9">
        <w:rPr>
          <w:noProof/>
        </w:rPr>
        <w:drawing>
          <wp:anchor distT="0" distB="0" distL="114300" distR="114300" simplePos="0" relativeHeight="251658240" behindDoc="1" locked="1" layoutInCell="1" allowOverlap="1" wp14:anchorId="21966DC4" wp14:editId="0061555B">
            <wp:simplePos x="0" y="0"/>
            <wp:positionH relativeFrom="page">
              <wp:posOffset>9525</wp:posOffset>
            </wp:positionH>
            <wp:positionV relativeFrom="page">
              <wp:align>bottom</wp:align>
            </wp:positionV>
            <wp:extent cx="7562850" cy="10696575"/>
            <wp:effectExtent l="0" t="0" r="0" b="952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696575"/>
                    </a:xfrm>
                    <a:prstGeom prst="rect">
                      <a:avLst/>
                    </a:prstGeom>
                  </pic:spPr>
                </pic:pic>
              </a:graphicData>
            </a:graphic>
            <wp14:sizeRelH relativeFrom="margin">
              <wp14:pctWidth>0</wp14:pctWidth>
            </wp14:sizeRelH>
            <wp14:sizeRelV relativeFrom="margin">
              <wp14:pctHeight>0</wp14:pctHeight>
            </wp14:sizeRelV>
          </wp:anchor>
        </w:drawing>
      </w:r>
      <w:r w:rsidR="009E31B2" w:rsidRPr="00B25421">
        <w:t>Pride in our future</w:t>
      </w:r>
      <w:r w:rsidR="009E31B2">
        <w:t>:</w:t>
      </w:r>
      <w:r w:rsidR="009E31B2" w:rsidRPr="00A25326">
        <w:t xml:space="preserve"> </w:t>
      </w:r>
      <w:r w:rsidR="009E31B2">
        <w:t>o</w:t>
      </w:r>
      <w:r w:rsidR="009E31B2" w:rsidRPr="00A25326">
        <w:t xml:space="preserve">utcomes </w:t>
      </w:r>
      <w:r w:rsidR="009E31B2">
        <w:t>f</w:t>
      </w:r>
      <w:r w:rsidR="009E31B2" w:rsidRPr="00A25326">
        <w:t>ramework</w:t>
      </w:r>
    </w:p>
    <w:p w14:paraId="19C2DFDA" w14:textId="77777777" w:rsidR="00711D6B" w:rsidRDefault="00711D6B" w:rsidP="00430393">
      <w:pPr>
        <w:pStyle w:val="Bannermarking"/>
      </w:pPr>
      <w:fldSimple w:instr="FILLIN  &quot;Type the protective marking&quot; \d OFFICIAL \o  \* MERGEFORMAT">
        <w:r>
          <w:t>OFFICIAL</w:t>
        </w:r>
      </w:fldSimple>
    </w:p>
    <w:p w14:paraId="3B4B7FED" w14:textId="5A778641" w:rsidR="00FE4081" w:rsidRPr="00FE4081" w:rsidRDefault="00FE4081" w:rsidP="00FE4081">
      <w:pPr>
        <w:pStyle w:val="Body"/>
        <w:sectPr w:rsidR="00FE4081" w:rsidRPr="00FE4081" w:rsidSect="00B45ECB">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6C5D54" w14:paraId="62980BC0" w14:textId="77777777" w:rsidTr="00E1029D">
        <w:trPr>
          <w:cantSplit/>
          <w:trHeight w:val="7088"/>
        </w:trPr>
        <w:tc>
          <w:tcPr>
            <w:tcW w:w="9288" w:type="dxa"/>
          </w:tcPr>
          <w:p w14:paraId="65ED7B17" w14:textId="77777777" w:rsidR="006C5D54" w:rsidRPr="001B2F18" w:rsidRDefault="006C5D54" w:rsidP="001B2F18">
            <w:pPr>
              <w:pStyle w:val="Body"/>
              <w:rPr>
                <w:b/>
                <w:bCs/>
                <w:color w:val="87189D"/>
                <w:sz w:val="24"/>
              </w:rPr>
            </w:pPr>
          </w:p>
        </w:tc>
      </w:tr>
      <w:tr w:rsidR="006C5D54" w14:paraId="7827F649" w14:textId="77777777" w:rsidTr="00E1029D">
        <w:trPr>
          <w:cantSplit/>
          <w:trHeight w:val="5103"/>
        </w:trPr>
        <w:tc>
          <w:tcPr>
            <w:tcW w:w="9288" w:type="dxa"/>
            <w:vAlign w:val="bottom"/>
          </w:tcPr>
          <w:p w14:paraId="7E07C240" w14:textId="77777777" w:rsidR="006C5D54" w:rsidRDefault="006C5D54" w:rsidP="00E1029D">
            <w:pPr>
              <w:pStyle w:val="Accessibilitypara"/>
            </w:pPr>
            <w:r w:rsidRPr="0055119B">
              <w:t xml:space="preserve">To receive this document </w:t>
            </w:r>
            <w:r>
              <w:t xml:space="preserve">in another format, email Equality at </w:t>
            </w:r>
            <w:hyperlink r:id="rId15" w:history="1">
              <w:r w:rsidRPr="006249A5">
                <w:rPr>
                  <w:rStyle w:val="Hyperlink"/>
                </w:rPr>
                <w:t>equality@dffh.vic.gov.au</w:t>
              </w:r>
            </w:hyperlink>
            <w:r>
              <w:t>.</w:t>
            </w:r>
            <w:r>
              <w:cr/>
            </w:r>
          </w:p>
          <w:p w14:paraId="0AB41AF9" w14:textId="77777777" w:rsidR="006C5D54" w:rsidRPr="00276479" w:rsidRDefault="006C5D54" w:rsidP="00E1029D">
            <w:pPr>
              <w:pStyle w:val="Imprint"/>
            </w:pPr>
            <w:r w:rsidRPr="00276479">
              <w:t>Authorised and published by the Victorian Government, 1 Treasury Place, Melbourne.</w:t>
            </w:r>
          </w:p>
          <w:p w14:paraId="3A7B708A" w14:textId="77777777" w:rsidR="006C5D54" w:rsidRPr="00276479" w:rsidRDefault="006C5D54" w:rsidP="00E1029D">
            <w:pPr>
              <w:pStyle w:val="Imprint"/>
            </w:pPr>
            <w:r w:rsidRPr="00276479">
              <w:t>© State of Victoria, Australia, Department of Families, Fairness and Housin</w:t>
            </w:r>
            <w:r w:rsidRPr="006A73CA">
              <w:t>g, November 2024.</w:t>
            </w:r>
          </w:p>
          <w:p w14:paraId="2C992CCF" w14:textId="77777777" w:rsidR="006C5D54" w:rsidRPr="00276479" w:rsidRDefault="006C5D54" w:rsidP="00E1029D">
            <w:pPr>
              <w:pStyle w:val="Imprint"/>
            </w:pPr>
            <w:r w:rsidRPr="00276479">
              <w:rPr>
                <w:noProof/>
                <w:sz w:val="16"/>
                <w:szCs w:val="16"/>
                <w:lang w:eastAsia="zh-CN"/>
              </w:rPr>
              <w:drawing>
                <wp:inline distT="0" distB="0" distL="0" distR="0" wp14:anchorId="01978CCC" wp14:editId="2E0114D9">
                  <wp:extent cx="1222375" cy="422275"/>
                  <wp:effectExtent l="0" t="0" r="0" b="0"/>
                  <wp:docPr id="689532468" name="Picture 4"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0B58D067" w14:textId="6211191D" w:rsidR="006C5D54" w:rsidRPr="00276479" w:rsidRDefault="006C5D54" w:rsidP="00E1029D">
            <w:pPr>
              <w:pStyle w:val="Imprint"/>
            </w:pPr>
            <w:r w:rsidRPr="00276479">
              <w:t xml:space="preserve">With the exception of any images, photographs or branding (including, but not limited to the Victorian Coat of Arms, the Victorian Government logo or the Department of Families, Fairness and Housing logo), this </w:t>
            </w:r>
            <w:r w:rsidRPr="006A73CA">
              <w:t xml:space="preserve">work, </w:t>
            </w:r>
            <w:r w:rsidRPr="006A73CA">
              <w:rPr>
                <w:i/>
                <w:iCs/>
              </w:rPr>
              <w:t xml:space="preserve">Pride in our future: </w:t>
            </w:r>
            <w:r w:rsidR="002A2E49">
              <w:rPr>
                <w:i/>
                <w:iCs/>
              </w:rPr>
              <w:t>outcomes framework</w:t>
            </w:r>
            <w:r w:rsidRPr="006A73CA">
              <w:t>, is licensed under a Creative Commons Attribution 4.0 licence.</w:t>
            </w:r>
          </w:p>
          <w:p w14:paraId="693FB2AB" w14:textId="77777777" w:rsidR="006C5D54" w:rsidRPr="00276479" w:rsidRDefault="006C5D54" w:rsidP="00E1029D">
            <w:pPr>
              <w:pStyle w:val="Imprint"/>
            </w:pPr>
            <w:r w:rsidRPr="00276479">
              <w:t xml:space="preserve">The terms and conditions of this licence, including disclaimer of warranties and limitation of liability are available at </w:t>
            </w:r>
            <w:hyperlink r:id="rId18" w:history="1">
              <w:r w:rsidRPr="00276479">
                <w:rPr>
                  <w:rStyle w:val="Hyperlink"/>
                </w:rPr>
                <w:t xml:space="preserve">Creative Commons Attribution 4.0 International Public License </w:t>
              </w:r>
            </w:hyperlink>
            <w:r w:rsidRPr="00276479">
              <w:t>https://creativecommons.org/licenses/by/4.0/.</w:t>
            </w:r>
          </w:p>
          <w:p w14:paraId="4BB62D40" w14:textId="77777777" w:rsidR="006C5D54" w:rsidRPr="006A73CA" w:rsidRDefault="006C5D54" w:rsidP="00E1029D">
            <w:pPr>
              <w:pStyle w:val="Imprint"/>
            </w:pPr>
            <w:r w:rsidRPr="006A73CA">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26F2D601" w14:textId="77777777" w:rsidR="006C5D54" w:rsidRDefault="006C5D54" w:rsidP="00E1029D">
            <w:pPr>
              <w:pStyle w:val="Imprint"/>
            </w:pPr>
            <w:r w:rsidRPr="006A73CA">
              <w:t>Except where otherwise indicated, the images in this document show models and illustrative settings only, and do not necessarily depict actual services, facilities or recipients of services.</w:t>
            </w:r>
          </w:p>
          <w:p w14:paraId="39BFF796" w14:textId="77777777" w:rsidR="004E4809" w:rsidRDefault="004E4809" w:rsidP="00E1029D">
            <w:pPr>
              <w:pStyle w:val="Imprint"/>
            </w:pPr>
            <w:r w:rsidRPr="004E4809">
              <w:t xml:space="preserve">ISBN 978-1-76130-705-8 (pdf/online/MS word) </w:t>
            </w:r>
          </w:p>
          <w:p w14:paraId="618CF88C" w14:textId="204E8583" w:rsidR="006C5D54" w:rsidRDefault="006C5D54" w:rsidP="00E1029D">
            <w:pPr>
              <w:pStyle w:val="Imprint"/>
            </w:pPr>
            <w:r w:rsidRPr="0055119B">
              <w:t xml:space="preserve">Available at </w:t>
            </w:r>
            <w:hyperlink r:id="rId19" w:history="1">
              <w:r w:rsidR="00682EB0" w:rsidRPr="00AB6289">
                <w:rPr>
                  <w:rStyle w:val="Hyperlink"/>
                </w:rPr>
                <w:t>Pride in our future: outcomes</w:t>
              </w:r>
            </w:hyperlink>
            <w:r w:rsidR="00682EB0">
              <w:rPr>
                <w:rStyle w:val="Hyperlink"/>
              </w:rPr>
              <w:t xml:space="preserve"> framework</w:t>
            </w:r>
            <w:r>
              <w:t xml:space="preserve"> https://www.vic.gov.au/pride-our-future-</w:t>
            </w:r>
            <w:r w:rsidR="00682EB0">
              <w:t>outcomes-framework</w:t>
            </w:r>
          </w:p>
        </w:tc>
      </w:tr>
      <w:tr w:rsidR="006C5D54" w14:paraId="62AF7E92" w14:textId="77777777" w:rsidTr="00E1029D">
        <w:trPr>
          <w:cantSplit/>
        </w:trPr>
        <w:tc>
          <w:tcPr>
            <w:tcW w:w="9288" w:type="dxa"/>
          </w:tcPr>
          <w:p w14:paraId="30205026" w14:textId="77777777" w:rsidR="006C5D54" w:rsidRPr="0055119B" w:rsidRDefault="006C5D54" w:rsidP="00E1029D">
            <w:pPr>
              <w:pStyle w:val="Body"/>
            </w:pPr>
          </w:p>
        </w:tc>
      </w:tr>
    </w:tbl>
    <w:p w14:paraId="68126A86" w14:textId="77777777" w:rsidR="00664234" w:rsidRDefault="00664234">
      <w:pPr>
        <w:spacing w:after="0" w:line="240" w:lineRule="auto"/>
        <w:rPr>
          <w:rFonts w:eastAsia="Times"/>
        </w:rPr>
      </w:pPr>
      <w:r>
        <w:br w:type="page"/>
      </w:r>
    </w:p>
    <w:p w14:paraId="576126DA" w14:textId="77777777" w:rsidR="00D64B07" w:rsidRPr="00E10FE7" w:rsidRDefault="00D64B07" w:rsidP="00D64B07">
      <w:pPr>
        <w:pStyle w:val="Heading1"/>
      </w:pPr>
      <w:bookmarkStart w:id="0" w:name="_Toc93919373"/>
      <w:bookmarkStart w:id="1" w:name="_Toc95399270"/>
      <w:bookmarkStart w:id="2" w:name="_Toc183769417"/>
      <w:r w:rsidRPr="00E10FE7">
        <w:t>Acknowledgement</w:t>
      </w:r>
      <w:bookmarkEnd w:id="0"/>
      <w:bookmarkEnd w:id="1"/>
      <w:bookmarkEnd w:id="2"/>
    </w:p>
    <w:p w14:paraId="451C665E" w14:textId="1CC2DC0F" w:rsidR="00D64B07" w:rsidRPr="00E10FE7" w:rsidRDefault="00D64B07" w:rsidP="00D64B07">
      <w:pPr>
        <w:pStyle w:val="Body"/>
      </w:pPr>
      <w:r w:rsidRPr="00E10FE7">
        <w:t>The Victorian Government acknowledges Victorian Traditional Owners of Country and pays respect to their cultures and Elders past</w:t>
      </w:r>
      <w:r w:rsidR="00C319AD">
        <w:t xml:space="preserve"> and</w:t>
      </w:r>
      <w:r w:rsidRPr="00E10FE7">
        <w:t xml:space="preserve"> present.</w:t>
      </w:r>
    </w:p>
    <w:p w14:paraId="6D8FF093" w14:textId="77777777" w:rsidR="00D64B07" w:rsidRPr="00E10FE7" w:rsidRDefault="00D64B07" w:rsidP="00D64B07">
      <w:pPr>
        <w:pStyle w:val="Body"/>
      </w:pPr>
      <w:r w:rsidRPr="00E10FE7">
        <w:t xml:space="preserve">We recognise that </w:t>
      </w:r>
      <w:r>
        <w:t>LGBTIQA+</w:t>
      </w:r>
      <w:r w:rsidRPr="00E10FE7">
        <w:t xml:space="preserve"> people are living on lands that </w:t>
      </w:r>
      <w:r>
        <w:t>LGBTIQA+</w:t>
      </w:r>
      <w:r w:rsidRPr="00E10FE7">
        <w:t xml:space="preserve"> Aboriginal people have lived on for millennia. Aboriginal knowledge has the potential to enrich efforts towards </w:t>
      </w:r>
      <w:r>
        <w:t>LGBTIQA+</w:t>
      </w:r>
      <w:r w:rsidRPr="00E10FE7">
        <w:t xml:space="preserve"> equality.</w:t>
      </w:r>
    </w:p>
    <w:p w14:paraId="460D1BBB" w14:textId="77777777" w:rsidR="00D64B07" w:rsidRPr="00E10FE7" w:rsidRDefault="00D64B07" w:rsidP="00D64B07">
      <w:pPr>
        <w:pStyle w:val="Body"/>
      </w:pPr>
      <w:r w:rsidRPr="00E10FE7">
        <w:t>We acknowledge that the impact of colonisation still exists today, and we are seeking ways to correct past wrongs, including through Treaty. We are working together to create a better future for all Victorians to enable true self-determination for Aboriginal people.</w:t>
      </w:r>
    </w:p>
    <w:p w14:paraId="7FEDB729" w14:textId="77777777" w:rsidR="00D64B07" w:rsidRPr="00E10FE7" w:rsidRDefault="00D64B07" w:rsidP="00D64B07">
      <w:pPr>
        <w:pStyle w:val="Body"/>
      </w:pPr>
      <w:r w:rsidRPr="00E10FE7">
        <w:t xml:space="preserve">Through Treaty, the Victorian Government will continue to build understanding and respect of the intersection between Aboriginal and queer cultures to </w:t>
      </w:r>
      <w:r w:rsidRPr="00E20673">
        <w:t>benefit</w:t>
      </w:r>
      <w:r w:rsidRPr="00E10FE7">
        <w:t xml:space="preserve"> all Victorians. </w:t>
      </w:r>
    </w:p>
    <w:p w14:paraId="5D98A51E" w14:textId="77777777" w:rsidR="00D64B07" w:rsidRPr="00E10FE7" w:rsidRDefault="00D64B07" w:rsidP="00D64B07">
      <w:pPr>
        <w:pStyle w:val="Body"/>
      </w:pPr>
      <w:r w:rsidRPr="00E10FE7">
        <w:t xml:space="preserve">We acknowledge the diversity of Aboriginal Victorians, their communities and cultures, and the intrinsic connection of Traditional Owners to Country. </w:t>
      </w:r>
    </w:p>
    <w:p w14:paraId="4403483D" w14:textId="77777777" w:rsidR="00D64B07" w:rsidRPr="00E10FE7" w:rsidRDefault="00D64B07" w:rsidP="00D64B07">
      <w:pPr>
        <w:pStyle w:val="Heading2"/>
      </w:pPr>
      <w:bookmarkStart w:id="3" w:name="_Toc93919374"/>
      <w:bookmarkStart w:id="4" w:name="_Toc95399271"/>
      <w:bookmarkStart w:id="5" w:name="_Toc183769418"/>
      <w:r w:rsidRPr="00E10FE7">
        <w:t xml:space="preserve">Language </w:t>
      </w:r>
      <w:r w:rsidRPr="00812238">
        <w:t>statement</w:t>
      </w:r>
      <w:bookmarkEnd w:id="3"/>
      <w:bookmarkEnd w:id="4"/>
      <w:bookmarkEnd w:id="5"/>
    </w:p>
    <w:p w14:paraId="4CF72BEB" w14:textId="77777777" w:rsidR="00D64B07" w:rsidRPr="00E10FE7" w:rsidRDefault="00D64B07" w:rsidP="00D64B07">
      <w:pPr>
        <w:pStyle w:val="Body"/>
      </w:pPr>
      <w:r w:rsidRPr="00E10FE7">
        <w:t>We recognise the diversity of Aboriginal people living throughout Victoria. While the terms ‘Koorie’ or ‘Koori’ are used to describe Aboriginal people of southeast Australia, we have used the term ‘Aboriginal’ to include all people of Aboriginal and Torres Strait Islander descent who are living in Victoria.</w:t>
      </w:r>
    </w:p>
    <w:p w14:paraId="415CB575" w14:textId="77777777" w:rsidR="00D64B07" w:rsidRPr="00E10FE7" w:rsidRDefault="00D64B07" w:rsidP="00D64B07">
      <w:pPr>
        <w:pStyle w:val="Body"/>
      </w:pPr>
      <w:r w:rsidRPr="00E10FE7">
        <w:t>The term ‘</w:t>
      </w:r>
      <w:r>
        <w:t>LGBTIQA+</w:t>
      </w:r>
      <w:r w:rsidRPr="00E10FE7">
        <w:t>’ refers to people who are lesbian, gay, bisexual, trans and gender diverse, intersex</w:t>
      </w:r>
      <w:r>
        <w:t xml:space="preserve">, </w:t>
      </w:r>
      <w:r w:rsidRPr="00E10FE7">
        <w:t>queer</w:t>
      </w:r>
      <w:r>
        <w:t xml:space="preserve"> or asexual</w:t>
      </w:r>
      <w:r w:rsidRPr="00E10FE7">
        <w:t xml:space="preserve">. We use variations of the term throughout this strategy depending on the language originally used. We use other terms like ‘TGD’ (trans and gender diverse) or ‘LGBT’ depending on specific communities referenced. We also note that some Aboriginal communities use the terms ‘sistergirls’ and ‘brotherboys’. </w:t>
      </w:r>
    </w:p>
    <w:p w14:paraId="0A182FBD" w14:textId="591A802B" w:rsidR="0008204A" w:rsidRPr="0008204A" w:rsidRDefault="00D64B07" w:rsidP="0008204A">
      <w:pPr>
        <w:pStyle w:val="Body"/>
      </w:pPr>
      <w:r w:rsidRPr="00E10FE7">
        <w:t xml:space="preserve">The words ‘our’ and ‘we’ in this document refer to the Victorian Government. </w:t>
      </w:r>
    </w:p>
    <w:p w14:paraId="4028DB6E" w14:textId="0B4EE14E" w:rsidR="00AD784C" w:rsidRPr="00B57329" w:rsidRDefault="00AD784C" w:rsidP="002365B4">
      <w:pPr>
        <w:pStyle w:val="TOCheadingreport"/>
      </w:pPr>
      <w:r w:rsidRPr="00B57329">
        <w:t>Contents</w:t>
      </w:r>
    </w:p>
    <w:p w14:paraId="70BA35EA" w14:textId="24A745C8" w:rsidR="001D3091" w:rsidRDefault="00F32FC0">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"1-2" \h \z \u </w:instrText>
      </w:r>
      <w:r>
        <w:fldChar w:fldCharType="separate"/>
      </w:r>
      <w:hyperlink w:anchor="_Toc183769417" w:history="1">
        <w:r w:rsidR="001D3091" w:rsidRPr="00685698">
          <w:rPr>
            <w:rStyle w:val="Hyperlink"/>
          </w:rPr>
          <w:t>Acknowledgement</w:t>
        </w:r>
        <w:r w:rsidR="001D3091">
          <w:rPr>
            <w:webHidden/>
          </w:rPr>
          <w:tab/>
        </w:r>
        <w:r w:rsidR="001D3091">
          <w:rPr>
            <w:webHidden/>
          </w:rPr>
          <w:fldChar w:fldCharType="begin"/>
        </w:r>
        <w:r w:rsidR="001D3091">
          <w:rPr>
            <w:webHidden/>
          </w:rPr>
          <w:instrText xml:space="preserve"> PAGEREF _Toc183769417 \h </w:instrText>
        </w:r>
        <w:r w:rsidR="001D3091">
          <w:rPr>
            <w:webHidden/>
          </w:rPr>
        </w:r>
        <w:r w:rsidR="001D3091">
          <w:rPr>
            <w:webHidden/>
          </w:rPr>
          <w:fldChar w:fldCharType="separate"/>
        </w:r>
        <w:r w:rsidR="001D3091">
          <w:rPr>
            <w:webHidden/>
          </w:rPr>
          <w:t>3</w:t>
        </w:r>
        <w:r w:rsidR="001D3091">
          <w:rPr>
            <w:webHidden/>
          </w:rPr>
          <w:fldChar w:fldCharType="end"/>
        </w:r>
      </w:hyperlink>
    </w:p>
    <w:p w14:paraId="32B35090" w14:textId="72D837F7"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18" w:history="1">
        <w:r w:rsidRPr="00685698">
          <w:rPr>
            <w:rStyle w:val="Hyperlink"/>
          </w:rPr>
          <w:t>Language statement</w:t>
        </w:r>
        <w:r>
          <w:rPr>
            <w:webHidden/>
          </w:rPr>
          <w:tab/>
        </w:r>
        <w:r>
          <w:rPr>
            <w:webHidden/>
          </w:rPr>
          <w:fldChar w:fldCharType="begin"/>
        </w:r>
        <w:r>
          <w:rPr>
            <w:webHidden/>
          </w:rPr>
          <w:instrText xml:space="preserve"> PAGEREF _Toc183769418 \h </w:instrText>
        </w:r>
        <w:r>
          <w:rPr>
            <w:webHidden/>
          </w:rPr>
        </w:r>
        <w:r>
          <w:rPr>
            <w:webHidden/>
          </w:rPr>
          <w:fldChar w:fldCharType="separate"/>
        </w:r>
        <w:r>
          <w:rPr>
            <w:webHidden/>
          </w:rPr>
          <w:t>3</w:t>
        </w:r>
        <w:r>
          <w:rPr>
            <w:webHidden/>
          </w:rPr>
          <w:fldChar w:fldCharType="end"/>
        </w:r>
      </w:hyperlink>
    </w:p>
    <w:p w14:paraId="24267636" w14:textId="72ABB360" w:rsidR="001D3091" w:rsidRDefault="001D3091">
      <w:pPr>
        <w:pStyle w:val="TOC1"/>
        <w:rPr>
          <w:rFonts w:asciiTheme="minorHAnsi" w:eastAsiaTheme="minorEastAsia" w:hAnsiTheme="minorHAnsi" w:cstheme="minorBidi"/>
          <w:b w:val="0"/>
          <w:kern w:val="2"/>
          <w:sz w:val="24"/>
          <w:szCs w:val="24"/>
          <w:lang w:eastAsia="en-AU"/>
          <w14:ligatures w14:val="standardContextual"/>
        </w:rPr>
      </w:pPr>
      <w:hyperlink w:anchor="_Toc183769419" w:history="1">
        <w:r w:rsidRPr="00685698">
          <w:rPr>
            <w:rStyle w:val="Hyperlink"/>
          </w:rPr>
          <w:t>Introduction</w:t>
        </w:r>
        <w:r>
          <w:rPr>
            <w:webHidden/>
          </w:rPr>
          <w:tab/>
        </w:r>
        <w:r>
          <w:rPr>
            <w:webHidden/>
          </w:rPr>
          <w:fldChar w:fldCharType="begin"/>
        </w:r>
        <w:r>
          <w:rPr>
            <w:webHidden/>
          </w:rPr>
          <w:instrText xml:space="preserve"> PAGEREF _Toc183769419 \h </w:instrText>
        </w:r>
        <w:r>
          <w:rPr>
            <w:webHidden/>
          </w:rPr>
        </w:r>
        <w:r>
          <w:rPr>
            <w:webHidden/>
          </w:rPr>
          <w:fldChar w:fldCharType="separate"/>
        </w:r>
        <w:r>
          <w:rPr>
            <w:webHidden/>
          </w:rPr>
          <w:t>6</w:t>
        </w:r>
        <w:r>
          <w:rPr>
            <w:webHidden/>
          </w:rPr>
          <w:fldChar w:fldCharType="end"/>
        </w:r>
      </w:hyperlink>
    </w:p>
    <w:p w14:paraId="7291BD8C" w14:textId="5C2786E4"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20" w:history="1">
        <w:r w:rsidRPr="00685698">
          <w:rPr>
            <w:rStyle w:val="Hyperlink"/>
          </w:rPr>
          <w:t>LGBTIQA+ strategy framework</w:t>
        </w:r>
        <w:r>
          <w:rPr>
            <w:webHidden/>
          </w:rPr>
          <w:tab/>
        </w:r>
        <w:r>
          <w:rPr>
            <w:webHidden/>
          </w:rPr>
          <w:fldChar w:fldCharType="begin"/>
        </w:r>
        <w:r>
          <w:rPr>
            <w:webHidden/>
          </w:rPr>
          <w:instrText xml:space="preserve"> PAGEREF _Toc183769420 \h </w:instrText>
        </w:r>
        <w:r>
          <w:rPr>
            <w:webHidden/>
          </w:rPr>
        </w:r>
        <w:r>
          <w:rPr>
            <w:webHidden/>
          </w:rPr>
          <w:fldChar w:fldCharType="separate"/>
        </w:r>
        <w:r>
          <w:rPr>
            <w:webHidden/>
          </w:rPr>
          <w:t>6</w:t>
        </w:r>
        <w:r>
          <w:rPr>
            <w:webHidden/>
          </w:rPr>
          <w:fldChar w:fldCharType="end"/>
        </w:r>
      </w:hyperlink>
    </w:p>
    <w:p w14:paraId="5C218C15" w14:textId="3EAEB4BA"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21" w:history="1">
        <w:r w:rsidRPr="00685698">
          <w:rPr>
            <w:rStyle w:val="Hyperlink"/>
          </w:rPr>
          <w:t>Outcomes framework</w:t>
        </w:r>
        <w:r>
          <w:rPr>
            <w:webHidden/>
          </w:rPr>
          <w:tab/>
        </w:r>
        <w:r>
          <w:rPr>
            <w:webHidden/>
          </w:rPr>
          <w:fldChar w:fldCharType="begin"/>
        </w:r>
        <w:r>
          <w:rPr>
            <w:webHidden/>
          </w:rPr>
          <w:instrText xml:space="preserve"> PAGEREF _Toc183769421 \h </w:instrText>
        </w:r>
        <w:r>
          <w:rPr>
            <w:webHidden/>
          </w:rPr>
        </w:r>
        <w:r>
          <w:rPr>
            <w:webHidden/>
          </w:rPr>
          <w:fldChar w:fldCharType="separate"/>
        </w:r>
        <w:r>
          <w:rPr>
            <w:webHidden/>
          </w:rPr>
          <w:t>7</w:t>
        </w:r>
        <w:r>
          <w:rPr>
            <w:webHidden/>
          </w:rPr>
          <w:fldChar w:fldCharType="end"/>
        </w:r>
      </w:hyperlink>
    </w:p>
    <w:p w14:paraId="0E07F4F2" w14:textId="6EC66121"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22" w:history="1">
        <w:r w:rsidRPr="00685698">
          <w:rPr>
            <w:rStyle w:val="Hyperlink"/>
          </w:rPr>
          <w:t>Consultation</w:t>
        </w:r>
        <w:r>
          <w:rPr>
            <w:webHidden/>
          </w:rPr>
          <w:tab/>
        </w:r>
        <w:r>
          <w:rPr>
            <w:webHidden/>
          </w:rPr>
          <w:fldChar w:fldCharType="begin"/>
        </w:r>
        <w:r>
          <w:rPr>
            <w:webHidden/>
          </w:rPr>
          <w:instrText xml:space="preserve"> PAGEREF _Toc183769422 \h </w:instrText>
        </w:r>
        <w:r>
          <w:rPr>
            <w:webHidden/>
          </w:rPr>
        </w:r>
        <w:r>
          <w:rPr>
            <w:webHidden/>
          </w:rPr>
          <w:fldChar w:fldCharType="separate"/>
        </w:r>
        <w:r>
          <w:rPr>
            <w:webHidden/>
          </w:rPr>
          <w:t>8</w:t>
        </w:r>
        <w:r>
          <w:rPr>
            <w:webHidden/>
          </w:rPr>
          <w:fldChar w:fldCharType="end"/>
        </w:r>
      </w:hyperlink>
    </w:p>
    <w:p w14:paraId="624CB04B" w14:textId="0904F95E" w:rsidR="001D3091" w:rsidRDefault="001D3091">
      <w:pPr>
        <w:pStyle w:val="TOC1"/>
        <w:rPr>
          <w:rFonts w:asciiTheme="minorHAnsi" w:eastAsiaTheme="minorEastAsia" w:hAnsiTheme="minorHAnsi" w:cstheme="minorBidi"/>
          <w:b w:val="0"/>
          <w:kern w:val="2"/>
          <w:sz w:val="24"/>
          <w:szCs w:val="24"/>
          <w:lang w:eastAsia="en-AU"/>
          <w14:ligatures w14:val="standardContextual"/>
        </w:rPr>
      </w:pPr>
      <w:hyperlink w:anchor="_Toc183769423" w:history="1">
        <w:r w:rsidRPr="00685698">
          <w:rPr>
            <w:rStyle w:val="Hyperlink"/>
          </w:rPr>
          <w:t>LGBTIQA+ data gaps</w:t>
        </w:r>
        <w:r>
          <w:rPr>
            <w:webHidden/>
          </w:rPr>
          <w:tab/>
        </w:r>
        <w:r>
          <w:rPr>
            <w:webHidden/>
          </w:rPr>
          <w:fldChar w:fldCharType="begin"/>
        </w:r>
        <w:r>
          <w:rPr>
            <w:webHidden/>
          </w:rPr>
          <w:instrText xml:space="preserve"> PAGEREF _Toc183769423 \h </w:instrText>
        </w:r>
        <w:r>
          <w:rPr>
            <w:webHidden/>
          </w:rPr>
        </w:r>
        <w:r>
          <w:rPr>
            <w:webHidden/>
          </w:rPr>
          <w:fldChar w:fldCharType="separate"/>
        </w:r>
        <w:r>
          <w:rPr>
            <w:webHidden/>
          </w:rPr>
          <w:t>9</w:t>
        </w:r>
        <w:r>
          <w:rPr>
            <w:webHidden/>
          </w:rPr>
          <w:fldChar w:fldCharType="end"/>
        </w:r>
      </w:hyperlink>
    </w:p>
    <w:p w14:paraId="331418EB" w14:textId="337BB58A"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24" w:history="1">
        <w:r w:rsidRPr="00685698">
          <w:rPr>
            <w:rStyle w:val="Hyperlink"/>
          </w:rPr>
          <w:t>We are working to address LGBTIQA+ data gaps and have made gains</w:t>
        </w:r>
        <w:r>
          <w:rPr>
            <w:webHidden/>
          </w:rPr>
          <w:tab/>
        </w:r>
        <w:r>
          <w:rPr>
            <w:webHidden/>
          </w:rPr>
          <w:fldChar w:fldCharType="begin"/>
        </w:r>
        <w:r>
          <w:rPr>
            <w:webHidden/>
          </w:rPr>
          <w:instrText xml:space="preserve"> PAGEREF _Toc183769424 \h </w:instrText>
        </w:r>
        <w:r>
          <w:rPr>
            <w:webHidden/>
          </w:rPr>
        </w:r>
        <w:r>
          <w:rPr>
            <w:webHidden/>
          </w:rPr>
          <w:fldChar w:fldCharType="separate"/>
        </w:r>
        <w:r>
          <w:rPr>
            <w:webHidden/>
          </w:rPr>
          <w:t>9</w:t>
        </w:r>
        <w:r>
          <w:rPr>
            <w:webHidden/>
          </w:rPr>
          <w:fldChar w:fldCharType="end"/>
        </w:r>
      </w:hyperlink>
    </w:p>
    <w:p w14:paraId="250CC9E3" w14:textId="66EFBB5F"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25" w:history="1">
        <w:r w:rsidRPr="00685698">
          <w:rPr>
            <w:rStyle w:val="Hyperlink"/>
          </w:rPr>
          <w:t>We know the LGBTIQA+ population may be higher than estimates</w:t>
        </w:r>
        <w:r>
          <w:rPr>
            <w:webHidden/>
          </w:rPr>
          <w:tab/>
        </w:r>
        <w:r>
          <w:rPr>
            <w:webHidden/>
          </w:rPr>
          <w:fldChar w:fldCharType="begin"/>
        </w:r>
        <w:r>
          <w:rPr>
            <w:webHidden/>
          </w:rPr>
          <w:instrText xml:space="preserve"> PAGEREF _Toc183769425 \h </w:instrText>
        </w:r>
        <w:r>
          <w:rPr>
            <w:webHidden/>
          </w:rPr>
        </w:r>
        <w:r>
          <w:rPr>
            <w:webHidden/>
          </w:rPr>
          <w:fldChar w:fldCharType="separate"/>
        </w:r>
        <w:r>
          <w:rPr>
            <w:webHidden/>
          </w:rPr>
          <w:t>9</w:t>
        </w:r>
        <w:r>
          <w:rPr>
            <w:webHidden/>
          </w:rPr>
          <w:fldChar w:fldCharType="end"/>
        </w:r>
      </w:hyperlink>
    </w:p>
    <w:p w14:paraId="76A9CD1F" w14:textId="1F82EB81" w:rsidR="001D3091" w:rsidRDefault="001D3091">
      <w:pPr>
        <w:pStyle w:val="TOC1"/>
        <w:rPr>
          <w:rFonts w:asciiTheme="minorHAnsi" w:eastAsiaTheme="minorEastAsia" w:hAnsiTheme="minorHAnsi" w:cstheme="minorBidi"/>
          <w:b w:val="0"/>
          <w:kern w:val="2"/>
          <w:sz w:val="24"/>
          <w:szCs w:val="24"/>
          <w:lang w:eastAsia="en-AU"/>
          <w14:ligatures w14:val="standardContextual"/>
        </w:rPr>
      </w:pPr>
      <w:hyperlink w:anchor="_Toc183769426" w:history="1">
        <w:r w:rsidRPr="00685698">
          <w:rPr>
            <w:rStyle w:val="Hyperlink"/>
          </w:rPr>
          <w:t>Outcomes</w:t>
        </w:r>
        <w:r>
          <w:rPr>
            <w:webHidden/>
          </w:rPr>
          <w:tab/>
        </w:r>
        <w:r>
          <w:rPr>
            <w:webHidden/>
          </w:rPr>
          <w:fldChar w:fldCharType="begin"/>
        </w:r>
        <w:r>
          <w:rPr>
            <w:webHidden/>
          </w:rPr>
          <w:instrText xml:space="preserve"> PAGEREF _Toc183769426 \h </w:instrText>
        </w:r>
        <w:r>
          <w:rPr>
            <w:webHidden/>
          </w:rPr>
        </w:r>
        <w:r>
          <w:rPr>
            <w:webHidden/>
          </w:rPr>
          <w:fldChar w:fldCharType="separate"/>
        </w:r>
        <w:r>
          <w:rPr>
            <w:webHidden/>
          </w:rPr>
          <w:t>10</w:t>
        </w:r>
        <w:r>
          <w:rPr>
            <w:webHidden/>
          </w:rPr>
          <w:fldChar w:fldCharType="end"/>
        </w:r>
      </w:hyperlink>
    </w:p>
    <w:p w14:paraId="6B2F1F49" w14:textId="24D8DAE7"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27" w:history="1">
        <w:r w:rsidRPr="00685698">
          <w:rPr>
            <w:rStyle w:val="Hyperlink"/>
          </w:rPr>
          <w:t>Domain 1: Equal rights and freedoms</w:t>
        </w:r>
        <w:r>
          <w:rPr>
            <w:webHidden/>
          </w:rPr>
          <w:tab/>
        </w:r>
        <w:r>
          <w:rPr>
            <w:webHidden/>
          </w:rPr>
          <w:fldChar w:fldCharType="begin"/>
        </w:r>
        <w:r>
          <w:rPr>
            <w:webHidden/>
          </w:rPr>
          <w:instrText xml:space="preserve"> PAGEREF _Toc183769427 \h </w:instrText>
        </w:r>
        <w:r>
          <w:rPr>
            <w:webHidden/>
          </w:rPr>
        </w:r>
        <w:r>
          <w:rPr>
            <w:webHidden/>
          </w:rPr>
          <w:fldChar w:fldCharType="separate"/>
        </w:r>
        <w:r>
          <w:rPr>
            <w:webHidden/>
          </w:rPr>
          <w:t>10</w:t>
        </w:r>
        <w:r>
          <w:rPr>
            <w:webHidden/>
          </w:rPr>
          <w:fldChar w:fldCharType="end"/>
        </w:r>
      </w:hyperlink>
    </w:p>
    <w:p w14:paraId="09D02BA2" w14:textId="1CB00B9F"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28" w:history="1">
        <w:r w:rsidRPr="00685698">
          <w:rPr>
            <w:rStyle w:val="Hyperlink"/>
          </w:rPr>
          <w:t>Domain 2: Equitable, inclusive and accessible services</w:t>
        </w:r>
        <w:r>
          <w:rPr>
            <w:webHidden/>
          </w:rPr>
          <w:tab/>
        </w:r>
        <w:r>
          <w:rPr>
            <w:webHidden/>
          </w:rPr>
          <w:fldChar w:fldCharType="begin"/>
        </w:r>
        <w:r>
          <w:rPr>
            <w:webHidden/>
          </w:rPr>
          <w:instrText xml:space="preserve"> PAGEREF _Toc183769428 \h </w:instrText>
        </w:r>
        <w:r>
          <w:rPr>
            <w:webHidden/>
          </w:rPr>
        </w:r>
        <w:r>
          <w:rPr>
            <w:webHidden/>
          </w:rPr>
          <w:fldChar w:fldCharType="separate"/>
        </w:r>
        <w:r>
          <w:rPr>
            <w:webHidden/>
          </w:rPr>
          <w:t>10</w:t>
        </w:r>
        <w:r>
          <w:rPr>
            <w:webHidden/>
          </w:rPr>
          <w:fldChar w:fldCharType="end"/>
        </w:r>
      </w:hyperlink>
    </w:p>
    <w:p w14:paraId="12269FED" w14:textId="76FCE7EB"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29" w:history="1">
        <w:r w:rsidRPr="00685698">
          <w:rPr>
            <w:rStyle w:val="Hyperlink"/>
          </w:rPr>
          <w:t>Domain 3: Visibility to inform decision making</w:t>
        </w:r>
        <w:r>
          <w:rPr>
            <w:webHidden/>
          </w:rPr>
          <w:tab/>
        </w:r>
        <w:r>
          <w:rPr>
            <w:webHidden/>
          </w:rPr>
          <w:fldChar w:fldCharType="begin"/>
        </w:r>
        <w:r>
          <w:rPr>
            <w:webHidden/>
          </w:rPr>
          <w:instrText xml:space="preserve"> PAGEREF _Toc183769429 \h </w:instrText>
        </w:r>
        <w:r>
          <w:rPr>
            <w:webHidden/>
          </w:rPr>
        </w:r>
        <w:r>
          <w:rPr>
            <w:webHidden/>
          </w:rPr>
          <w:fldChar w:fldCharType="separate"/>
        </w:r>
        <w:r>
          <w:rPr>
            <w:webHidden/>
          </w:rPr>
          <w:t>10</w:t>
        </w:r>
        <w:r>
          <w:rPr>
            <w:webHidden/>
          </w:rPr>
          <w:fldChar w:fldCharType="end"/>
        </w:r>
      </w:hyperlink>
    </w:p>
    <w:p w14:paraId="6ED1F1CE" w14:textId="7C2540CE"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30" w:history="1">
        <w:r w:rsidRPr="00685698">
          <w:rPr>
            <w:rStyle w:val="Hyperlink"/>
          </w:rPr>
          <w:t>Domain 4: Safe, strong and sustainable communities</w:t>
        </w:r>
        <w:r>
          <w:rPr>
            <w:webHidden/>
          </w:rPr>
          <w:tab/>
        </w:r>
        <w:r>
          <w:rPr>
            <w:webHidden/>
          </w:rPr>
          <w:fldChar w:fldCharType="begin"/>
        </w:r>
        <w:r>
          <w:rPr>
            <w:webHidden/>
          </w:rPr>
          <w:instrText xml:space="preserve"> PAGEREF _Toc183769430 \h </w:instrText>
        </w:r>
        <w:r>
          <w:rPr>
            <w:webHidden/>
          </w:rPr>
        </w:r>
        <w:r>
          <w:rPr>
            <w:webHidden/>
          </w:rPr>
          <w:fldChar w:fldCharType="separate"/>
        </w:r>
        <w:r>
          <w:rPr>
            <w:webHidden/>
          </w:rPr>
          <w:t>10</w:t>
        </w:r>
        <w:r>
          <w:rPr>
            <w:webHidden/>
          </w:rPr>
          <w:fldChar w:fldCharType="end"/>
        </w:r>
      </w:hyperlink>
    </w:p>
    <w:p w14:paraId="07365A36" w14:textId="7C866ED5" w:rsidR="001D3091" w:rsidRDefault="001D3091">
      <w:pPr>
        <w:pStyle w:val="TOC1"/>
        <w:rPr>
          <w:rFonts w:asciiTheme="minorHAnsi" w:eastAsiaTheme="minorEastAsia" w:hAnsiTheme="minorHAnsi" w:cstheme="minorBidi"/>
          <w:b w:val="0"/>
          <w:kern w:val="2"/>
          <w:sz w:val="24"/>
          <w:szCs w:val="24"/>
          <w:lang w:eastAsia="en-AU"/>
          <w14:ligatures w14:val="standardContextual"/>
        </w:rPr>
      </w:pPr>
      <w:hyperlink w:anchor="_Toc183769431" w:history="1">
        <w:r w:rsidRPr="00685698">
          <w:rPr>
            <w:rStyle w:val="Hyperlink"/>
          </w:rPr>
          <w:t>Logic model</w:t>
        </w:r>
        <w:r>
          <w:rPr>
            <w:webHidden/>
          </w:rPr>
          <w:tab/>
        </w:r>
        <w:r>
          <w:rPr>
            <w:webHidden/>
          </w:rPr>
          <w:fldChar w:fldCharType="begin"/>
        </w:r>
        <w:r>
          <w:rPr>
            <w:webHidden/>
          </w:rPr>
          <w:instrText xml:space="preserve"> PAGEREF _Toc183769431 \h </w:instrText>
        </w:r>
        <w:r>
          <w:rPr>
            <w:webHidden/>
          </w:rPr>
        </w:r>
        <w:r>
          <w:rPr>
            <w:webHidden/>
          </w:rPr>
          <w:fldChar w:fldCharType="separate"/>
        </w:r>
        <w:r>
          <w:rPr>
            <w:webHidden/>
          </w:rPr>
          <w:t>11</w:t>
        </w:r>
        <w:r>
          <w:rPr>
            <w:webHidden/>
          </w:rPr>
          <w:fldChar w:fldCharType="end"/>
        </w:r>
      </w:hyperlink>
    </w:p>
    <w:p w14:paraId="4B2F6C29" w14:textId="10684CF3"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32" w:history="1">
        <w:r w:rsidRPr="00685698">
          <w:rPr>
            <w:rStyle w:val="Hyperlink"/>
          </w:rPr>
          <w:t>Problem statement</w:t>
        </w:r>
        <w:r>
          <w:rPr>
            <w:webHidden/>
          </w:rPr>
          <w:tab/>
        </w:r>
        <w:r>
          <w:rPr>
            <w:webHidden/>
          </w:rPr>
          <w:fldChar w:fldCharType="begin"/>
        </w:r>
        <w:r>
          <w:rPr>
            <w:webHidden/>
          </w:rPr>
          <w:instrText xml:space="preserve"> PAGEREF _Toc183769432 \h </w:instrText>
        </w:r>
        <w:r>
          <w:rPr>
            <w:webHidden/>
          </w:rPr>
        </w:r>
        <w:r>
          <w:rPr>
            <w:webHidden/>
          </w:rPr>
          <w:fldChar w:fldCharType="separate"/>
        </w:r>
        <w:r>
          <w:rPr>
            <w:webHidden/>
          </w:rPr>
          <w:t>11</w:t>
        </w:r>
        <w:r>
          <w:rPr>
            <w:webHidden/>
          </w:rPr>
          <w:fldChar w:fldCharType="end"/>
        </w:r>
      </w:hyperlink>
    </w:p>
    <w:p w14:paraId="7555309E" w14:textId="28DC5B78"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33" w:history="1">
        <w:r w:rsidRPr="00685698">
          <w:rPr>
            <w:rStyle w:val="Hyperlink"/>
          </w:rPr>
          <w:t>Objective</w:t>
        </w:r>
        <w:r>
          <w:rPr>
            <w:webHidden/>
          </w:rPr>
          <w:tab/>
        </w:r>
        <w:r>
          <w:rPr>
            <w:webHidden/>
          </w:rPr>
          <w:fldChar w:fldCharType="begin"/>
        </w:r>
        <w:r>
          <w:rPr>
            <w:webHidden/>
          </w:rPr>
          <w:instrText xml:space="preserve"> PAGEREF _Toc183769433 \h </w:instrText>
        </w:r>
        <w:r>
          <w:rPr>
            <w:webHidden/>
          </w:rPr>
        </w:r>
        <w:r>
          <w:rPr>
            <w:webHidden/>
          </w:rPr>
          <w:fldChar w:fldCharType="separate"/>
        </w:r>
        <w:r>
          <w:rPr>
            <w:webHidden/>
          </w:rPr>
          <w:t>11</w:t>
        </w:r>
        <w:r>
          <w:rPr>
            <w:webHidden/>
          </w:rPr>
          <w:fldChar w:fldCharType="end"/>
        </w:r>
      </w:hyperlink>
    </w:p>
    <w:p w14:paraId="6037016D" w14:textId="0B7AE347"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34" w:history="1">
        <w:r w:rsidRPr="00685698">
          <w:rPr>
            <w:rStyle w:val="Hyperlink"/>
          </w:rPr>
          <w:t>A note on language</w:t>
        </w:r>
        <w:r>
          <w:rPr>
            <w:webHidden/>
          </w:rPr>
          <w:tab/>
        </w:r>
        <w:r>
          <w:rPr>
            <w:webHidden/>
          </w:rPr>
          <w:fldChar w:fldCharType="begin"/>
        </w:r>
        <w:r>
          <w:rPr>
            <w:webHidden/>
          </w:rPr>
          <w:instrText xml:space="preserve"> PAGEREF _Toc183769434 \h </w:instrText>
        </w:r>
        <w:r>
          <w:rPr>
            <w:webHidden/>
          </w:rPr>
        </w:r>
        <w:r>
          <w:rPr>
            <w:webHidden/>
          </w:rPr>
          <w:fldChar w:fldCharType="separate"/>
        </w:r>
        <w:r>
          <w:rPr>
            <w:webHidden/>
          </w:rPr>
          <w:t>11</w:t>
        </w:r>
        <w:r>
          <w:rPr>
            <w:webHidden/>
          </w:rPr>
          <w:fldChar w:fldCharType="end"/>
        </w:r>
      </w:hyperlink>
    </w:p>
    <w:p w14:paraId="393E9F52" w14:textId="0B936658"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35" w:history="1">
        <w:r w:rsidRPr="00685698">
          <w:rPr>
            <w:rStyle w:val="Hyperlink"/>
          </w:rPr>
          <w:t>Process workflow</w:t>
        </w:r>
        <w:r>
          <w:rPr>
            <w:webHidden/>
          </w:rPr>
          <w:tab/>
        </w:r>
        <w:r>
          <w:rPr>
            <w:webHidden/>
          </w:rPr>
          <w:fldChar w:fldCharType="begin"/>
        </w:r>
        <w:r>
          <w:rPr>
            <w:webHidden/>
          </w:rPr>
          <w:instrText xml:space="preserve"> PAGEREF _Toc183769435 \h </w:instrText>
        </w:r>
        <w:r>
          <w:rPr>
            <w:webHidden/>
          </w:rPr>
        </w:r>
        <w:r>
          <w:rPr>
            <w:webHidden/>
          </w:rPr>
          <w:fldChar w:fldCharType="separate"/>
        </w:r>
        <w:r>
          <w:rPr>
            <w:webHidden/>
          </w:rPr>
          <w:t>11</w:t>
        </w:r>
        <w:r>
          <w:rPr>
            <w:webHidden/>
          </w:rPr>
          <w:fldChar w:fldCharType="end"/>
        </w:r>
      </w:hyperlink>
    </w:p>
    <w:p w14:paraId="3272D5C5" w14:textId="563C61C0" w:rsidR="001D3091" w:rsidRDefault="001D3091">
      <w:pPr>
        <w:pStyle w:val="TOC1"/>
        <w:rPr>
          <w:rFonts w:asciiTheme="minorHAnsi" w:eastAsiaTheme="minorEastAsia" w:hAnsiTheme="minorHAnsi" w:cstheme="minorBidi"/>
          <w:b w:val="0"/>
          <w:kern w:val="2"/>
          <w:sz w:val="24"/>
          <w:szCs w:val="24"/>
          <w:lang w:eastAsia="en-AU"/>
          <w14:ligatures w14:val="standardContextual"/>
        </w:rPr>
      </w:pPr>
      <w:hyperlink w:anchor="_Toc183769436" w:history="1">
        <w:r w:rsidRPr="00685698">
          <w:rPr>
            <w:rStyle w:val="Hyperlink"/>
          </w:rPr>
          <w:t>Domain logic models and measures</w:t>
        </w:r>
        <w:r>
          <w:rPr>
            <w:webHidden/>
          </w:rPr>
          <w:tab/>
        </w:r>
        <w:r>
          <w:rPr>
            <w:webHidden/>
          </w:rPr>
          <w:fldChar w:fldCharType="begin"/>
        </w:r>
        <w:r>
          <w:rPr>
            <w:webHidden/>
          </w:rPr>
          <w:instrText xml:space="preserve"> PAGEREF _Toc183769436 \h </w:instrText>
        </w:r>
        <w:r>
          <w:rPr>
            <w:webHidden/>
          </w:rPr>
        </w:r>
        <w:r>
          <w:rPr>
            <w:webHidden/>
          </w:rPr>
          <w:fldChar w:fldCharType="separate"/>
        </w:r>
        <w:r>
          <w:rPr>
            <w:webHidden/>
          </w:rPr>
          <w:t>14</w:t>
        </w:r>
        <w:r>
          <w:rPr>
            <w:webHidden/>
          </w:rPr>
          <w:fldChar w:fldCharType="end"/>
        </w:r>
      </w:hyperlink>
    </w:p>
    <w:p w14:paraId="7A7FBD41" w14:textId="075D0731"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37" w:history="1">
        <w:r w:rsidRPr="00685698">
          <w:rPr>
            <w:rStyle w:val="Hyperlink"/>
          </w:rPr>
          <w:t>Domain 1: Equal rights and freedoms</w:t>
        </w:r>
        <w:r>
          <w:rPr>
            <w:webHidden/>
          </w:rPr>
          <w:tab/>
        </w:r>
        <w:r>
          <w:rPr>
            <w:webHidden/>
          </w:rPr>
          <w:fldChar w:fldCharType="begin"/>
        </w:r>
        <w:r>
          <w:rPr>
            <w:webHidden/>
          </w:rPr>
          <w:instrText xml:space="preserve"> PAGEREF _Toc183769437 \h </w:instrText>
        </w:r>
        <w:r>
          <w:rPr>
            <w:webHidden/>
          </w:rPr>
        </w:r>
        <w:r>
          <w:rPr>
            <w:webHidden/>
          </w:rPr>
          <w:fldChar w:fldCharType="separate"/>
        </w:r>
        <w:r>
          <w:rPr>
            <w:webHidden/>
          </w:rPr>
          <w:t>14</w:t>
        </w:r>
        <w:r>
          <w:rPr>
            <w:webHidden/>
          </w:rPr>
          <w:fldChar w:fldCharType="end"/>
        </w:r>
      </w:hyperlink>
    </w:p>
    <w:p w14:paraId="118C6CE3" w14:textId="09BD1056"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38" w:history="1">
        <w:r w:rsidRPr="00685698">
          <w:rPr>
            <w:rStyle w:val="Hyperlink"/>
          </w:rPr>
          <w:t>Domain 2: Equitable, inclusive and accessible services</w:t>
        </w:r>
        <w:r>
          <w:rPr>
            <w:webHidden/>
          </w:rPr>
          <w:tab/>
        </w:r>
        <w:r>
          <w:rPr>
            <w:webHidden/>
          </w:rPr>
          <w:fldChar w:fldCharType="begin"/>
        </w:r>
        <w:r>
          <w:rPr>
            <w:webHidden/>
          </w:rPr>
          <w:instrText xml:space="preserve"> PAGEREF _Toc183769438 \h </w:instrText>
        </w:r>
        <w:r>
          <w:rPr>
            <w:webHidden/>
          </w:rPr>
        </w:r>
        <w:r>
          <w:rPr>
            <w:webHidden/>
          </w:rPr>
          <w:fldChar w:fldCharType="separate"/>
        </w:r>
        <w:r>
          <w:rPr>
            <w:webHidden/>
          </w:rPr>
          <w:t>18</w:t>
        </w:r>
        <w:r>
          <w:rPr>
            <w:webHidden/>
          </w:rPr>
          <w:fldChar w:fldCharType="end"/>
        </w:r>
      </w:hyperlink>
    </w:p>
    <w:p w14:paraId="533A071F" w14:textId="064FE3D0"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39" w:history="1">
        <w:r w:rsidRPr="00685698">
          <w:rPr>
            <w:rStyle w:val="Hyperlink"/>
            <w:rFonts w:eastAsia="MS Mincho"/>
          </w:rPr>
          <w:t>Domain 3: Visibility to inform decision making</w:t>
        </w:r>
        <w:r>
          <w:rPr>
            <w:webHidden/>
          </w:rPr>
          <w:tab/>
        </w:r>
        <w:r>
          <w:rPr>
            <w:webHidden/>
          </w:rPr>
          <w:fldChar w:fldCharType="begin"/>
        </w:r>
        <w:r>
          <w:rPr>
            <w:webHidden/>
          </w:rPr>
          <w:instrText xml:space="preserve"> PAGEREF _Toc183769439 \h </w:instrText>
        </w:r>
        <w:r>
          <w:rPr>
            <w:webHidden/>
          </w:rPr>
        </w:r>
        <w:r>
          <w:rPr>
            <w:webHidden/>
          </w:rPr>
          <w:fldChar w:fldCharType="separate"/>
        </w:r>
        <w:r>
          <w:rPr>
            <w:webHidden/>
          </w:rPr>
          <w:t>23</w:t>
        </w:r>
        <w:r>
          <w:rPr>
            <w:webHidden/>
          </w:rPr>
          <w:fldChar w:fldCharType="end"/>
        </w:r>
      </w:hyperlink>
    </w:p>
    <w:p w14:paraId="7430151D" w14:textId="0AB86205" w:rsidR="001D3091" w:rsidRDefault="001D3091">
      <w:pPr>
        <w:pStyle w:val="TOC2"/>
        <w:rPr>
          <w:rFonts w:asciiTheme="minorHAnsi" w:eastAsiaTheme="minorEastAsia" w:hAnsiTheme="minorHAnsi" w:cstheme="minorBidi"/>
          <w:kern w:val="2"/>
          <w:sz w:val="24"/>
          <w:szCs w:val="24"/>
          <w:lang w:eastAsia="en-AU"/>
          <w14:ligatures w14:val="standardContextual"/>
        </w:rPr>
      </w:pPr>
      <w:hyperlink w:anchor="_Toc183769440" w:history="1">
        <w:r w:rsidRPr="00685698">
          <w:rPr>
            <w:rStyle w:val="Hyperlink"/>
          </w:rPr>
          <w:t>Domain 4: Safe, strong and sustainable communities</w:t>
        </w:r>
        <w:r>
          <w:rPr>
            <w:webHidden/>
          </w:rPr>
          <w:tab/>
        </w:r>
        <w:r>
          <w:rPr>
            <w:webHidden/>
          </w:rPr>
          <w:fldChar w:fldCharType="begin"/>
        </w:r>
        <w:r>
          <w:rPr>
            <w:webHidden/>
          </w:rPr>
          <w:instrText xml:space="preserve"> PAGEREF _Toc183769440 \h </w:instrText>
        </w:r>
        <w:r>
          <w:rPr>
            <w:webHidden/>
          </w:rPr>
        </w:r>
        <w:r>
          <w:rPr>
            <w:webHidden/>
          </w:rPr>
          <w:fldChar w:fldCharType="separate"/>
        </w:r>
        <w:r>
          <w:rPr>
            <w:webHidden/>
          </w:rPr>
          <w:t>27</w:t>
        </w:r>
        <w:r>
          <w:rPr>
            <w:webHidden/>
          </w:rPr>
          <w:fldChar w:fldCharType="end"/>
        </w:r>
      </w:hyperlink>
    </w:p>
    <w:p w14:paraId="73A6E61A" w14:textId="17B84931" w:rsidR="001D3091" w:rsidRDefault="001D3091">
      <w:pPr>
        <w:pStyle w:val="TOC1"/>
        <w:rPr>
          <w:rFonts w:asciiTheme="minorHAnsi" w:eastAsiaTheme="minorEastAsia" w:hAnsiTheme="minorHAnsi" w:cstheme="minorBidi"/>
          <w:b w:val="0"/>
          <w:kern w:val="2"/>
          <w:sz w:val="24"/>
          <w:szCs w:val="24"/>
          <w:lang w:eastAsia="en-AU"/>
          <w14:ligatures w14:val="standardContextual"/>
        </w:rPr>
      </w:pPr>
      <w:hyperlink w:anchor="_Toc183769441" w:history="1">
        <w:r w:rsidRPr="00685698">
          <w:rPr>
            <w:rStyle w:val="Hyperlink"/>
            <w:lang w:val="en-GB"/>
          </w:rPr>
          <w:t>Definitions and key terms</w:t>
        </w:r>
        <w:r>
          <w:rPr>
            <w:webHidden/>
          </w:rPr>
          <w:tab/>
        </w:r>
        <w:r>
          <w:rPr>
            <w:webHidden/>
          </w:rPr>
          <w:fldChar w:fldCharType="begin"/>
        </w:r>
        <w:r>
          <w:rPr>
            <w:webHidden/>
          </w:rPr>
          <w:instrText xml:space="preserve"> PAGEREF _Toc183769441 \h </w:instrText>
        </w:r>
        <w:r>
          <w:rPr>
            <w:webHidden/>
          </w:rPr>
        </w:r>
        <w:r>
          <w:rPr>
            <w:webHidden/>
          </w:rPr>
          <w:fldChar w:fldCharType="separate"/>
        </w:r>
        <w:r>
          <w:rPr>
            <w:webHidden/>
          </w:rPr>
          <w:t>34</w:t>
        </w:r>
        <w:r>
          <w:rPr>
            <w:webHidden/>
          </w:rPr>
          <w:fldChar w:fldCharType="end"/>
        </w:r>
      </w:hyperlink>
    </w:p>
    <w:p w14:paraId="42C49055" w14:textId="038D94C5" w:rsidR="00FB1F6E" w:rsidRDefault="00F32FC0" w:rsidP="002E621D">
      <w:pPr>
        <w:pStyle w:val="TOC1"/>
      </w:pPr>
      <w:r>
        <w:fldChar w:fldCharType="end"/>
      </w:r>
    </w:p>
    <w:p w14:paraId="56D509EB" w14:textId="77777777" w:rsidR="00FB1F6E" w:rsidRDefault="00FB1F6E" w:rsidP="00B04844">
      <w:pPr>
        <w:pStyle w:val="Body"/>
      </w:pPr>
      <w:r>
        <w:br w:type="page"/>
      </w:r>
    </w:p>
    <w:p w14:paraId="6A7DF5BB" w14:textId="4AA0F3FC" w:rsidR="00800636" w:rsidRDefault="00800636" w:rsidP="00800636">
      <w:pPr>
        <w:pStyle w:val="Heading1"/>
      </w:pPr>
      <w:bookmarkStart w:id="6" w:name="_Toc183769419"/>
      <w:r>
        <w:t>Introduction</w:t>
      </w:r>
      <w:bookmarkEnd w:id="6"/>
      <w:r>
        <w:t xml:space="preserve"> </w:t>
      </w:r>
    </w:p>
    <w:p w14:paraId="0D798229" w14:textId="4539E6CF" w:rsidR="00406FAE" w:rsidRDefault="00406FAE" w:rsidP="00B04844">
      <w:pPr>
        <w:pStyle w:val="Body"/>
      </w:pPr>
      <w:r>
        <w:t xml:space="preserve">The Victorian Government is setting ambitious outcomes that </w:t>
      </w:r>
      <w:r w:rsidR="00314BCA">
        <w:t>show</w:t>
      </w:r>
      <w:r>
        <w:t xml:space="preserve"> we have improved the lives of </w:t>
      </w:r>
      <w:r w:rsidR="00D339D6">
        <w:t xml:space="preserve">all </w:t>
      </w:r>
      <w:r>
        <w:t xml:space="preserve">lesbian, gay, bisexual, trans and gender diverse, intersex, queer and asexual (LGBTIQA+) Victorians. </w:t>
      </w:r>
    </w:p>
    <w:p w14:paraId="69617AB9" w14:textId="74D01CC4" w:rsidR="006A50DD" w:rsidRDefault="006A50DD" w:rsidP="006A50DD">
      <w:pPr>
        <w:pStyle w:val="Body"/>
      </w:pPr>
      <w:r>
        <w:t xml:space="preserve">The </w:t>
      </w:r>
      <w:r w:rsidRPr="005B2E02">
        <w:rPr>
          <w:i/>
          <w:iCs/>
        </w:rPr>
        <w:t>Pride in our future: outcomes framework</w:t>
      </w:r>
      <w:r>
        <w:t xml:space="preserve"> </w:t>
      </w:r>
      <w:r w:rsidR="002224F6">
        <w:t>(</w:t>
      </w:r>
      <w:r w:rsidR="002E621D">
        <w:t xml:space="preserve">the </w:t>
      </w:r>
      <w:r w:rsidR="0017669A">
        <w:t xml:space="preserve">outcomes </w:t>
      </w:r>
      <w:r w:rsidR="002224F6">
        <w:t xml:space="preserve">framework) </w:t>
      </w:r>
      <w:r>
        <w:t>sits alongside</w:t>
      </w:r>
      <w:r w:rsidR="009D2D3F">
        <w:t xml:space="preserve"> </w:t>
      </w:r>
      <w:r>
        <w:rPr>
          <w:i/>
          <w:iCs/>
        </w:rPr>
        <w:t>Pride in our future: Victoria’s LGBTIQA+ strategy 2022</w:t>
      </w:r>
      <w:r w:rsidR="002E621D">
        <w:rPr>
          <w:i/>
          <w:iCs/>
        </w:rPr>
        <w:t>–</w:t>
      </w:r>
      <w:r>
        <w:rPr>
          <w:i/>
          <w:iCs/>
        </w:rPr>
        <w:t xml:space="preserve">32 </w:t>
      </w:r>
      <w:r w:rsidR="00C63A40">
        <w:t>(</w:t>
      </w:r>
      <w:r w:rsidR="002E621D">
        <w:t xml:space="preserve">the </w:t>
      </w:r>
      <w:r w:rsidR="00C63A40">
        <w:t>strategy)</w:t>
      </w:r>
      <w:r w:rsidR="00254457">
        <w:t xml:space="preserve">. </w:t>
      </w:r>
      <w:r w:rsidR="002E621D">
        <w:t>Read these</w:t>
      </w:r>
      <w:r>
        <w:t xml:space="preserve"> documents together. </w:t>
      </w:r>
    </w:p>
    <w:p w14:paraId="1F1A3021" w14:textId="6F5FAC95" w:rsidR="003058FD" w:rsidRDefault="00800636" w:rsidP="00B04844">
      <w:pPr>
        <w:pStyle w:val="Body"/>
      </w:pPr>
      <w:r w:rsidRPr="007C63F1">
        <w:rPr>
          <w:i/>
          <w:iCs/>
        </w:rPr>
        <w:t xml:space="preserve">Pride in our </w:t>
      </w:r>
      <w:r>
        <w:rPr>
          <w:i/>
          <w:iCs/>
        </w:rPr>
        <w:t>f</w:t>
      </w:r>
      <w:r w:rsidRPr="007C63F1">
        <w:rPr>
          <w:i/>
          <w:iCs/>
        </w:rPr>
        <w:t>uture</w:t>
      </w:r>
      <w:r w:rsidR="009D2D3F">
        <w:rPr>
          <w:i/>
          <w:iCs/>
        </w:rPr>
        <w:t xml:space="preserve"> </w:t>
      </w:r>
      <w:r w:rsidRPr="007C63F1">
        <w:t>is</w:t>
      </w:r>
      <w:r w:rsidR="00B04844">
        <w:t xml:space="preserve"> Victoria’s</w:t>
      </w:r>
      <w:r w:rsidR="00703550">
        <w:t xml:space="preserve"> </w:t>
      </w:r>
      <w:r w:rsidR="00807E4A">
        <w:t xml:space="preserve">first whole-of-government </w:t>
      </w:r>
      <w:r w:rsidR="00703550">
        <w:t>strategy for</w:t>
      </w:r>
      <w:r w:rsidR="00B04844">
        <w:t xml:space="preserve"> LGBTIQA+ </w:t>
      </w:r>
      <w:r w:rsidR="00703550">
        <w:t>communities</w:t>
      </w:r>
      <w:r w:rsidR="00B04844">
        <w:t xml:space="preserve">. </w:t>
      </w:r>
    </w:p>
    <w:p w14:paraId="7D2400E4" w14:textId="3B75A112" w:rsidR="002B584F" w:rsidRDefault="0074093E" w:rsidP="00B04844">
      <w:pPr>
        <w:pStyle w:val="Body"/>
      </w:pPr>
      <w:r>
        <w:t>The strategy</w:t>
      </w:r>
      <w:r w:rsidR="00B04844">
        <w:t xml:space="preserve"> sets out </w:t>
      </w:r>
      <w:r w:rsidR="00051DE7">
        <w:t>our</w:t>
      </w:r>
      <w:r w:rsidR="00B04844">
        <w:t xml:space="preserve"> </w:t>
      </w:r>
      <w:r w:rsidR="006E7EFF">
        <w:t>vision</w:t>
      </w:r>
      <w:r w:rsidR="006A0F1F">
        <w:t xml:space="preserve"> </w:t>
      </w:r>
      <w:r w:rsidR="006E7EFF">
        <w:t xml:space="preserve">to drive </w:t>
      </w:r>
      <w:r w:rsidR="00B04844">
        <w:t xml:space="preserve">equality and inclusion for </w:t>
      </w:r>
      <w:r w:rsidR="006E7EFF">
        <w:t xml:space="preserve">LGBTIQA+ </w:t>
      </w:r>
      <w:r w:rsidR="00B04844">
        <w:t>communities.</w:t>
      </w:r>
      <w:r w:rsidR="00F60870">
        <w:t xml:space="preserve"> </w:t>
      </w:r>
      <w:r w:rsidR="006F5076">
        <w:t xml:space="preserve">To realise the vision of the strategy, </w:t>
      </w:r>
      <w:r w:rsidR="006848A1">
        <w:t>we are</w:t>
      </w:r>
      <w:r w:rsidR="004626D5">
        <w:t xml:space="preserve"> delivering actions under </w:t>
      </w:r>
      <w:r w:rsidR="006F5076">
        <w:t>4</w:t>
      </w:r>
      <w:r w:rsidR="00F32FD5">
        <w:t xml:space="preserve"> priority areas </w:t>
      </w:r>
      <w:r w:rsidR="004F32EC">
        <w:t>of reform</w:t>
      </w:r>
      <w:r w:rsidR="002B584F">
        <w:t xml:space="preserve">. </w:t>
      </w:r>
    </w:p>
    <w:p w14:paraId="05F603A9" w14:textId="6EEC8017" w:rsidR="00F1758A" w:rsidRDefault="00BB0CE1" w:rsidP="00F1758A">
      <w:pPr>
        <w:pStyle w:val="Body"/>
      </w:pPr>
      <w:r>
        <w:t xml:space="preserve">The outcomes framework </w:t>
      </w:r>
      <w:r w:rsidR="004C0511" w:rsidRPr="00AE3F47">
        <w:t>sets</w:t>
      </w:r>
      <w:r w:rsidR="004C0511">
        <w:t xml:space="preserve"> the</w:t>
      </w:r>
      <w:r>
        <w:t xml:space="preserve"> key impacts we want to see under each</w:t>
      </w:r>
      <w:r w:rsidR="00CB6842">
        <w:t xml:space="preserve"> of the 4</w:t>
      </w:r>
      <w:r>
        <w:t xml:space="preserve"> priority area</w:t>
      </w:r>
      <w:r w:rsidR="00CB6842">
        <w:t>s</w:t>
      </w:r>
      <w:r w:rsidR="00627CDB">
        <w:t xml:space="preserve"> of the strategy</w:t>
      </w:r>
      <w:r>
        <w:t xml:space="preserve">. </w:t>
      </w:r>
      <w:r w:rsidR="00F1758A" w:rsidRPr="00F1758A">
        <w:t xml:space="preserve">Tracking outcomes will help us know if our actions are driving change over time. </w:t>
      </w:r>
    </w:p>
    <w:p w14:paraId="5EC7CC81" w14:textId="2C123A8D" w:rsidR="00832FD4" w:rsidRDefault="00832FD4" w:rsidP="00F1758A">
      <w:pPr>
        <w:pStyle w:val="Body"/>
      </w:pPr>
      <w:r w:rsidRPr="00832FD4">
        <w:t>Our outcomes recogni</w:t>
      </w:r>
      <w:r>
        <w:t>s</w:t>
      </w:r>
      <w:r w:rsidRPr="00832FD4">
        <w:t>e and consider intersectionality and the diversity within LGBTIQA+ communi</w:t>
      </w:r>
      <w:r>
        <w:t>ties</w:t>
      </w:r>
      <w:r w:rsidRPr="00832FD4">
        <w:t>.</w:t>
      </w:r>
    </w:p>
    <w:p w14:paraId="5C921C12" w14:textId="5BBEA7C7" w:rsidR="00EE3C3B" w:rsidRDefault="00EE3C3B" w:rsidP="00F1758A">
      <w:pPr>
        <w:pStyle w:val="Body"/>
      </w:pPr>
      <w:r>
        <w:t>We will report on the outcomes framework in</w:t>
      </w:r>
      <w:r w:rsidRPr="007C63F1">
        <w:t xml:space="preserve"> </w:t>
      </w:r>
      <w:r w:rsidRPr="00AE7F0E">
        <w:rPr>
          <w:i/>
          <w:iCs/>
        </w:rPr>
        <w:t xml:space="preserve">Pride in our </w:t>
      </w:r>
      <w:r>
        <w:rPr>
          <w:i/>
          <w:iCs/>
        </w:rPr>
        <w:t>f</w:t>
      </w:r>
      <w:r w:rsidRPr="00AE7F0E">
        <w:rPr>
          <w:i/>
          <w:iCs/>
        </w:rPr>
        <w:t>uture</w:t>
      </w:r>
      <w:r w:rsidRPr="007C63F1">
        <w:t xml:space="preserve"> annual </w:t>
      </w:r>
      <w:r w:rsidR="00AC4750">
        <w:t>updates</w:t>
      </w:r>
      <w:r>
        <w:t xml:space="preserve">. This work will be </w:t>
      </w:r>
      <w:r w:rsidRPr="007C63F1">
        <w:t xml:space="preserve">led by the Equality </w:t>
      </w:r>
      <w:r w:rsidR="00AC4750">
        <w:t>team</w:t>
      </w:r>
      <w:r w:rsidRPr="007C63F1">
        <w:t xml:space="preserve"> </w:t>
      </w:r>
      <w:r>
        <w:t>in the Department of Families, Fairness and Housing. It will include</w:t>
      </w:r>
      <w:r w:rsidRPr="007C63F1">
        <w:t xml:space="preserve"> contributions from across </w:t>
      </w:r>
      <w:r w:rsidR="001F6AC9">
        <w:t xml:space="preserve">the Victorian </w:t>
      </w:r>
      <w:r>
        <w:t>G</w:t>
      </w:r>
      <w:r w:rsidRPr="007C63F1">
        <w:t>overnment.</w:t>
      </w:r>
    </w:p>
    <w:p w14:paraId="3F2B7BC1" w14:textId="77777777" w:rsidR="007141E3" w:rsidRDefault="007141E3" w:rsidP="007141E3">
      <w:pPr>
        <w:pStyle w:val="Heading2"/>
      </w:pPr>
      <w:bookmarkStart w:id="7" w:name="_Toc93919397"/>
      <w:bookmarkStart w:id="8" w:name="_Toc95399294"/>
      <w:bookmarkStart w:id="9" w:name="_Toc183769420"/>
      <w:r>
        <w:t>LGBTIQA+</w:t>
      </w:r>
      <w:r w:rsidRPr="0038568B">
        <w:t xml:space="preserve"> strategy framework</w:t>
      </w:r>
      <w:bookmarkEnd w:id="7"/>
      <w:bookmarkEnd w:id="8"/>
      <w:bookmarkEnd w:id="9"/>
    </w:p>
    <w:p w14:paraId="023778B4" w14:textId="77777777" w:rsidR="007141E3" w:rsidRPr="0038568B" w:rsidRDefault="007141E3" w:rsidP="007141E3">
      <w:pPr>
        <w:pStyle w:val="Heading3"/>
        <w:rPr>
          <w:lang w:val="en-US"/>
        </w:rPr>
      </w:pPr>
      <w:r w:rsidRPr="0038568B">
        <w:rPr>
          <w:lang w:val="en-US"/>
        </w:rPr>
        <w:t>Vision</w:t>
      </w:r>
    </w:p>
    <w:p w14:paraId="251E3FD9" w14:textId="77777777" w:rsidR="007141E3" w:rsidRPr="0038568B" w:rsidRDefault="007141E3" w:rsidP="007141E3">
      <w:pPr>
        <w:pStyle w:val="Body"/>
      </w:pPr>
      <w:r w:rsidRPr="0038568B">
        <w:t>All Victorians feel safe, are healthy, have equal human rights and can live wholly and freely.</w:t>
      </w:r>
    </w:p>
    <w:p w14:paraId="148432FE" w14:textId="77777777" w:rsidR="007141E3" w:rsidRPr="0038568B" w:rsidRDefault="007141E3" w:rsidP="007141E3">
      <w:pPr>
        <w:pStyle w:val="Body"/>
      </w:pPr>
      <w:r>
        <w:t>LGBTIQA+</w:t>
      </w:r>
      <w:r w:rsidRPr="0038568B">
        <w:t xml:space="preserve"> Victorians experience the benefits of full participation in economic, educational, political, community and social areas at all stages of life.</w:t>
      </w:r>
    </w:p>
    <w:p w14:paraId="2EA4E582" w14:textId="77777777" w:rsidR="007141E3" w:rsidRDefault="007141E3" w:rsidP="007141E3">
      <w:pPr>
        <w:pStyle w:val="Body"/>
      </w:pPr>
      <w:r w:rsidRPr="0038568B">
        <w:t xml:space="preserve">Victoria leads the way in </w:t>
      </w:r>
      <w:r>
        <w:t>LGBTIQA+</w:t>
      </w:r>
      <w:r w:rsidRPr="0038568B">
        <w:t xml:space="preserve"> equality, celebrating culture, community and taking sustained, enduring and measurable action.</w:t>
      </w:r>
    </w:p>
    <w:p w14:paraId="07057EA7" w14:textId="77777777" w:rsidR="007141E3" w:rsidRDefault="007141E3" w:rsidP="007141E3">
      <w:pPr>
        <w:pStyle w:val="Heading3"/>
      </w:pPr>
      <w:r w:rsidRPr="0038568B">
        <w:t>Priority areas</w:t>
      </w:r>
    </w:p>
    <w:p w14:paraId="78D878A6" w14:textId="77777777" w:rsidR="007141E3" w:rsidRDefault="007141E3" w:rsidP="007141E3">
      <w:pPr>
        <w:pStyle w:val="Body"/>
      </w:pPr>
      <w:r w:rsidRPr="0038568B">
        <w:t>Areas of reform that organise our actions to realise the vision.</w:t>
      </w:r>
    </w:p>
    <w:p w14:paraId="23996A0C" w14:textId="77777777" w:rsidR="007141E3" w:rsidRPr="001F22F9" w:rsidRDefault="007141E3" w:rsidP="001F22F9">
      <w:pPr>
        <w:pStyle w:val="Bullet1"/>
      </w:pPr>
      <w:r w:rsidRPr="001F22F9">
        <w:t>Priority area 1: Equal rights and freedoms</w:t>
      </w:r>
    </w:p>
    <w:p w14:paraId="4F861E02" w14:textId="77777777" w:rsidR="007141E3" w:rsidRPr="001F22F9" w:rsidRDefault="007141E3" w:rsidP="001F22F9">
      <w:pPr>
        <w:pStyle w:val="Bullet1"/>
      </w:pPr>
      <w:r w:rsidRPr="001F22F9">
        <w:t>Priority area 2: Equitable, inclusive, and accessible services</w:t>
      </w:r>
    </w:p>
    <w:p w14:paraId="673A0FC9" w14:textId="77777777" w:rsidR="007141E3" w:rsidRPr="001F22F9" w:rsidRDefault="007141E3" w:rsidP="001F22F9">
      <w:pPr>
        <w:pStyle w:val="Bullet1"/>
      </w:pPr>
      <w:r w:rsidRPr="001F22F9">
        <w:t>Priority area 3: Visibility to inform decision making</w:t>
      </w:r>
    </w:p>
    <w:p w14:paraId="397C82CA" w14:textId="77777777" w:rsidR="007141E3" w:rsidRPr="001F22F9" w:rsidRDefault="007141E3" w:rsidP="001F22F9">
      <w:pPr>
        <w:pStyle w:val="Bullet1"/>
      </w:pPr>
      <w:r w:rsidRPr="001F22F9">
        <w:t>Priority area 4: Safe, strong and sustainable communities</w:t>
      </w:r>
    </w:p>
    <w:p w14:paraId="78B24104" w14:textId="77777777" w:rsidR="007141E3" w:rsidRDefault="007141E3" w:rsidP="007141E3">
      <w:pPr>
        <w:pStyle w:val="Heading3"/>
      </w:pPr>
      <w:r>
        <w:t>Victorian Government actions</w:t>
      </w:r>
    </w:p>
    <w:p w14:paraId="69753B26" w14:textId="42ECE46C" w:rsidR="007141E3" w:rsidRPr="00D06A42" w:rsidRDefault="002E621D" w:rsidP="007141E3">
      <w:pPr>
        <w:pStyle w:val="Body"/>
      </w:pPr>
      <w:r>
        <w:t>We</w:t>
      </w:r>
      <w:r w:rsidR="007141E3" w:rsidRPr="00D06A42">
        <w:t xml:space="preserve"> will deliver </w:t>
      </w:r>
      <w:r>
        <w:t xml:space="preserve">these actions </w:t>
      </w:r>
      <w:r w:rsidR="007141E3" w:rsidRPr="00D06A42">
        <w:t>to realise the priority areas.</w:t>
      </w:r>
    </w:p>
    <w:p w14:paraId="516B1505" w14:textId="77777777" w:rsidR="007141E3" w:rsidRDefault="007141E3" w:rsidP="007141E3">
      <w:pPr>
        <w:pStyle w:val="Heading3"/>
      </w:pPr>
      <w:r w:rsidRPr="00D06A42">
        <w:t>Outcomes framework</w:t>
      </w:r>
    </w:p>
    <w:p w14:paraId="63F02215" w14:textId="77777777" w:rsidR="002E621D" w:rsidRDefault="002E621D" w:rsidP="002E621D">
      <w:pPr>
        <w:pStyle w:val="Body"/>
      </w:pPr>
      <w:r>
        <w:t>The outcomes framework will help us</w:t>
      </w:r>
      <w:r w:rsidRPr="00D06A42">
        <w:t xml:space="preserve"> know </w:t>
      </w:r>
      <w:r>
        <w:t>that</w:t>
      </w:r>
      <w:r w:rsidRPr="00D06A42">
        <w:t xml:space="preserve"> our actions are having a positive </w:t>
      </w:r>
      <w:r>
        <w:t>effect</w:t>
      </w:r>
      <w:r w:rsidRPr="00D06A42">
        <w:t>.</w:t>
      </w:r>
    </w:p>
    <w:p w14:paraId="0E5878B7" w14:textId="77777777" w:rsidR="002E621D" w:rsidRDefault="002E621D" w:rsidP="002E621D">
      <w:pPr>
        <w:pStyle w:val="Body"/>
      </w:pPr>
      <w:r>
        <w:t>It sets out k</w:t>
      </w:r>
      <w:r w:rsidRPr="00D06A42">
        <w:t>ey impacts we want to see under each priority area.</w:t>
      </w:r>
    </w:p>
    <w:p w14:paraId="731BCC55" w14:textId="77777777" w:rsidR="002E621D" w:rsidRDefault="002E621D" w:rsidP="002E621D">
      <w:pPr>
        <w:pStyle w:val="Body"/>
      </w:pPr>
      <w:r>
        <w:t xml:space="preserve">It </w:t>
      </w:r>
      <w:r w:rsidRPr="00D06A42">
        <w:t>track</w:t>
      </w:r>
      <w:r>
        <w:t>s</w:t>
      </w:r>
      <w:r w:rsidRPr="00D06A42">
        <w:t xml:space="preserve"> </w:t>
      </w:r>
      <w:r>
        <w:t>LGBTIQA+</w:t>
      </w:r>
      <w:r w:rsidRPr="00D06A42">
        <w:t xml:space="preserve"> outcomes</w:t>
      </w:r>
      <w:r>
        <w:t xml:space="preserve"> for the life of the strategy</w:t>
      </w:r>
      <w:r w:rsidRPr="00D06A42">
        <w:t>.</w:t>
      </w:r>
    </w:p>
    <w:p w14:paraId="7C2B45FA" w14:textId="75CDB094" w:rsidR="002F0C54" w:rsidRDefault="002F0C54" w:rsidP="002F0C54">
      <w:pPr>
        <w:pStyle w:val="Heading2"/>
      </w:pPr>
      <w:bookmarkStart w:id="10" w:name="_Toc183769421"/>
      <w:r>
        <w:t xml:space="preserve">Outcomes </w:t>
      </w:r>
      <w:r w:rsidRPr="0038568B">
        <w:t>framework</w:t>
      </w:r>
      <w:bookmarkEnd w:id="10"/>
    </w:p>
    <w:p w14:paraId="5B843BEE" w14:textId="5243A01D" w:rsidR="00703550" w:rsidRDefault="00703550" w:rsidP="00E20673">
      <w:pPr>
        <w:pStyle w:val="Heading3"/>
      </w:pPr>
      <w:bookmarkStart w:id="11" w:name="_Toc161297266"/>
      <w:r>
        <w:t>About</w:t>
      </w:r>
      <w:r w:rsidR="00C07044">
        <w:t xml:space="preserve"> </w:t>
      </w:r>
      <w:bookmarkEnd w:id="11"/>
    </w:p>
    <w:p w14:paraId="7BBB1D4C" w14:textId="0F86E0D5" w:rsidR="00C07044" w:rsidRDefault="00C07044" w:rsidP="00C07044">
      <w:pPr>
        <w:pStyle w:val="Body"/>
      </w:pPr>
      <w:r w:rsidRPr="00E20673">
        <w:t xml:space="preserve">The outcomes framework </w:t>
      </w:r>
      <w:r w:rsidR="002E621D">
        <w:t>is a way to see how effective</w:t>
      </w:r>
      <w:r w:rsidRPr="00E20673">
        <w:t xml:space="preserve"> </w:t>
      </w:r>
      <w:r w:rsidR="002E621D">
        <w:t xml:space="preserve">our </w:t>
      </w:r>
      <w:r w:rsidRPr="00E20673">
        <w:t xml:space="preserve">actions </w:t>
      </w:r>
      <w:r w:rsidR="002E621D">
        <w:t xml:space="preserve">are </w:t>
      </w:r>
      <w:r w:rsidRPr="00E20673">
        <w:t xml:space="preserve">over time. </w:t>
      </w:r>
      <w:r w:rsidR="002E621D">
        <w:t>It</w:t>
      </w:r>
      <w:r w:rsidRPr="00E20673">
        <w:t xml:space="preserve"> use</w:t>
      </w:r>
      <w:r w:rsidR="002E621D">
        <w:t>s</w:t>
      </w:r>
      <w:r w:rsidRPr="00E20673">
        <w:t xml:space="preserve"> data to track how Victorian LGBTIQA+ outcomes change</w:t>
      </w:r>
      <w:r w:rsidR="002E621D">
        <w:t>.</w:t>
      </w:r>
      <w:r w:rsidR="002E621D" w:rsidRPr="00E20673">
        <w:t xml:space="preserve"> </w:t>
      </w:r>
      <w:r w:rsidR="002E621D">
        <w:t>It uses</w:t>
      </w:r>
      <w:r w:rsidRPr="00E20673">
        <w:t xml:space="preserve"> </w:t>
      </w:r>
      <w:r w:rsidR="002E621D">
        <w:t>the outcomes approach set out in the government’s</w:t>
      </w:r>
      <w:r w:rsidRPr="00E20673">
        <w:t xml:space="preserve"> </w:t>
      </w:r>
      <w:r w:rsidRPr="004A5CD5">
        <w:rPr>
          <w:i/>
          <w:iCs/>
        </w:rPr>
        <w:t xml:space="preserve">Outcomes </w:t>
      </w:r>
      <w:r w:rsidR="002E621D" w:rsidRPr="004A5CD5">
        <w:rPr>
          <w:i/>
          <w:iCs/>
        </w:rPr>
        <w:t>reform in Victoria</w:t>
      </w:r>
      <w:r w:rsidR="00D9074C">
        <w:rPr>
          <w:rStyle w:val="FootnoteReference"/>
          <w:i/>
          <w:iCs/>
        </w:rPr>
        <w:footnoteReference w:id="2"/>
      </w:r>
      <w:r w:rsidR="00835BBE">
        <w:rPr>
          <w:i/>
          <w:iCs/>
        </w:rPr>
        <w:t>.</w:t>
      </w:r>
      <w:r w:rsidR="002E621D">
        <w:t xml:space="preserve"> </w:t>
      </w:r>
    </w:p>
    <w:p w14:paraId="61CAED89" w14:textId="64442FA7" w:rsidR="00F54F11" w:rsidRPr="00F54F11" w:rsidRDefault="00F54F11" w:rsidP="00E20673">
      <w:pPr>
        <w:pStyle w:val="Heading3"/>
      </w:pPr>
      <w:bookmarkStart w:id="12" w:name="_Toc161297267"/>
      <w:r>
        <w:t xml:space="preserve">Structure </w:t>
      </w:r>
      <w:bookmarkEnd w:id="12"/>
    </w:p>
    <w:p w14:paraId="7E481F46" w14:textId="441D439C" w:rsidR="00805844" w:rsidRPr="00FF03F2" w:rsidRDefault="001D2084" w:rsidP="00B04844">
      <w:pPr>
        <w:pStyle w:val="Body"/>
      </w:pPr>
      <w:r>
        <w:t>Th</w:t>
      </w:r>
      <w:r w:rsidR="00342300">
        <w:t>e</w:t>
      </w:r>
      <w:r>
        <w:t xml:space="preserve"> </w:t>
      </w:r>
      <w:r w:rsidR="000C23E7">
        <w:t xml:space="preserve">outcomes </w:t>
      </w:r>
      <w:r w:rsidRPr="00FF03F2">
        <w:t xml:space="preserve">framework </w:t>
      </w:r>
      <w:r w:rsidR="00045BAB">
        <w:t>has</w:t>
      </w:r>
      <w:r w:rsidRPr="00FF03F2">
        <w:t xml:space="preserve"> </w:t>
      </w:r>
      <w:r w:rsidR="005C4F58">
        <w:t xml:space="preserve">10 </w:t>
      </w:r>
      <w:r w:rsidR="00DB1F84" w:rsidRPr="00E20673">
        <w:t xml:space="preserve">outcomes </w:t>
      </w:r>
      <w:r w:rsidRPr="00FF03F2">
        <w:t xml:space="preserve">and </w:t>
      </w:r>
      <w:r w:rsidR="000C23E7" w:rsidRPr="00FF03F2">
        <w:t xml:space="preserve">a </w:t>
      </w:r>
      <w:r w:rsidRPr="00FF03F2">
        <w:t>logic model</w:t>
      </w:r>
      <w:r w:rsidR="004B74ED" w:rsidRPr="00FF03F2">
        <w:t xml:space="preserve"> for the</w:t>
      </w:r>
      <w:r w:rsidR="00A62CCF" w:rsidRPr="00FF03F2">
        <w:t xml:space="preserve"> </w:t>
      </w:r>
      <w:r w:rsidR="004B74ED" w:rsidRPr="00FF03F2">
        <w:t>strategy</w:t>
      </w:r>
      <w:r w:rsidRPr="00FF03F2">
        <w:t xml:space="preserve">. </w:t>
      </w:r>
    </w:p>
    <w:p w14:paraId="0C9AA30F" w14:textId="743E9D7B" w:rsidR="00D53A73" w:rsidRDefault="00B24226" w:rsidP="00B04844">
      <w:pPr>
        <w:pStyle w:val="Body"/>
      </w:pPr>
      <w:r w:rsidRPr="00FF03F2">
        <w:t xml:space="preserve">The </w:t>
      </w:r>
      <w:r w:rsidR="008B0E57">
        <w:t>10 outcomes are split across</w:t>
      </w:r>
      <w:r w:rsidR="002A119A">
        <w:t xml:space="preserve"> 4</w:t>
      </w:r>
      <w:r w:rsidR="00202507" w:rsidRPr="00FF03F2">
        <w:t xml:space="preserve"> </w:t>
      </w:r>
      <w:r w:rsidR="00202507" w:rsidRPr="00E20673">
        <w:t>domains</w:t>
      </w:r>
      <w:r w:rsidR="002E621D">
        <w:t>.</w:t>
      </w:r>
      <w:r w:rsidR="00805844" w:rsidRPr="00FF03F2">
        <w:t xml:space="preserve"> </w:t>
      </w:r>
      <w:r w:rsidR="002E621D">
        <w:t xml:space="preserve">These </w:t>
      </w:r>
      <w:r w:rsidR="004F6A9B" w:rsidRPr="00E20673">
        <w:t>align with</w:t>
      </w:r>
      <w:r w:rsidR="002E621D">
        <w:t xml:space="preserve"> the</w:t>
      </w:r>
      <w:r w:rsidR="004F6A9B" w:rsidRPr="00E20673">
        <w:t xml:space="preserve"> </w:t>
      </w:r>
      <w:r w:rsidR="002A119A">
        <w:t>4</w:t>
      </w:r>
      <w:r w:rsidR="00800636" w:rsidRPr="00CB6F2D">
        <w:t xml:space="preserve"> priority areas</w:t>
      </w:r>
      <w:r w:rsidR="00736FEE" w:rsidRPr="00E20673">
        <w:t xml:space="preserve"> </w:t>
      </w:r>
      <w:r w:rsidR="00800636" w:rsidRPr="00CB6F2D">
        <w:t>in</w:t>
      </w:r>
      <w:r w:rsidR="00A62CCF">
        <w:t xml:space="preserve"> the strategy</w:t>
      </w:r>
      <w:r w:rsidR="00F54F11" w:rsidRPr="00CB6F2D">
        <w:t xml:space="preserve">. </w:t>
      </w:r>
      <w:r w:rsidR="00342300">
        <w:t xml:space="preserve">Each of the 4 domains </w:t>
      </w:r>
      <w:r w:rsidR="002E621D">
        <w:t xml:space="preserve">has its </w:t>
      </w:r>
      <w:r w:rsidR="00342300">
        <w:t xml:space="preserve">own </w:t>
      </w:r>
      <w:r w:rsidR="0033061E">
        <w:t xml:space="preserve">logic </w:t>
      </w:r>
      <w:r w:rsidR="0033061E" w:rsidRPr="00CB6F2D">
        <w:t>model.</w:t>
      </w:r>
    </w:p>
    <w:p w14:paraId="5106EF9D" w14:textId="68767D00" w:rsidR="002E621D" w:rsidRDefault="00D53A73" w:rsidP="00A62CCF">
      <w:pPr>
        <w:pStyle w:val="Body"/>
      </w:pPr>
      <w:r>
        <w:t>The</w:t>
      </w:r>
      <w:r w:rsidR="00A62CCF">
        <w:t xml:space="preserve"> </w:t>
      </w:r>
      <w:r w:rsidR="00800636" w:rsidRPr="007C63F1">
        <w:t xml:space="preserve">10 </w:t>
      </w:r>
      <w:r w:rsidR="00800636" w:rsidRPr="00CB6F2D">
        <w:t>outcomes</w:t>
      </w:r>
      <w:r w:rsidR="006C1881">
        <w:t xml:space="preserve"> </w:t>
      </w:r>
      <w:r w:rsidR="00A62CCF">
        <w:t>are</w:t>
      </w:r>
      <w:r w:rsidR="003845E3">
        <w:t xml:space="preserve"> </w:t>
      </w:r>
      <w:r w:rsidR="00A62CCF">
        <w:t>split across</w:t>
      </w:r>
      <w:r w:rsidR="00F54F11">
        <w:t xml:space="preserve"> </w:t>
      </w:r>
      <w:r w:rsidR="00800636" w:rsidRPr="007C63F1">
        <w:t>the short</w:t>
      </w:r>
      <w:r w:rsidR="002E621D">
        <w:t xml:space="preserve"> </w:t>
      </w:r>
      <w:r w:rsidR="00E45193">
        <w:t>term</w:t>
      </w:r>
      <w:r w:rsidR="00800636" w:rsidRPr="007C63F1">
        <w:t xml:space="preserve"> (1</w:t>
      </w:r>
      <w:r w:rsidR="00F54F11">
        <w:t xml:space="preserve"> to </w:t>
      </w:r>
      <w:r w:rsidR="00800636" w:rsidRPr="007C63F1">
        <w:t>3 years), medium</w:t>
      </w:r>
      <w:r w:rsidR="002E621D">
        <w:t xml:space="preserve"> </w:t>
      </w:r>
      <w:r w:rsidR="00E45193">
        <w:t xml:space="preserve">term </w:t>
      </w:r>
      <w:r w:rsidR="00800636" w:rsidRPr="007C63F1">
        <w:t>(4</w:t>
      </w:r>
      <w:r w:rsidR="00F54F11">
        <w:t xml:space="preserve"> to </w:t>
      </w:r>
      <w:r w:rsidR="00800636" w:rsidRPr="007C63F1">
        <w:t>7 years) and long</w:t>
      </w:r>
      <w:r w:rsidR="002E621D">
        <w:t xml:space="preserve"> </w:t>
      </w:r>
      <w:r w:rsidR="00E45193">
        <w:t xml:space="preserve">term </w:t>
      </w:r>
      <w:r w:rsidR="00800636" w:rsidRPr="007C63F1">
        <w:t>(8</w:t>
      </w:r>
      <w:r w:rsidR="00F54F11">
        <w:t xml:space="preserve"> to </w:t>
      </w:r>
      <w:r w:rsidR="00800636" w:rsidRPr="007C63F1">
        <w:t xml:space="preserve">10 years). </w:t>
      </w:r>
    </w:p>
    <w:p w14:paraId="6FE8B2DE" w14:textId="0227EEF5" w:rsidR="00800636" w:rsidRDefault="001F257B" w:rsidP="00A62CCF">
      <w:pPr>
        <w:pStyle w:val="Body"/>
      </w:pPr>
      <w:r>
        <w:t>We will measure progress towards achieving the</w:t>
      </w:r>
      <w:r w:rsidR="00271310">
        <w:t xml:space="preserve"> </w:t>
      </w:r>
      <w:r>
        <w:t xml:space="preserve">outcomes by using </w:t>
      </w:r>
      <w:r w:rsidRPr="007C63F1">
        <w:t>outcome indicators and measures</w:t>
      </w:r>
      <w:r>
        <w:t xml:space="preserve">. </w:t>
      </w:r>
    </w:p>
    <w:p w14:paraId="05314EAD" w14:textId="5EA3E805" w:rsidR="004A1B70" w:rsidRDefault="009A3EA6" w:rsidP="00A62CCF">
      <w:pPr>
        <w:pStyle w:val="Body"/>
      </w:pPr>
      <w:r w:rsidRPr="009A3EA6">
        <w:t>We note the outcomes framework includes measures that are still to be determined. We will add new measures throughout the implementation of the strategy.</w:t>
      </w:r>
    </w:p>
    <w:p w14:paraId="4A3F6F0D" w14:textId="1D0539C0" w:rsidR="00F91518" w:rsidRPr="00244DBF" w:rsidRDefault="0039029C" w:rsidP="00E20673">
      <w:pPr>
        <w:pStyle w:val="Heading3"/>
      </w:pPr>
      <w:r w:rsidRPr="004A5CD5">
        <w:t>D</w:t>
      </w:r>
      <w:r w:rsidR="007A113A" w:rsidRPr="004A5CD5">
        <w:t>omains</w:t>
      </w:r>
    </w:p>
    <w:p w14:paraId="5F4BAD4F" w14:textId="0D67D09F" w:rsidR="00A36E7A" w:rsidRDefault="005D013D" w:rsidP="00A36E7A">
      <w:pPr>
        <w:pStyle w:val="Body"/>
      </w:pPr>
      <w:r>
        <w:t xml:space="preserve">The </w:t>
      </w:r>
      <w:r w:rsidR="009240A6">
        <w:t xml:space="preserve">4 </w:t>
      </w:r>
      <w:r w:rsidR="00920A91">
        <w:t>domains</w:t>
      </w:r>
      <w:r>
        <w:t xml:space="preserve"> of the strategy</w:t>
      </w:r>
      <w:r w:rsidR="009240A6">
        <w:t xml:space="preserve"> will guide our actions</w:t>
      </w:r>
      <w:r w:rsidR="00A36E7A" w:rsidRPr="0038568B">
        <w:t>.</w:t>
      </w:r>
    </w:p>
    <w:p w14:paraId="15F08DEE" w14:textId="0552B28B" w:rsidR="00096250" w:rsidRPr="00D53A73" w:rsidRDefault="00D53A73" w:rsidP="00D53A73">
      <w:pPr>
        <w:pStyle w:val="Bodyafterbullets"/>
      </w:pPr>
      <w:r>
        <w:t>The outcomes for each domain include indicators and measures.</w:t>
      </w:r>
    </w:p>
    <w:p w14:paraId="175E4383" w14:textId="379696AA" w:rsidR="00F54F11" w:rsidRDefault="00F54F11" w:rsidP="00D53A73">
      <w:pPr>
        <w:pStyle w:val="Body"/>
      </w:pPr>
      <w:r>
        <w:t xml:space="preserve">We will update the </w:t>
      </w:r>
      <w:r w:rsidR="00E31D58">
        <w:t xml:space="preserve">outcomes </w:t>
      </w:r>
      <w:r w:rsidR="00800636" w:rsidRPr="007C63F1">
        <w:t xml:space="preserve">framework as new priorities </w:t>
      </w:r>
      <w:r>
        <w:t xml:space="preserve">emerge </w:t>
      </w:r>
      <w:r w:rsidR="00800636" w:rsidRPr="007C63F1">
        <w:t xml:space="preserve">and more data </w:t>
      </w:r>
      <w:r w:rsidRPr="00D53A73">
        <w:t>is</w:t>
      </w:r>
      <w:r w:rsidRPr="007C63F1">
        <w:t xml:space="preserve"> </w:t>
      </w:r>
      <w:r w:rsidR="00800636" w:rsidRPr="007C63F1">
        <w:t xml:space="preserve">available. </w:t>
      </w:r>
    </w:p>
    <w:p w14:paraId="485D960C" w14:textId="3F0A8C94" w:rsidR="00CC42D1" w:rsidRDefault="00CC42D1" w:rsidP="00CC42D1">
      <w:pPr>
        <w:pStyle w:val="Heading4"/>
      </w:pPr>
      <w:r>
        <w:t>Definitions and key terms</w:t>
      </w:r>
    </w:p>
    <w:p w14:paraId="4952137E" w14:textId="721A629E" w:rsidR="00CC42D1" w:rsidRDefault="005E2BD3" w:rsidP="002E621D">
      <w:pPr>
        <w:pStyle w:val="Body"/>
      </w:pPr>
      <w:r>
        <w:rPr>
          <w:b/>
          <w:bCs/>
        </w:rPr>
        <w:t>L</w:t>
      </w:r>
      <w:r w:rsidR="00CC42D1" w:rsidRPr="005B2E02">
        <w:rPr>
          <w:b/>
          <w:bCs/>
        </w:rPr>
        <w:t>ogic model</w:t>
      </w:r>
      <w:r>
        <w:rPr>
          <w:b/>
          <w:bCs/>
        </w:rPr>
        <w:t>s</w:t>
      </w:r>
      <w:r w:rsidR="00CC42D1" w:rsidRPr="003C5A39">
        <w:t xml:space="preserve"> </w:t>
      </w:r>
      <w:r w:rsidR="002E621D">
        <w:t>show</w:t>
      </w:r>
      <w:r w:rsidR="00CC42D1" w:rsidRPr="003C5A39">
        <w:t xml:space="preserve"> how the strategy will drive change for LGBTIQA+ communities</w:t>
      </w:r>
      <w:r w:rsidR="002E621D">
        <w:t>.</w:t>
      </w:r>
      <w:r w:rsidR="00CC42D1" w:rsidRPr="003C5A39">
        <w:t xml:space="preserve"> </w:t>
      </w:r>
      <w:r w:rsidR="002E621D">
        <w:t>It</w:t>
      </w:r>
      <w:r w:rsidR="002E621D" w:rsidRPr="003C5A39">
        <w:t xml:space="preserve"> </w:t>
      </w:r>
      <w:r w:rsidR="002E621D">
        <w:t>sets out</w:t>
      </w:r>
      <w:r w:rsidR="002E621D" w:rsidRPr="003C5A39">
        <w:t xml:space="preserve"> </w:t>
      </w:r>
      <w:r w:rsidR="00CC42D1" w:rsidRPr="003C5A39">
        <w:t xml:space="preserve">the relationship between strategy actions, outputs, indicators and outcomes. It </w:t>
      </w:r>
      <w:r w:rsidR="002E621D">
        <w:t>includes</w:t>
      </w:r>
      <w:r w:rsidR="002E621D" w:rsidRPr="003C5A39">
        <w:t xml:space="preserve"> </w:t>
      </w:r>
      <w:r w:rsidR="00CC42D1" w:rsidRPr="003C5A39">
        <w:t xml:space="preserve">the purpose and expected </w:t>
      </w:r>
      <w:r w:rsidR="00CC42D1">
        <w:t xml:space="preserve">signs of </w:t>
      </w:r>
      <w:r w:rsidR="00CC42D1" w:rsidRPr="003C5A39">
        <w:t xml:space="preserve">impact of the strategy. </w:t>
      </w:r>
    </w:p>
    <w:p w14:paraId="7E47471F" w14:textId="5D8510ED" w:rsidR="002E0F5B" w:rsidRDefault="005E2BD3" w:rsidP="004A5CD5">
      <w:pPr>
        <w:pStyle w:val="Body"/>
      </w:pPr>
      <w:r>
        <w:rPr>
          <w:b/>
          <w:bCs/>
        </w:rPr>
        <w:t>I</w:t>
      </w:r>
      <w:r w:rsidR="002E0F5B" w:rsidRPr="005B2E02">
        <w:rPr>
          <w:b/>
          <w:bCs/>
        </w:rPr>
        <w:t>ndicator</w:t>
      </w:r>
      <w:r>
        <w:rPr>
          <w:b/>
          <w:bCs/>
        </w:rPr>
        <w:t>s</w:t>
      </w:r>
      <w:r w:rsidR="002E0F5B">
        <w:t xml:space="preserve"> </w:t>
      </w:r>
      <w:r w:rsidR="002E0F5B" w:rsidRPr="008E1909">
        <w:t>measure</w:t>
      </w:r>
      <w:r w:rsidR="002E621D">
        <w:t>s</w:t>
      </w:r>
      <w:r w:rsidR="002E0F5B" w:rsidRPr="008E1909">
        <w:t xml:space="preserve"> the </w:t>
      </w:r>
      <w:r w:rsidR="002E0F5B">
        <w:t>success of</w:t>
      </w:r>
      <w:r w:rsidR="002E0F5B" w:rsidRPr="008E1909">
        <w:t xml:space="preserve"> actions and outputs delivered under the strategy. Outcome indicators help </w:t>
      </w:r>
      <w:r w:rsidR="002E0F5B" w:rsidRPr="002E621D">
        <w:t>us</w:t>
      </w:r>
      <w:r w:rsidR="002E0F5B" w:rsidRPr="008E1909">
        <w:t xml:space="preserve"> to monitor progress and </w:t>
      </w:r>
      <w:r w:rsidR="002E0F5B">
        <w:t>assess</w:t>
      </w:r>
      <w:r w:rsidR="002E0F5B" w:rsidRPr="008E1909">
        <w:t xml:space="preserve"> whether </w:t>
      </w:r>
      <w:r w:rsidR="002E0F5B">
        <w:t>the</w:t>
      </w:r>
      <w:r w:rsidR="002E0F5B" w:rsidRPr="008E1909">
        <w:t xml:space="preserve"> outcomes are on track.</w:t>
      </w:r>
    </w:p>
    <w:p w14:paraId="0E75B6F8" w14:textId="367C8979" w:rsidR="00CC42D1" w:rsidRDefault="00022A20" w:rsidP="00CC42D1">
      <w:pPr>
        <w:pStyle w:val="Body"/>
      </w:pPr>
      <w:r>
        <w:rPr>
          <w:b/>
          <w:bCs/>
        </w:rPr>
        <w:t>O</w:t>
      </w:r>
      <w:r w:rsidR="00CC42D1" w:rsidRPr="00AB7805">
        <w:rPr>
          <w:b/>
          <w:bCs/>
        </w:rPr>
        <w:t>utcomes</w:t>
      </w:r>
      <w:r w:rsidR="00CC42D1" w:rsidRPr="00AB7805">
        <w:t xml:space="preserve"> show us what success looks like</w:t>
      </w:r>
      <w:r w:rsidR="008B44DB" w:rsidRPr="00AB7805">
        <w:t xml:space="preserve"> and reflect our vision for </w:t>
      </w:r>
      <w:r w:rsidR="008B44DB" w:rsidRPr="00E20673">
        <w:t>LGBTIQA+ people and communities</w:t>
      </w:r>
      <w:r w:rsidR="00CC42D1">
        <w:t>.</w:t>
      </w:r>
      <w:r w:rsidR="00CC42D1" w:rsidRPr="005B2E02">
        <w:t xml:space="preserve"> </w:t>
      </w:r>
      <w:r w:rsidR="00AB7805">
        <w:t>They</w:t>
      </w:r>
      <w:r w:rsidR="00CC42D1" w:rsidRPr="005B2E02">
        <w:t xml:space="preserve"> are clear</w:t>
      </w:r>
      <w:r w:rsidR="00BA6030">
        <w:t xml:space="preserve"> </w:t>
      </w:r>
      <w:r w:rsidR="00CC42D1" w:rsidRPr="005B2E02">
        <w:t xml:space="preserve">and high-level statements. </w:t>
      </w:r>
    </w:p>
    <w:p w14:paraId="6D0BF667" w14:textId="22DF3BE4" w:rsidR="00CC42D1" w:rsidRDefault="00CC42D1" w:rsidP="00CC42D1">
      <w:pPr>
        <w:pStyle w:val="Body"/>
      </w:pPr>
      <w:r w:rsidRPr="005B2E02">
        <w:rPr>
          <w:b/>
          <w:bCs/>
        </w:rPr>
        <w:t>Measures</w:t>
      </w:r>
      <w:r w:rsidRPr="005C5045">
        <w:t xml:space="preserve"> are the sources</w:t>
      </w:r>
      <w:r w:rsidR="00671B29">
        <w:t xml:space="preserve"> of data</w:t>
      </w:r>
      <w:r w:rsidRPr="005C5045">
        <w:t xml:space="preserve"> that provide evidence of progress</w:t>
      </w:r>
      <w:r w:rsidR="00671B29">
        <w:t>.</w:t>
      </w:r>
      <w:r w:rsidR="00275F26">
        <w:t xml:space="preserve"> </w:t>
      </w:r>
      <w:r w:rsidRPr="005C5045">
        <w:t xml:space="preserve">Measures can be both qualitative and quantitative. </w:t>
      </w:r>
    </w:p>
    <w:p w14:paraId="0409011A" w14:textId="288DB0FB" w:rsidR="00CC42D1" w:rsidRDefault="00CC42D1" w:rsidP="00CC42D1">
      <w:pPr>
        <w:pStyle w:val="Body"/>
      </w:pPr>
      <w:r w:rsidRPr="005B2E02">
        <w:rPr>
          <w:b/>
          <w:bCs/>
        </w:rPr>
        <w:t>Signs of impact</w:t>
      </w:r>
      <w:r w:rsidRPr="00577F5D">
        <w:t xml:space="preserve"> refer to the observable and measurable evidence that show</w:t>
      </w:r>
      <w:r w:rsidR="00022A20">
        <w:t>s</w:t>
      </w:r>
      <w:r w:rsidR="00273E29">
        <w:t xml:space="preserve"> the </w:t>
      </w:r>
      <w:r w:rsidRPr="00577F5D">
        <w:t xml:space="preserve">changes resulting from the strategy. These </w:t>
      </w:r>
      <w:r w:rsidR="009F76C5">
        <w:t xml:space="preserve">changes, or </w:t>
      </w:r>
      <w:r w:rsidRPr="00577F5D">
        <w:t>signs</w:t>
      </w:r>
      <w:r w:rsidR="00273E29">
        <w:t xml:space="preserve"> of impact</w:t>
      </w:r>
      <w:r w:rsidR="009F76C5">
        <w:t>,</w:t>
      </w:r>
      <w:r w:rsidRPr="00577F5D">
        <w:t xml:space="preserve"> indicate that the strategy is making progress toward</w:t>
      </w:r>
      <w:r w:rsidR="00022A20">
        <w:t>s</w:t>
      </w:r>
      <w:r w:rsidRPr="00577F5D">
        <w:t xml:space="preserve"> its vision.</w:t>
      </w:r>
    </w:p>
    <w:p w14:paraId="0F311927" w14:textId="5ECB4394" w:rsidR="00D806CA" w:rsidRDefault="00D806CA" w:rsidP="00CC42D1">
      <w:pPr>
        <w:pStyle w:val="Body"/>
      </w:pPr>
      <w:r w:rsidRPr="00D174DD">
        <w:rPr>
          <w:b/>
          <w:bCs/>
        </w:rPr>
        <w:t>Intersectionality</w:t>
      </w:r>
      <w:r w:rsidRPr="00D174DD">
        <w:t xml:space="preserve"> i</w:t>
      </w:r>
      <w:r w:rsidR="00963274">
        <w:t>s</w:t>
      </w:r>
      <w:r w:rsidRPr="00D174DD">
        <w:t xml:space="preserve"> an approach to understanding how social meanings related to the way we categorise and identify can overlap and interconnect. This creates different layers and types of discrimination or disadvantage for either an individual or group. Categories include gender, sexual orientation, sex characteristics, ethnicity, language, faith, class, socioeconomic status, ability and age. </w:t>
      </w:r>
    </w:p>
    <w:p w14:paraId="5C9B4B78" w14:textId="23AE7BF1" w:rsidR="00800636" w:rsidRPr="001D014F" w:rsidRDefault="006A0252" w:rsidP="00244DBF">
      <w:pPr>
        <w:pStyle w:val="Heading2"/>
      </w:pPr>
      <w:bookmarkStart w:id="13" w:name="_Toc161297268"/>
      <w:bookmarkStart w:id="14" w:name="_Toc183769422"/>
      <w:r w:rsidRPr="001D014F">
        <w:t>C</w:t>
      </w:r>
      <w:r w:rsidR="00800636" w:rsidRPr="001D014F">
        <w:t>onsultation</w:t>
      </w:r>
      <w:bookmarkEnd w:id="13"/>
      <w:bookmarkEnd w:id="14"/>
    </w:p>
    <w:p w14:paraId="64BE56A8" w14:textId="2E323517" w:rsidR="00D53A73" w:rsidRPr="00933383" w:rsidRDefault="00AE6D97" w:rsidP="00933383">
      <w:pPr>
        <w:pStyle w:val="Body"/>
      </w:pPr>
      <w:r w:rsidRPr="00933383">
        <w:t>We consulted</w:t>
      </w:r>
      <w:r w:rsidR="00800636" w:rsidRPr="00933383">
        <w:t xml:space="preserve"> with </w:t>
      </w:r>
      <w:r w:rsidR="002C5BB1" w:rsidRPr="00933383">
        <w:t>key stakeholders</w:t>
      </w:r>
      <w:r w:rsidRPr="00933383">
        <w:t xml:space="preserve"> to develop the outcomes framework. </w:t>
      </w:r>
    </w:p>
    <w:p w14:paraId="7DED7A7F" w14:textId="3A50A5CE" w:rsidR="00AE6D97" w:rsidRPr="00933383" w:rsidRDefault="006A0252" w:rsidP="00933383">
      <w:pPr>
        <w:pStyle w:val="Body"/>
      </w:pPr>
      <w:r w:rsidRPr="00933383">
        <w:t>This</w:t>
      </w:r>
      <w:r w:rsidR="00AE6D97" w:rsidRPr="00933383">
        <w:t xml:space="preserve"> included: </w:t>
      </w:r>
    </w:p>
    <w:p w14:paraId="56F5C149" w14:textId="680D5A13" w:rsidR="00AE6D97" w:rsidRPr="00BF46A1" w:rsidRDefault="00800636" w:rsidP="00244DBF">
      <w:pPr>
        <w:pStyle w:val="Bullet1"/>
      </w:pPr>
      <w:r w:rsidRPr="00BF46A1">
        <w:t>Office of the Commissioner for LGBTIQA+ Communities</w:t>
      </w:r>
    </w:p>
    <w:p w14:paraId="05C476C4" w14:textId="634568B6" w:rsidR="00AE6D97" w:rsidRPr="00BF46A1" w:rsidRDefault="00800636" w:rsidP="00BF46A1">
      <w:pPr>
        <w:pStyle w:val="Bullet1"/>
      </w:pPr>
      <w:r w:rsidRPr="00BF46A1">
        <w:t>LGBTIQA+ Taskforce</w:t>
      </w:r>
    </w:p>
    <w:p w14:paraId="0C2D5E85" w14:textId="78CEF7D6" w:rsidR="00AE6D97" w:rsidRPr="00BF46A1" w:rsidRDefault="00D12A4D" w:rsidP="00BF46A1">
      <w:pPr>
        <w:pStyle w:val="Bullet1"/>
      </w:pPr>
      <w:r w:rsidRPr="00BF46A1">
        <w:t xml:space="preserve">LGBTIQA+ </w:t>
      </w:r>
      <w:r w:rsidR="00800636" w:rsidRPr="00BF46A1">
        <w:t>Justice and Health and Wellbeing Working Groups</w:t>
      </w:r>
    </w:p>
    <w:p w14:paraId="5CA606B3" w14:textId="3706D842" w:rsidR="00D12A4D" w:rsidRPr="00BF46A1" w:rsidRDefault="003148B3" w:rsidP="00BF46A1">
      <w:pPr>
        <w:pStyle w:val="Bullet1"/>
      </w:pPr>
      <w:r w:rsidRPr="00BF46A1">
        <w:t>M</w:t>
      </w:r>
      <w:r w:rsidR="00800636" w:rsidRPr="00BF46A1">
        <w:t>embers of the cross</w:t>
      </w:r>
      <w:r w:rsidR="00AE6D97" w:rsidRPr="00BF46A1">
        <w:t>-</w:t>
      </w:r>
      <w:r w:rsidR="00800636" w:rsidRPr="00BF46A1">
        <w:t xml:space="preserve">government </w:t>
      </w:r>
      <w:r w:rsidR="00AE6D97" w:rsidRPr="00BF46A1">
        <w:t>interdepartmental steering g</w:t>
      </w:r>
      <w:r w:rsidR="00800636" w:rsidRPr="00BF46A1">
        <w:t>roup</w:t>
      </w:r>
    </w:p>
    <w:p w14:paraId="1E6F565A" w14:textId="0923C363" w:rsidR="006852F4" w:rsidRPr="00BF46A1" w:rsidRDefault="00801829" w:rsidP="00BF46A1">
      <w:pPr>
        <w:pStyle w:val="Bullet1"/>
      </w:pPr>
      <w:r w:rsidRPr="00BF46A1">
        <w:t>Centre for Victorian Data Linkage</w:t>
      </w:r>
    </w:p>
    <w:p w14:paraId="4CAB33FA" w14:textId="4B726EBA" w:rsidR="00800636" w:rsidRPr="00BF46A1" w:rsidRDefault="00D12A4D" w:rsidP="00BF46A1">
      <w:pPr>
        <w:pStyle w:val="Bullet1"/>
      </w:pPr>
      <w:r w:rsidRPr="00BF46A1">
        <w:t xml:space="preserve">Equality </w:t>
      </w:r>
      <w:r w:rsidR="003148B3" w:rsidRPr="00BF46A1">
        <w:t>portfolio in the</w:t>
      </w:r>
      <w:r w:rsidRPr="00BF46A1">
        <w:t xml:space="preserve"> Department of Families, Fairness and</w:t>
      </w:r>
      <w:r w:rsidR="00403070" w:rsidRPr="00BF46A1">
        <w:t xml:space="preserve"> Housing</w:t>
      </w:r>
      <w:r w:rsidR="00800636" w:rsidRPr="00BF46A1">
        <w:t>.</w:t>
      </w:r>
    </w:p>
    <w:p w14:paraId="51F3B492" w14:textId="7136DB1B" w:rsidR="00AE6D97" w:rsidRDefault="00AE6D97" w:rsidP="00AE6D97">
      <w:pPr>
        <w:pStyle w:val="Bodyafterbullets"/>
      </w:pPr>
      <w:r>
        <w:t xml:space="preserve">The consultation </w:t>
      </w:r>
      <w:r w:rsidR="001F28E7">
        <w:t>suggested</w:t>
      </w:r>
      <w:r>
        <w:t xml:space="preserve"> 194 </w:t>
      </w:r>
      <w:r w:rsidR="001F28E7">
        <w:t>possible</w:t>
      </w:r>
      <w:r>
        <w:t xml:space="preserve"> measures. </w:t>
      </w:r>
    </w:p>
    <w:p w14:paraId="3B474F89" w14:textId="000EA765" w:rsidR="00346BF8" w:rsidRDefault="00AE6D97" w:rsidP="00E20673">
      <w:pPr>
        <w:pStyle w:val="Body"/>
      </w:pPr>
      <w:r>
        <w:t xml:space="preserve">The Equality </w:t>
      </w:r>
      <w:r w:rsidR="003148B3">
        <w:t xml:space="preserve">portfolio </w:t>
      </w:r>
      <w:r w:rsidRPr="006A0252">
        <w:t>then</w:t>
      </w:r>
      <w:r>
        <w:t xml:space="preserve"> reviewed </w:t>
      </w:r>
      <w:r w:rsidR="00194B6C">
        <w:t>these</w:t>
      </w:r>
      <w:r>
        <w:t xml:space="preserve"> indicators and measures</w:t>
      </w:r>
      <w:r w:rsidR="00346BF8">
        <w:t xml:space="preserve">. </w:t>
      </w:r>
    </w:p>
    <w:p w14:paraId="1ED36837" w14:textId="7B59BF8E" w:rsidR="00AE6D97" w:rsidRPr="00AE6D97" w:rsidRDefault="00346BF8" w:rsidP="006A0252">
      <w:pPr>
        <w:pStyle w:val="Body"/>
      </w:pPr>
      <w:r>
        <w:t>This work produced the</w:t>
      </w:r>
      <w:r w:rsidR="00D53A73">
        <w:t xml:space="preserve"> outcomes, indicators and </w:t>
      </w:r>
      <w:r w:rsidR="00D53A73" w:rsidRPr="006A0252">
        <w:t>m</w:t>
      </w:r>
      <w:r w:rsidRPr="006A0252">
        <w:t>easures</w:t>
      </w:r>
      <w:r>
        <w:t xml:space="preserve"> in this framework. </w:t>
      </w:r>
    </w:p>
    <w:p w14:paraId="7026B492" w14:textId="5CED6EFF" w:rsidR="002934F4" w:rsidRPr="00096250" w:rsidRDefault="002934F4" w:rsidP="002934F4">
      <w:pPr>
        <w:pStyle w:val="Heading1"/>
      </w:pPr>
      <w:bookmarkStart w:id="15" w:name="_Toc161297269"/>
      <w:r>
        <w:br w:type="page"/>
      </w:r>
      <w:bookmarkStart w:id="16" w:name="_Toc183769423"/>
      <w:r w:rsidR="0009412B">
        <w:t>LGBTIQA+ data</w:t>
      </w:r>
      <w:r>
        <w:t xml:space="preserve"> </w:t>
      </w:r>
      <w:r w:rsidR="00593E19" w:rsidRPr="00FD18B3">
        <w:t>gaps</w:t>
      </w:r>
      <w:bookmarkEnd w:id="16"/>
    </w:p>
    <w:p w14:paraId="5EF5E18C" w14:textId="55111C00" w:rsidR="00800636" w:rsidRPr="00800636" w:rsidRDefault="00DB045F" w:rsidP="00244DBF">
      <w:pPr>
        <w:pStyle w:val="Heading2"/>
      </w:pPr>
      <w:bookmarkStart w:id="17" w:name="_Toc183769424"/>
      <w:r>
        <w:t>We are working to a</w:t>
      </w:r>
      <w:r w:rsidR="00800636" w:rsidRPr="00FD18B3">
        <w:t>ddress</w:t>
      </w:r>
      <w:r>
        <w:t xml:space="preserve"> </w:t>
      </w:r>
      <w:r w:rsidR="00EC6753">
        <w:t xml:space="preserve">LGBTIQA+ </w:t>
      </w:r>
      <w:r w:rsidR="00800636" w:rsidRPr="00FD18B3">
        <w:t>data gaps</w:t>
      </w:r>
      <w:bookmarkEnd w:id="15"/>
      <w:r w:rsidR="00971640" w:rsidRPr="006175B0">
        <w:t xml:space="preserve"> and have made </w:t>
      </w:r>
      <w:r w:rsidR="001D68F1" w:rsidRPr="006175B0">
        <w:t>gains</w:t>
      </w:r>
      <w:bookmarkEnd w:id="17"/>
    </w:p>
    <w:p w14:paraId="15F07857" w14:textId="4E13A2E1" w:rsidR="00096250" w:rsidRDefault="00754024" w:rsidP="00B04844">
      <w:pPr>
        <w:pStyle w:val="Body"/>
      </w:pPr>
      <w:r w:rsidRPr="006175B0">
        <w:t>There are currently</w:t>
      </w:r>
      <w:r w:rsidR="00096250">
        <w:t xml:space="preserve"> </w:t>
      </w:r>
      <w:r w:rsidR="00646DCD">
        <w:t>significant</w:t>
      </w:r>
      <w:r w:rsidR="00096250">
        <w:t xml:space="preserve"> gaps in data</w:t>
      </w:r>
      <w:r w:rsidR="00646DCD">
        <w:t xml:space="preserve"> for LGBTIQA+ people and communities</w:t>
      </w:r>
      <w:r w:rsidR="00096250">
        <w:t xml:space="preserve">. </w:t>
      </w:r>
      <w:r w:rsidRPr="006175B0">
        <w:t>These data gaps are in part due to outdated systems that exclude some LGBTIQA+ people.</w:t>
      </w:r>
      <w:r w:rsidR="00D60829" w:rsidRPr="006175B0">
        <w:t xml:space="preserve"> </w:t>
      </w:r>
    </w:p>
    <w:p w14:paraId="52EBF85C" w14:textId="6A82661E" w:rsidR="00A44547" w:rsidRPr="006175B0" w:rsidRDefault="00AD42C1" w:rsidP="00AD42C1">
      <w:pPr>
        <w:pStyle w:val="Body"/>
      </w:pPr>
      <w:r w:rsidRPr="006175B0">
        <w:t xml:space="preserve">Today, the legacy of heteronormative data collection has made the social, health, wellbeing and economic needs and experiences of LGBTIQA+ people invisible. </w:t>
      </w:r>
      <w:r w:rsidR="00A44547" w:rsidRPr="006175B0">
        <w:t>This means we do not have the evidence we need to shape polic</w:t>
      </w:r>
      <w:r w:rsidR="00B81CBC" w:rsidRPr="006175B0">
        <w:t>y</w:t>
      </w:r>
      <w:r w:rsidR="00A44547" w:rsidRPr="006175B0">
        <w:t xml:space="preserve"> </w:t>
      </w:r>
      <w:r w:rsidR="00482B27" w:rsidRPr="006175B0">
        <w:t>and</w:t>
      </w:r>
      <w:r w:rsidR="00A44547" w:rsidRPr="006175B0">
        <w:t xml:space="preserve"> services </w:t>
      </w:r>
      <w:r w:rsidR="00B81CBC" w:rsidRPr="006175B0">
        <w:t>to</w:t>
      </w:r>
      <w:r w:rsidR="00A44547" w:rsidRPr="006175B0">
        <w:t xml:space="preserve"> meet the needs of diverse LGBTIQA+ communities'.</w:t>
      </w:r>
    </w:p>
    <w:p w14:paraId="19DAAEFF" w14:textId="0E72801F" w:rsidR="00800636" w:rsidRDefault="008035F2" w:rsidP="00B04844">
      <w:pPr>
        <w:pStyle w:val="Body"/>
      </w:pPr>
      <w:r>
        <w:t>T</w:t>
      </w:r>
      <w:r w:rsidR="00800636" w:rsidRPr="006A2068">
        <w:t>he</w:t>
      </w:r>
      <w:r w:rsidR="00346BF8">
        <w:t xml:space="preserve"> outcomes</w:t>
      </w:r>
      <w:r w:rsidR="00800636" w:rsidRPr="006A2068">
        <w:t xml:space="preserve"> framework </w:t>
      </w:r>
      <w:r w:rsidR="00346BF8">
        <w:t xml:space="preserve">will help us overcome </w:t>
      </w:r>
      <w:r w:rsidR="00096250">
        <w:t>these</w:t>
      </w:r>
      <w:r w:rsidR="00800636" w:rsidRPr="006A2068">
        <w:t xml:space="preserve"> data gaps</w:t>
      </w:r>
      <w:r w:rsidR="00C238E8">
        <w:t xml:space="preserve"> and </w:t>
      </w:r>
      <w:r w:rsidR="001F28E7">
        <w:t xml:space="preserve">improve the way we collect and use data </w:t>
      </w:r>
      <w:r w:rsidR="007E4FAD" w:rsidRPr="006175B0">
        <w:t>to improve outcomes for</w:t>
      </w:r>
      <w:r w:rsidR="00346BF8">
        <w:t xml:space="preserve"> </w:t>
      </w:r>
      <w:r w:rsidR="00800636" w:rsidRPr="006A2068">
        <w:t xml:space="preserve">LGBTIQA+ </w:t>
      </w:r>
      <w:r w:rsidR="001F28E7">
        <w:t>people</w:t>
      </w:r>
      <w:r w:rsidR="001F28E7" w:rsidRPr="006A2068">
        <w:t xml:space="preserve"> </w:t>
      </w:r>
      <w:r w:rsidR="00800636" w:rsidRPr="006A2068">
        <w:t>across the Victorian Government.</w:t>
      </w:r>
    </w:p>
    <w:p w14:paraId="4A6DCCCC" w14:textId="2CA986DE" w:rsidR="00096250" w:rsidRDefault="00800636" w:rsidP="00B04844">
      <w:pPr>
        <w:pStyle w:val="Body"/>
      </w:pPr>
      <w:r>
        <w:t>In the short</w:t>
      </w:r>
      <w:r w:rsidR="00022A20">
        <w:t xml:space="preserve"> </w:t>
      </w:r>
      <w:r>
        <w:t xml:space="preserve">term, </w:t>
      </w:r>
      <w:r w:rsidR="00096250">
        <w:t xml:space="preserve">we will record and track </w:t>
      </w:r>
      <w:r w:rsidR="002C24BD" w:rsidRPr="006175B0">
        <w:t xml:space="preserve">data </w:t>
      </w:r>
      <w:r>
        <w:t>measures</w:t>
      </w:r>
      <w:r w:rsidR="00096250">
        <w:t>.</w:t>
      </w:r>
    </w:p>
    <w:p w14:paraId="14B3DE75" w14:textId="721807B0" w:rsidR="00096250" w:rsidRDefault="00800636" w:rsidP="00096250">
      <w:pPr>
        <w:pStyle w:val="Body"/>
      </w:pPr>
      <w:r w:rsidRPr="00096250">
        <w:t>In the medium</w:t>
      </w:r>
      <w:r w:rsidR="00022A20" w:rsidRPr="00096250">
        <w:t xml:space="preserve"> </w:t>
      </w:r>
      <w:r w:rsidRPr="00096250">
        <w:t>and long</w:t>
      </w:r>
      <w:r w:rsidR="00022A20">
        <w:t xml:space="preserve"> </w:t>
      </w:r>
      <w:r w:rsidRPr="00096250">
        <w:t xml:space="preserve">term, </w:t>
      </w:r>
      <w:r w:rsidR="00096250" w:rsidRPr="00096250">
        <w:t xml:space="preserve">we need </w:t>
      </w:r>
      <w:r w:rsidR="001F28E7">
        <w:t xml:space="preserve">to </w:t>
      </w:r>
      <w:r w:rsidR="00AC3E92" w:rsidRPr="006175B0">
        <w:t>transform</w:t>
      </w:r>
      <w:r w:rsidR="00096250" w:rsidRPr="00096250">
        <w:t xml:space="preserve"> data </w:t>
      </w:r>
      <w:r w:rsidR="00B42B7D" w:rsidRPr="006175B0">
        <w:t xml:space="preserve">collection </w:t>
      </w:r>
      <w:r w:rsidR="00096250" w:rsidRPr="00096250">
        <w:t>so we can</w:t>
      </w:r>
      <w:r w:rsidRPr="00096250">
        <w:t xml:space="preserve"> measure change</w:t>
      </w:r>
      <w:r w:rsidR="00AE6A22" w:rsidRPr="006175B0">
        <w:t xml:space="preserve"> over time</w:t>
      </w:r>
      <w:r w:rsidR="00096250">
        <w:t>.</w:t>
      </w:r>
    </w:p>
    <w:p w14:paraId="6D865561" w14:textId="0ACB4D0C" w:rsidR="002934F4" w:rsidRDefault="00DB045F" w:rsidP="00244DBF">
      <w:pPr>
        <w:pStyle w:val="Heading2"/>
      </w:pPr>
      <w:bookmarkStart w:id="18" w:name="_Toc183769425"/>
      <w:r>
        <w:t>We know the</w:t>
      </w:r>
      <w:r w:rsidR="00AF7CF9">
        <w:t xml:space="preserve"> L</w:t>
      </w:r>
      <w:r w:rsidR="006C5354" w:rsidRPr="006C5354">
        <w:t>GBTIQA+ population may be higher than estimates</w:t>
      </w:r>
      <w:bookmarkEnd w:id="18"/>
    </w:p>
    <w:p w14:paraId="431CF28A" w14:textId="2FB13E6F" w:rsidR="00147166" w:rsidRDefault="00147166" w:rsidP="00147166">
      <w:pPr>
        <w:pStyle w:val="Body"/>
      </w:pPr>
      <w:r>
        <w:t>In Victoria, 11% of adults identify as LGBTIQA+</w:t>
      </w:r>
      <w:r>
        <w:rPr>
          <w:rStyle w:val="FootnoteReference"/>
        </w:rPr>
        <w:footnoteReference w:id="3"/>
      </w:r>
      <w:r>
        <w:t xml:space="preserve">. </w:t>
      </w:r>
      <w:r w:rsidRPr="00F344A2">
        <w:t xml:space="preserve">Due to issues with data collection, discrimination and stigma, the actual LGBTIQA+ </w:t>
      </w:r>
      <w:r>
        <w:t xml:space="preserve">Victorian </w:t>
      </w:r>
      <w:r w:rsidRPr="00F344A2">
        <w:t>population may be higher than estimates.</w:t>
      </w:r>
      <w:r>
        <w:t xml:space="preserve"> </w:t>
      </w:r>
    </w:p>
    <w:p w14:paraId="55865F5A" w14:textId="77777777" w:rsidR="002934F4" w:rsidRDefault="002934F4" w:rsidP="002934F4">
      <w:pPr>
        <w:pStyle w:val="Body"/>
      </w:pPr>
      <w:r w:rsidRPr="00B027C9">
        <w:t xml:space="preserve">A new study </w:t>
      </w:r>
      <w:r>
        <w:t>provides</w:t>
      </w:r>
      <w:r w:rsidRPr="00B027C9">
        <w:t xml:space="preserve"> the most comprehensive estimate of gender and sexual identities in Australia</w:t>
      </w:r>
      <w:r>
        <w:t>. It</w:t>
      </w:r>
      <w:r w:rsidRPr="00B027C9">
        <w:t xml:space="preserve"> found </w:t>
      </w:r>
      <w:r w:rsidRPr="00F344A2">
        <w:t>that 9.5% of all Australians identified with a diverse sexuality</w:t>
      </w:r>
      <w:r>
        <w:t>,</w:t>
      </w:r>
      <w:r w:rsidRPr="00F344A2">
        <w:t xml:space="preserve"> and 0.9% identified as gender diverse or transgender</w:t>
      </w:r>
      <w:r>
        <w:rPr>
          <w:rStyle w:val="FootnoteReference"/>
        </w:rPr>
        <w:footnoteReference w:id="4"/>
      </w:r>
      <w:r w:rsidRPr="00F344A2">
        <w:t xml:space="preserve">. </w:t>
      </w:r>
    </w:p>
    <w:p w14:paraId="1F04D5F1" w14:textId="77777777" w:rsidR="002934F4" w:rsidRPr="00B027C9" w:rsidRDefault="002934F4" w:rsidP="002934F4">
      <w:pPr>
        <w:pStyle w:val="Body"/>
      </w:pPr>
      <w:r>
        <w:t xml:space="preserve">In </w:t>
      </w:r>
      <w:r w:rsidRPr="00A95175">
        <w:t>addition</w:t>
      </w:r>
      <w:r>
        <w:t xml:space="preserve">, more young people identify as LGBTIQA+ compared with older populations. The same study </w:t>
      </w:r>
      <w:r w:rsidRPr="00B027C9">
        <w:t xml:space="preserve">found that </w:t>
      </w:r>
      <w:r w:rsidRPr="00431987">
        <w:t>17.7% of young Australians</w:t>
      </w:r>
      <w:r>
        <w:t>, aged between 16 to 24,</w:t>
      </w:r>
      <w:r w:rsidRPr="00431987">
        <w:t xml:space="preserve"> identify as gay, lesbian, bisexual, asexual or pansexual, or reject a label altogether</w:t>
      </w:r>
      <w:r>
        <w:t xml:space="preserve"> and </w:t>
      </w:r>
      <w:r w:rsidRPr="00431987">
        <w:t>2.3% identify as gender diverse or transgender</w:t>
      </w:r>
      <w:r>
        <w:rPr>
          <w:rStyle w:val="FootnoteReference"/>
        </w:rPr>
        <w:footnoteReference w:id="5"/>
      </w:r>
      <w:r w:rsidRPr="00F344A2">
        <w:t>.</w:t>
      </w:r>
      <w:r>
        <w:t xml:space="preserve"> </w:t>
      </w:r>
    </w:p>
    <w:p w14:paraId="67B7BA21" w14:textId="758795AF" w:rsidR="00800636" w:rsidRPr="00096250" w:rsidRDefault="00AE6D97" w:rsidP="00096250">
      <w:pPr>
        <w:pStyle w:val="Heading1"/>
      </w:pPr>
      <w:r>
        <w:br w:type="page"/>
      </w:r>
      <w:bookmarkStart w:id="19" w:name="_Toc183769426"/>
      <w:r w:rsidR="00022A20">
        <w:t>O</w:t>
      </w:r>
      <w:r w:rsidR="0047605E">
        <w:t>utcomes</w:t>
      </w:r>
      <w:bookmarkEnd w:id="19"/>
      <w:r w:rsidR="00022A20">
        <w:t xml:space="preserve"> </w:t>
      </w:r>
    </w:p>
    <w:p w14:paraId="6967480E" w14:textId="120AF3A9" w:rsidR="00800636" w:rsidRDefault="00800636" w:rsidP="00244DBF">
      <w:pPr>
        <w:pStyle w:val="Heading2"/>
      </w:pPr>
      <w:bookmarkStart w:id="20" w:name="_Toc161234545"/>
      <w:bookmarkStart w:id="21" w:name="_Toc161297271"/>
      <w:bookmarkStart w:id="22" w:name="_Toc183769427"/>
      <w:r>
        <w:t>Domain 1: Equal rights and freedoms</w:t>
      </w:r>
      <w:bookmarkEnd w:id="20"/>
      <w:bookmarkEnd w:id="21"/>
      <w:bookmarkEnd w:id="22"/>
    </w:p>
    <w:p w14:paraId="46C58AA6" w14:textId="1F3E78E5" w:rsidR="00800636" w:rsidRPr="00800636" w:rsidRDefault="00800636" w:rsidP="00800636">
      <w:pPr>
        <w:pStyle w:val="Body"/>
        <w:rPr>
          <w:b/>
          <w:bCs/>
        </w:rPr>
      </w:pPr>
      <w:r w:rsidRPr="00800636">
        <w:rPr>
          <w:b/>
          <w:bCs/>
        </w:rPr>
        <w:t>Medium-term outcomes – 4 to 7 years</w:t>
      </w:r>
    </w:p>
    <w:p w14:paraId="61118B26" w14:textId="1E931DF0" w:rsidR="00800636" w:rsidRDefault="00800636" w:rsidP="00800636">
      <w:pPr>
        <w:pStyle w:val="Body"/>
      </w:pPr>
      <w:r>
        <w:t xml:space="preserve">1.1: </w:t>
      </w:r>
      <w:r w:rsidR="00E31525">
        <w:t>A more e</w:t>
      </w:r>
      <w:r w:rsidR="002B0C06">
        <w:t>mpowering</w:t>
      </w:r>
      <w:r w:rsidR="008B26A9" w:rsidRPr="008B26A9">
        <w:t xml:space="preserve"> legislative environment </w:t>
      </w:r>
      <w:r w:rsidR="00B25421">
        <w:t>uphold</w:t>
      </w:r>
      <w:r w:rsidR="008B26A9">
        <w:t>ing</w:t>
      </w:r>
      <w:r>
        <w:t xml:space="preserve"> </w:t>
      </w:r>
      <w:r w:rsidR="000C71A6">
        <w:t xml:space="preserve">the </w:t>
      </w:r>
      <w:r>
        <w:t xml:space="preserve">human rights and freedoms of LGBTIQA+ </w:t>
      </w:r>
      <w:r w:rsidR="003B3FD1">
        <w:t>people</w:t>
      </w:r>
    </w:p>
    <w:p w14:paraId="6ED6EF49" w14:textId="0CF04127" w:rsidR="00800636" w:rsidRDefault="00800636" w:rsidP="00800636">
      <w:pPr>
        <w:pStyle w:val="Body"/>
      </w:pPr>
      <w:r>
        <w:t xml:space="preserve">1.2: LGBTIQA+ </w:t>
      </w:r>
      <w:r w:rsidR="00BD3216">
        <w:t xml:space="preserve">people </w:t>
      </w:r>
      <w:r>
        <w:t xml:space="preserve">have </w:t>
      </w:r>
      <w:r w:rsidR="003F286D">
        <w:t>s</w:t>
      </w:r>
      <w:r w:rsidR="00B25421">
        <w:t>afe</w:t>
      </w:r>
      <w:r>
        <w:t xml:space="preserve"> and</w:t>
      </w:r>
      <w:r w:rsidR="008B26A9">
        <w:t xml:space="preserve"> </w:t>
      </w:r>
      <w:r>
        <w:t>effective</w:t>
      </w:r>
      <w:r w:rsidR="00FD5AA8">
        <w:t xml:space="preserve"> </w:t>
      </w:r>
      <w:r w:rsidR="00231B13">
        <w:t>ways</w:t>
      </w:r>
      <w:r w:rsidR="00FD5AA8">
        <w:t xml:space="preserve"> </w:t>
      </w:r>
      <w:r w:rsidR="00231B13">
        <w:t>to</w:t>
      </w:r>
      <w:r>
        <w:t xml:space="preserve"> access</w:t>
      </w:r>
      <w:r w:rsidR="00A23A89">
        <w:t xml:space="preserve"> </w:t>
      </w:r>
      <w:r>
        <w:t>justice</w:t>
      </w:r>
    </w:p>
    <w:p w14:paraId="187AA424" w14:textId="15AF2921" w:rsidR="00800636" w:rsidRDefault="00800636" w:rsidP="00244DBF">
      <w:pPr>
        <w:pStyle w:val="Heading2"/>
      </w:pPr>
      <w:bookmarkStart w:id="23" w:name="_Toc161234546"/>
      <w:bookmarkStart w:id="24" w:name="_Toc161297272"/>
      <w:bookmarkStart w:id="25" w:name="_Toc183769428"/>
      <w:r>
        <w:t>Domain 2: Equitable, inclusive and accessible services</w:t>
      </w:r>
      <w:bookmarkEnd w:id="23"/>
      <w:bookmarkEnd w:id="24"/>
      <w:bookmarkEnd w:id="25"/>
    </w:p>
    <w:p w14:paraId="44C46C85" w14:textId="1DD11BD2" w:rsidR="00800636" w:rsidRDefault="00800636" w:rsidP="00800636">
      <w:pPr>
        <w:pStyle w:val="Body"/>
        <w:rPr>
          <w:b/>
          <w:bCs/>
        </w:rPr>
      </w:pPr>
      <w:r>
        <w:rPr>
          <w:b/>
          <w:bCs/>
        </w:rPr>
        <w:t>Medium-term outcomes – 4 to 7 years</w:t>
      </w:r>
    </w:p>
    <w:p w14:paraId="79EE2944" w14:textId="78003B26" w:rsidR="00800636" w:rsidRDefault="00800636" w:rsidP="00800636">
      <w:pPr>
        <w:pStyle w:val="Body"/>
      </w:pPr>
      <w:r>
        <w:t xml:space="preserve">2.1: Services are inclusive, affirming and available to LGBTIQA+ </w:t>
      </w:r>
      <w:r w:rsidR="00792FF4">
        <w:t>people</w:t>
      </w:r>
    </w:p>
    <w:p w14:paraId="5533EE38" w14:textId="3BEA13AC" w:rsidR="00800636" w:rsidRDefault="00800636" w:rsidP="00800636">
      <w:pPr>
        <w:pStyle w:val="Body"/>
      </w:pPr>
      <w:r>
        <w:t xml:space="preserve">2.2: </w:t>
      </w:r>
      <w:r w:rsidR="00B25421">
        <w:t>E</w:t>
      </w:r>
      <w:r>
        <w:t>quitable and effective services</w:t>
      </w:r>
      <w:r w:rsidR="0007640C">
        <w:t xml:space="preserve"> are provided</w:t>
      </w:r>
      <w:r w:rsidR="00B0020E">
        <w:t xml:space="preserve"> to LGBTIQA+</w:t>
      </w:r>
      <w:r w:rsidR="0007640C">
        <w:t xml:space="preserve"> </w:t>
      </w:r>
      <w:r w:rsidR="00792FF4">
        <w:t>people</w:t>
      </w:r>
    </w:p>
    <w:p w14:paraId="035A17D9" w14:textId="1E01727F" w:rsidR="00800636" w:rsidRDefault="00800636" w:rsidP="00800636">
      <w:pPr>
        <w:pStyle w:val="Body"/>
      </w:pPr>
      <w:r>
        <w:t xml:space="preserve">2.3: </w:t>
      </w:r>
      <w:r w:rsidR="00B25421">
        <w:t>H</w:t>
      </w:r>
      <w:r w:rsidR="00194B6C">
        <w:t>ealth and wellbeing services</w:t>
      </w:r>
      <w:r w:rsidR="00B25421">
        <w:t xml:space="preserve"> support LGBTIQA+ people</w:t>
      </w:r>
      <w:r w:rsidR="00194B6C">
        <w:t xml:space="preserve"> to live the life they want</w:t>
      </w:r>
    </w:p>
    <w:p w14:paraId="206CAFC0" w14:textId="4BE3A166" w:rsidR="00800636" w:rsidRDefault="00800636" w:rsidP="00244DBF">
      <w:pPr>
        <w:pStyle w:val="Heading2"/>
      </w:pPr>
      <w:bookmarkStart w:id="26" w:name="_Toc161234547"/>
      <w:bookmarkStart w:id="27" w:name="_Toc161297273"/>
      <w:bookmarkStart w:id="28" w:name="_Toc183769429"/>
      <w:r>
        <w:t>Domain 3: Visibility to inform decision making</w:t>
      </w:r>
      <w:bookmarkEnd w:id="26"/>
      <w:bookmarkEnd w:id="27"/>
      <w:bookmarkEnd w:id="28"/>
    </w:p>
    <w:p w14:paraId="7ED8A4BE" w14:textId="6EF9E046" w:rsidR="00800636" w:rsidRDefault="00800636" w:rsidP="00800636">
      <w:pPr>
        <w:pStyle w:val="Body"/>
        <w:rPr>
          <w:b/>
          <w:bCs/>
        </w:rPr>
      </w:pPr>
      <w:r>
        <w:rPr>
          <w:b/>
          <w:bCs/>
        </w:rPr>
        <w:t>Short-term outcomes – 1 to 3 years</w:t>
      </w:r>
    </w:p>
    <w:p w14:paraId="2BDDA0D3" w14:textId="389230C7" w:rsidR="00800636" w:rsidRDefault="00C706C9" w:rsidP="00800636">
      <w:pPr>
        <w:pStyle w:val="Body"/>
      </w:pPr>
      <w:r>
        <w:t xml:space="preserve">3.1: Data collection </w:t>
      </w:r>
      <w:r w:rsidR="00E96B70">
        <w:t xml:space="preserve">about LGBTIQA+ </w:t>
      </w:r>
      <w:r w:rsidR="006314B3">
        <w:t>people</w:t>
      </w:r>
      <w:r w:rsidR="00E96B70">
        <w:t xml:space="preserve"> is appropriate and effective </w:t>
      </w:r>
      <w:r w:rsidR="00096380">
        <w:t>for</w:t>
      </w:r>
      <w:r w:rsidR="00E96B70">
        <w:t xml:space="preserve"> </w:t>
      </w:r>
      <w:r w:rsidR="00194B6C">
        <w:t>build</w:t>
      </w:r>
      <w:r w:rsidR="00E96B70">
        <w:t>ing</w:t>
      </w:r>
      <w:r w:rsidR="002E737A">
        <w:t xml:space="preserve"> an</w:t>
      </w:r>
      <w:r w:rsidR="00B25421">
        <w:t xml:space="preserve"> </w:t>
      </w:r>
      <w:r>
        <w:t>evidence base</w:t>
      </w:r>
    </w:p>
    <w:p w14:paraId="5E05DB16" w14:textId="5B661670" w:rsidR="00C706C9" w:rsidRDefault="00C706C9" w:rsidP="00800636">
      <w:pPr>
        <w:pStyle w:val="Body"/>
      </w:pPr>
      <w:r>
        <w:t xml:space="preserve">3.2: </w:t>
      </w:r>
      <w:r w:rsidR="009912F3">
        <w:t xml:space="preserve">Decision making affecting LGBTIQA+ </w:t>
      </w:r>
      <w:r w:rsidR="006314B3">
        <w:t>people</w:t>
      </w:r>
      <w:r w:rsidR="009912F3">
        <w:t xml:space="preserve"> is e</w:t>
      </w:r>
      <w:r w:rsidR="00B25421">
        <w:t xml:space="preserve">vidence-based </w:t>
      </w:r>
    </w:p>
    <w:p w14:paraId="1E640F6E" w14:textId="2ED68E53" w:rsidR="00C706C9" w:rsidRDefault="00C706C9" w:rsidP="00244DBF">
      <w:pPr>
        <w:pStyle w:val="Heading2"/>
      </w:pPr>
      <w:bookmarkStart w:id="29" w:name="_Toc161234548"/>
      <w:bookmarkStart w:id="30" w:name="_Toc161297274"/>
      <w:bookmarkStart w:id="31" w:name="_Toc183769430"/>
      <w:r>
        <w:t>Domain 4: Safe, strong and sustainable communities</w:t>
      </w:r>
      <w:bookmarkEnd w:id="29"/>
      <w:bookmarkEnd w:id="30"/>
      <w:bookmarkEnd w:id="31"/>
    </w:p>
    <w:p w14:paraId="2D968E00" w14:textId="395CE2A2" w:rsidR="00C706C9" w:rsidRDefault="00C706C9" w:rsidP="00C706C9">
      <w:pPr>
        <w:pStyle w:val="Body"/>
        <w:rPr>
          <w:b/>
          <w:bCs/>
        </w:rPr>
      </w:pPr>
      <w:r w:rsidRPr="00C706C9">
        <w:rPr>
          <w:b/>
          <w:bCs/>
        </w:rPr>
        <w:t>Long-term outcomes – 8 to 10 years</w:t>
      </w:r>
    </w:p>
    <w:p w14:paraId="09D047B2" w14:textId="76779FD9" w:rsidR="00C706C9" w:rsidRDefault="00C706C9" w:rsidP="00C706C9">
      <w:pPr>
        <w:pStyle w:val="Body"/>
      </w:pPr>
      <w:r>
        <w:t xml:space="preserve">4.1: LGBTIQA+ </w:t>
      </w:r>
      <w:r w:rsidR="006314B3">
        <w:t xml:space="preserve">people </w:t>
      </w:r>
      <w:r>
        <w:t>are free from harassment, abuse, hate speech and discrimination</w:t>
      </w:r>
    </w:p>
    <w:p w14:paraId="33CB7760" w14:textId="663C4DE0" w:rsidR="00C706C9" w:rsidRDefault="00C706C9" w:rsidP="00C706C9">
      <w:pPr>
        <w:pStyle w:val="Body"/>
      </w:pPr>
      <w:r>
        <w:t xml:space="preserve">4.2: LGBTIQA+ </w:t>
      </w:r>
      <w:r w:rsidR="006314B3">
        <w:t xml:space="preserve">people </w:t>
      </w:r>
      <w:r>
        <w:t>are safe and secure in their everyday lives</w:t>
      </w:r>
    </w:p>
    <w:p w14:paraId="0B8257E6" w14:textId="328488EE" w:rsidR="00C706C9" w:rsidRDefault="00C706C9" w:rsidP="00C706C9">
      <w:pPr>
        <w:pStyle w:val="Body"/>
      </w:pPr>
      <w:r>
        <w:t xml:space="preserve">4.3: Victoria’s communities </w:t>
      </w:r>
      <w:r w:rsidR="00B25421">
        <w:t>are welcoming and inclusive</w:t>
      </w:r>
      <w:r w:rsidR="00FF591D">
        <w:t xml:space="preserve"> </w:t>
      </w:r>
      <w:r w:rsidR="000F40CC">
        <w:t xml:space="preserve">for </w:t>
      </w:r>
      <w:r>
        <w:t>LGBTIQA+ people</w:t>
      </w:r>
    </w:p>
    <w:p w14:paraId="6FF6EE0E" w14:textId="6F177549" w:rsidR="00C706C9" w:rsidRDefault="00C706C9" w:rsidP="00B04844">
      <w:pPr>
        <w:pStyle w:val="Body"/>
      </w:pPr>
      <w:r>
        <w:br w:type="page"/>
      </w:r>
    </w:p>
    <w:p w14:paraId="71FB686E" w14:textId="6B36A0E6" w:rsidR="00C706C9" w:rsidRDefault="00022A20" w:rsidP="00C706C9">
      <w:pPr>
        <w:pStyle w:val="Heading1"/>
      </w:pPr>
      <w:bookmarkStart w:id="32" w:name="_Toc183769431"/>
      <w:r>
        <w:t>L</w:t>
      </w:r>
      <w:r w:rsidR="00C706C9">
        <w:t>ogic model</w:t>
      </w:r>
      <w:bookmarkEnd w:id="32"/>
    </w:p>
    <w:p w14:paraId="2D87E450" w14:textId="25138209" w:rsidR="00C706C9" w:rsidRPr="00C706C9" w:rsidRDefault="00C706C9" w:rsidP="00244DBF">
      <w:pPr>
        <w:pStyle w:val="Heading2"/>
      </w:pPr>
      <w:bookmarkStart w:id="33" w:name="_Toc161234550"/>
      <w:bookmarkStart w:id="34" w:name="_Toc161297276"/>
      <w:bookmarkStart w:id="35" w:name="_Toc183769432"/>
      <w:r w:rsidRPr="00C706C9">
        <w:t>Problem statement</w:t>
      </w:r>
      <w:bookmarkEnd w:id="33"/>
      <w:bookmarkEnd w:id="34"/>
      <w:bookmarkEnd w:id="35"/>
    </w:p>
    <w:p w14:paraId="6FDCB681" w14:textId="77777777" w:rsidR="00B6260B" w:rsidRDefault="00C336BC" w:rsidP="00255E74">
      <w:pPr>
        <w:pStyle w:val="Body"/>
      </w:pPr>
      <w:r>
        <w:t xml:space="preserve">LGBTIQA+ Victorians still experience unacceptable levels of discrimination and inequality in their everyday lives. This </w:t>
      </w:r>
      <w:r w:rsidR="005861E9">
        <w:t xml:space="preserve">can </w:t>
      </w:r>
      <w:r>
        <w:t xml:space="preserve">create negative outcomes for </w:t>
      </w:r>
      <w:r w:rsidR="005861E9">
        <w:t xml:space="preserve">the 11% of </w:t>
      </w:r>
      <w:r>
        <w:t>Victorian</w:t>
      </w:r>
      <w:r w:rsidR="005861E9">
        <w:t xml:space="preserve"> adults</w:t>
      </w:r>
      <w:r>
        <w:t xml:space="preserve"> who identify as LGBTIQA</w:t>
      </w:r>
      <w:r w:rsidR="00022A20">
        <w:t>+</w:t>
      </w:r>
      <w:r w:rsidR="00FD09D4">
        <w:rPr>
          <w:rStyle w:val="FootnoteReference"/>
        </w:rPr>
        <w:footnoteReference w:id="6"/>
      </w:r>
      <w:r w:rsidR="00022A20">
        <w:t xml:space="preserve">. These include </w:t>
      </w:r>
      <w:r>
        <w:t xml:space="preserve">negative social, health, wellbeing and economic outcomes. </w:t>
      </w:r>
    </w:p>
    <w:p w14:paraId="448737BA" w14:textId="5DC92938" w:rsidR="00C706C9" w:rsidRDefault="00C706C9" w:rsidP="00244DBF">
      <w:pPr>
        <w:pStyle w:val="Heading2"/>
      </w:pPr>
      <w:bookmarkStart w:id="36" w:name="_Toc161234551"/>
      <w:bookmarkStart w:id="37" w:name="_Toc161297277"/>
      <w:bookmarkStart w:id="38" w:name="_Toc183769433"/>
      <w:r>
        <w:t>Objective</w:t>
      </w:r>
      <w:bookmarkEnd w:id="36"/>
      <w:bookmarkEnd w:id="37"/>
      <w:bookmarkEnd w:id="38"/>
    </w:p>
    <w:p w14:paraId="7061AC7D" w14:textId="2A7B11BC" w:rsidR="00C706C9" w:rsidRDefault="00C706C9" w:rsidP="00C706C9">
      <w:pPr>
        <w:pStyle w:val="Body"/>
      </w:pPr>
      <w:r>
        <w:rPr>
          <w:i/>
          <w:iCs/>
        </w:rPr>
        <w:t>Pride in our future</w:t>
      </w:r>
      <w:r w:rsidR="001A2DAD">
        <w:rPr>
          <w:i/>
          <w:iCs/>
        </w:rPr>
        <w:t xml:space="preserve"> </w:t>
      </w:r>
      <w:r w:rsidR="00843CFE">
        <w:t xml:space="preserve">provides the vision and plan to drive </w:t>
      </w:r>
      <w:r w:rsidR="003839D9">
        <w:t xml:space="preserve">equality and inclusion for </w:t>
      </w:r>
      <w:r w:rsidR="00463336">
        <w:t>LGBTIQA+</w:t>
      </w:r>
      <w:r w:rsidR="00194B6C">
        <w:t xml:space="preserve"> </w:t>
      </w:r>
      <w:r w:rsidR="00463336">
        <w:t>communities</w:t>
      </w:r>
      <w:r w:rsidR="00194B6C">
        <w:t xml:space="preserve">. It sets out what the Victorian Government will do </w:t>
      </w:r>
      <w:r w:rsidR="001F28E7">
        <w:t>over the next 10 years</w:t>
      </w:r>
      <w:r w:rsidR="00463336">
        <w:t>.</w:t>
      </w:r>
    </w:p>
    <w:p w14:paraId="1C807EA5" w14:textId="721F3902" w:rsidR="00463336" w:rsidRDefault="00A95175" w:rsidP="00244DBF">
      <w:pPr>
        <w:pStyle w:val="Heading2"/>
      </w:pPr>
      <w:bookmarkStart w:id="39" w:name="_Toc183769434"/>
      <w:r>
        <w:t xml:space="preserve">A </w:t>
      </w:r>
      <w:r w:rsidR="00DF5F31">
        <w:t>note</w:t>
      </w:r>
      <w:r>
        <w:t xml:space="preserve"> on language</w:t>
      </w:r>
      <w:bookmarkEnd w:id="39"/>
    </w:p>
    <w:p w14:paraId="3ED4DE98" w14:textId="49C92841" w:rsidR="002505D1" w:rsidRDefault="00A95175" w:rsidP="0007252A">
      <w:pPr>
        <w:pStyle w:val="Body"/>
      </w:pPr>
      <w:r>
        <w:t xml:space="preserve">The logic model contains shorter descriptions of </w:t>
      </w:r>
      <w:r w:rsidR="00CB46BE">
        <w:t>k</w:t>
      </w:r>
      <w:r w:rsidR="00CB46BE" w:rsidRPr="00CB46BE">
        <w:t>ey actions</w:t>
      </w:r>
      <w:r w:rsidR="00CB46BE">
        <w:t>, outputs, indicators and outcomes</w:t>
      </w:r>
      <w:r>
        <w:t>.</w:t>
      </w:r>
      <w:r w:rsidR="00CB46BE" w:rsidRPr="00CB46BE">
        <w:t xml:space="preserve"> </w:t>
      </w:r>
      <w:r>
        <w:t>We did this to make the document easier to read</w:t>
      </w:r>
      <w:r w:rsidR="00CB46BE">
        <w:t xml:space="preserve">. </w:t>
      </w:r>
    </w:p>
    <w:p w14:paraId="1EE64464" w14:textId="586CD32B" w:rsidR="0007252A" w:rsidRDefault="00A95175" w:rsidP="0007252A">
      <w:pPr>
        <w:pStyle w:val="Body"/>
      </w:pPr>
      <w:r>
        <w:t>The</w:t>
      </w:r>
      <w:r w:rsidR="00CB7E18">
        <w:t xml:space="preserve"> domain-specific sections</w:t>
      </w:r>
      <w:r>
        <w:t xml:space="preserve"> of the outcomes framework</w:t>
      </w:r>
      <w:r w:rsidR="00CB7E18">
        <w:t xml:space="preserve"> </w:t>
      </w:r>
      <w:r>
        <w:t xml:space="preserve">include the full </w:t>
      </w:r>
      <w:r w:rsidR="002505D1">
        <w:t>descriptions</w:t>
      </w:r>
      <w:r w:rsidR="000C68FA">
        <w:t xml:space="preserve">. </w:t>
      </w:r>
    </w:p>
    <w:p w14:paraId="1E9ED80F" w14:textId="77777777" w:rsidR="005F00D2" w:rsidRDefault="0007252A" w:rsidP="00C71AE4">
      <w:pPr>
        <w:pStyle w:val="Body"/>
      </w:pPr>
      <w:r>
        <w:t xml:space="preserve">Outcomes and measures consider intersectionality wherever possible. </w:t>
      </w:r>
    </w:p>
    <w:p w14:paraId="6635EAEC" w14:textId="0DB2A38C" w:rsidR="00CD76DE" w:rsidRDefault="00CD76DE" w:rsidP="00244DBF">
      <w:pPr>
        <w:pStyle w:val="Heading2"/>
      </w:pPr>
      <w:bookmarkStart w:id="40" w:name="_Toc183769435"/>
      <w:bookmarkStart w:id="41" w:name="_Toc161234555"/>
      <w:bookmarkStart w:id="42" w:name="_Toc161297281"/>
      <w:r>
        <w:t>Process workflow</w:t>
      </w:r>
      <w:bookmarkEnd w:id="40"/>
    </w:p>
    <w:p w14:paraId="670E4D82" w14:textId="06859B74" w:rsidR="00CD76DE" w:rsidRPr="00CD76DE" w:rsidRDefault="00CD76DE" w:rsidP="00CD76DE">
      <w:pPr>
        <w:pStyle w:val="Body"/>
      </w:pPr>
      <w:r>
        <w:t xml:space="preserve">Key actions &gt; Outputs &gt; Outcome indicators &gt; Outcomes </w:t>
      </w:r>
    </w:p>
    <w:p w14:paraId="5F68C137" w14:textId="3596688E" w:rsidR="00463336" w:rsidRDefault="00463336" w:rsidP="00244DBF">
      <w:pPr>
        <w:pStyle w:val="Heading3"/>
      </w:pPr>
      <w:r>
        <w:t>Key actions</w:t>
      </w:r>
      <w:bookmarkEnd w:id="41"/>
      <w:bookmarkEnd w:id="42"/>
    </w:p>
    <w:p w14:paraId="66C69B71" w14:textId="51C484D4" w:rsidR="001A2DAD" w:rsidRPr="004B45FC" w:rsidRDefault="001A2DAD" w:rsidP="001A2DAD">
      <w:pPr>
        <w:pStyle w:val="Bodyafterbullets"/>
        <w:rPr>
          <w:b/>
          <w:bCs/>
        </w:rPr>
      </w:pPr>
      <w:r w:rsidRPr="17430B5F">
        <w:rPr>
          <w:b/>
          <w:bCs/>
        </w:rPr>
        <w:t>Domain 1</w:t>
      </w:r>
      <w:r w:rsidR="00942639">
        <w:rPr>
          <w:b/>
          <w:bCs/>
        </w:rPr>
        <w:t>:</w:t>
      </w:r>
      <w:r w:rsidR="00734ECE" w:rsidRPr="17430B5F">
        <w:rPr>
          <w:b/>
          <w:bCs/>
        </w:rPr>
        <w:t xml:space="preserve"> Equal rights and freedoms</w:t>
      </w:r>
    </w:p>
    <w:p w14:paraId="6C46345C" w14:textId="67DC3EDD" w:rsidR="001A2DAD" w:rsidRPr="004B45FC" w:rsidRDefault="001F28E7" w:rsidP="001A2DAD">
      <w:pPr>
        <w:pStyle w:val="Bullet1"/>
      </w:pPr>
      <w:r>
        <w:t>Reform laws</w:t>
      </w:r>
      <w:r w:rsidR="00F2612C">
        <w:t xml:space="preserve"> </w:t>
      </w:r>
    </w:p>
    <w:p w14:paraId="5C53A65B" w14:textId="77777777" w:rsidR="001A2DAD" w:rsidRPr="004B45FC" w:rsidRDefault="001A2DAD" w:rsidP="001A2DAD">
      <w:pPr>
        <w:pStyle w:val="Bullet1"/>
      </w:pPr>
      <w:r w:rsidRPr="004B45FC">
        <w:t xml:space="preserve">Deliver Justice and </w:t>
      </w:r>
      <w:r>
        <w:t xml:space="preserve">Victoria Police </w:t>
      </w:r>
      <w:r w:rsidRPr="004B45FC">
        <w:t>action plans</w:t>
      </w:r>
    </w:p>
    <w:p w14:paraId="1021D158" w14:textId="4708BD3E" w:rsidR="001A2DAD" w:rsidRPr="004B45FC" w:rsidRDefault="001A2DAD" w:rsidP="001A2DAD">
      <w:pPr>
        <w:pStyle w:val="Bodyafterbullets"/>
        <w:rPr>
          <w:b/>
          <w:bCs/>
        </w:rPr>
      </w:pPr>
      <w:r w:rsidRPr="004B45FC">
        <w:rPr>
          <w:b/>
          <w:bCs/>
        </w:rPr>
        <w:t>Domain 2</w:t>
      </w:r>
      <w:r w:rsidR="00942639">
        <w:rPr>
          <w:b/>
          <w:bCs/>
        </w:rPr>
        <w:t>:</w:t>
      </w:r>
      <w:r w:rsidR="00B35322">
        <w:rPr>
          <w:b/>
          <w:bCs/>
        </w:rPr>
        <w:t xml:space="preserve"> </w:t>
      </w:r>
      <w:r w:rsidR="00B35322" w:rsidRPr="00B35322">
        <w:rPr>
          <w:b/>
          <w:bCs/>
        </w:rPr>
        <w:t>Equitable, inclusive and accessible services</w:t>
      </w:r>
    </w:p>
    <w:p w14:paraId="7C68E01A" w14:textId="688273F9" w:rsidR="001A2DAD" w:rsidRPr="004B45FC" w:rsidRDefault="001F28E7" w:rsidP="001A2DAD">
      <w:pPr>
        <w:pStyle w:val="Bullet1"/>
      </w:pPr>
      <w:r>
        <w:t>Keep providing</w:t>
      </w:r>
      <w:r w:rsidR="001A2DAD" w:rsidRPr="004B45FC">
        <w:t xml:space="preserve"> health and wellbeing support</w:t>
      </w:r>
      <w:r>
        <w:t xml:space="preserve"> </w:t>
      </w:r>
      <w:r w:rsidR="001A2DAD" w:rsidRPr="004B45FC">
        <w:t xml:space="preserve">for trans and gender diverse </w:t>
      </w:r>
      <w:r w:rsidR="001A2DAD">
        <w:t>people</w:t>
      </w:r>
    </w:p>
    <w:p w14:paraId="5E6A3C0E" w14:textId="6DBD33C3" w:rsidR="001A2DAD" w:rsidRPr="004B45FC" w:rsidRDefault="00100560" w:rsidP="001A2DAD">
      <w:pPr>
        <w:pStyle w:val="Bullet1"/>
      </w:pPr>
      <w:r>
        <w:t>Address</w:t>
      </w:r>
      <w:r w:rsidR="001F28E7">
        <w:t xml:space="preserve"> gaps in</w:t>
      </w:r>
      <w:r w:rsidR="001A2DAD" w:rsidRPr="004B45FC">
        <w:t xml:space="preserve"> </w:t>
      </w:r>
      <w:r w:rsidR="0003348C">
        <w:t xml:space="preserve">support </w:t>
      </w:r>
      <w:r w:rsidR="001A2DAD" w:rsidRPr="004B45FC">
        <w:t>service</w:t>
      </w:r>
      <w:r w:rsidR="001F28E7">
        <w:t>s</w:t>
      </w:r>
    </w:p>
    <w:p w14:paraId="2C8ED39B" w14:textId="67E7E911" w:rsidR="001A2DAD" w:rsidRPr="004B45FC" w:rsidRDefault="001F28E7" w:rsidP="001A2DAD">
      <w:pPr>
        <w:pStyle w:val="Bullet1"/>
      </w:pPr>
      <w:r>
        <w:t>Develop the capabilities of</w:t>
      </w:r>
      <w:r w:rsidR="001A2DAD" w:rsidRPr="004B45FC">
        <w:t xml:space="preserve"> service provider</w:t>
      </w:r>
      <w:r>
        <w:t>s</w:t>
      </w:r>
    </w:p>
    <w:p w14:paraId="01CBE976" w14:textId="60108038" w:rsidR="00463336" w:rsidRPr="004B45FC" w:rsidRDefault="004B45FC" w:rsidP="00463336">
      <w:pPr>
        <w:pStyle w:val="Body"/>
        <w:rPr>
          <w:b/>
          <w:bCs/>
        </w:rPr>
      </w:pPr>
      <w:r w:rsidRPr="004B45FC">
        <w:rPr>
          <w:b/>
          <w:bCs/>
        </w:rPr>
        <w:t>Domain 3</w:t>
      </w:r>
      <w:r w:rsidR="00942639">
        <w:rPr>
          <w:b/>
          <w:bCs/>
        </w:rPr>
        <w:t>:</w:t>
      </w:r>
      <w:r w:rsidR="00B35322">
        <w:rPr>
          <w:b/>
          <w:bCs/>
        </w:rPr>
        <w:t xml:space="preserve"> </w:t>
      </w:r>
      <w:r w:rsidR="00B35322" w:rsidRPr="00B35322">
        <w:rPr>
          <w:b/>
          <w:bCs/>
        </w:rPr>
        <w:t>Visibility to inform decision making</w:t>
      </w:r>
    </w:p>
    <w:p w14:paraId="7919A830" w14:textId="28017CB5" w:rsidR="004B45FC" w:rsidRPr="004B45FC" w:rsidRDefault="002B0744" w:rsidP="004B45FC">
      <w:pPr>
        <w:pStyle w:val="Bullet1"/>
      </w:pPr>
      <w:r>
        <w:t>Provide</w:t>
      </w:r>
      <w:r w:rsidR="00727247">
        <w:t xml:space="preserve"> best practice</w:t>
      </w:r>
      <w:r>
        <w:t xml:space="preserve"> </w:t>
      </w:r>
      <w:r w:rsidR="004B45FC" w:rsidRPr="004B45FC">
        <w:t xml:space="preserve">standards and tools </w:t>
      </w:r>
      <w:r w:rsidR="00A307D2">
        <w:t xml:space="preserve">for </w:t>
      </w:r>
      <w:r w:rsidR="00AC5D5B">
        <w:t xml:space="preserve">Victorian Government inclusion </w:t>
      </w:r>
    </w:p>
    <w:p w14:paraId="126989DF" w14:textId="1CA3C52F" w:rsidR="004B45FC" w:rsidRPr="004B45FC" w:rsidRDefault="004B45FC" w:rsidP="004B45FC">
      <w:pPr>
        <w:pStyle w:val="Bullet1"/>
      </w:pPr>
      <w:r w:rsidRPr="004B45FC">
        <w:t xml:space="preserve">Deliver and </w:t>
      </w:r>
      <w:r w:rsidR="002F76EA">
        <w:t>implement</w:t>
      </w:r>
      <w:r w:rsidR="001A2DAD" w:rsidRPr="004B45FC">
        <w:t xml:space="preserve"> </w:t>
      </w:r>
      <w:r w:rsidR="002B0744">
        <w:t xml:space="preserve">an </w:t>
      </w:r>
      <w:r w:rsidRPr="004B45FC">
        <w:t>outcomes framework</w:t>
      </w:r>
    </w:p>
    <w:p w14:paraId="2C893C50" w14:textId="1D636F88" w:rsidR="004B45FC" w:rsidRPr="004B45FC" w:rsidRDefault="001F28E7">
      <w:pPr>
        <w:pStyle w:val="Bullet1"/>
      </w:pPr>
      <w:r>
        <w:t>Make sure government boards have</w:t>
      </w:r>
      <w:r w:rsidR="004B45FC" w:rsidRPr="004B45FC">
        <w:t xml:space="preserve"> LGBTIQA+ </w:t>
      </w:r>
      <w:r w:rsidR="002B0744" w:rsidRPr="004B45FC">
        <w:t>representati</w:t>
      </w:r>
      <w:r w:rsidR="002B0744">
        <w:t>ves</w:t>
      </w:r>
      <w:r w:rsidR="00AB7D3B">
        <w:t xml:space="preserve"> and c</w:t>
      </w:r>
      <w:r w:rsidR="004004AE">
        <w:t>ontinue to support LGBTI</w:t>
      </w:r>
      <w:r w:rsidR="00AC5D5B">
        <w:t>Q</w:t>
      </w:r>
      <w:r w:rsidR="004004AE">
        <w:t>A+ advisory groups</w:t>
      </w:r>
    </w:p>
    <w:p w14:paraId="0EED7F38" w14:textId="12AC059D" w:rsidR="004B45FC" w:rsidRPr="004B45FC" w:rsidRDefault="004B45FC" w:rsidP="004A5CD5">
      <w:pPr>
        <w:pStyle w:val="Bodyafterbullets"/>
        <w:keepNext/>
        <w:keepLines/>
        <w:rPr>
          <w:b/>
          <w:bCs/>
        </w:rPr>
      </w:pPr>
      <w:r w:rsidRPr="004B45FC">
        <w:rPr>
          <w:b/>
          <w:bCs/>
        </w:rPr>
        <w:t>Domain 4</w:t>
      </w:r>
      <w:r w:rsidR="00D3226B">
        <w:rPr>
          <w:b/>
          <w:bCs/>
        </w:rPr>
        <w:t>:</w:t>
      </w:r>
      <w:r w:rsidR="00B35322">
        <w:rPr>
          <w:b/>
          <w:bCs/>
        </w:rPr>
        <w:t xml:space="preserve"> </w:t>
      </w:r>
      <w:r w:rsidR="00B35322" w:rsidRPr="00B35322">
        <w:rPr>
          <w:b/>
          <w:bCs/>
        </w:rPr>
        <w:t>Safe, strong and sustainable communities</w:t>
      </w:r>
    </w:p>
    <w:p w14:paraId="06CAF606" w14:textId="6B3E339A" w:rsidR="004B45FC" w:rsidRPr="004B45FC" w:rsidRDefault="004B45FC" w:rsidP="004B45FC">
      <w:pPr>
        <w:pStyle w:val="Bullet1"/>
      </w:pPr>
      <w:r w:rsidRPr="004B45FC">
        <w:t>Deliver statewide campaigns and events</w:t>
      </w:r>
    </w:p>
    <w:p w14:paraId="7B475924" w14:textId="7F65B53F" w:rsidR="004B45FC" w:rsidRPr="004B45FC" w:rsidRDefault="00AE6F38" w:rsidP="004B45FC">
      <w:pPr>
        <w:pStyle w:val="Bullet1"/>
      </w:pPr>
      <w:r>
        <w:t xml:space="preserve">Ensure the </w:t>
      </w:r>
      <w:r w:rsidR="001F28E7">
        <w:t xml:space="preserve">Victorian Public Service (VPS) is inclusive for </w:t>
      </w:r>
      <w:r w:rsidR="004B45FC" w:rsidRPr="004B45FC">
        <w:t xml:space="preserve">LGBTIQA+ </w:t>
      </w:r>
      <w:r w:rsidR="001F28E7">
        <w:t>staff</w:t>
      </w:r>
    </w:p>
    <w:p w14:paraId="0B30EF1E" w14:textId="7BE73CE0" w:rsidR="004B45FC" w:rsidRDefault="004B45FC" w:rsidP="004B45FC">
      <w:pPr>
        <w:pStyle w:val="Bullet1"/>
      </w:pPr>
      <w:r w:rsidRPr="004B45FC">
        <w:t xml:space="preserve">Improve inclusion across all </w:t>
      </w:r>
      <w:r w:rsidR="002B0744">
        <w:t>government</w:t>
      </w:r>
      <w:r w:rsidR="002B0744" w:rsidRPr="004B45FC">
        <w:t xml:space="preserve"> </w:t>
      </w:r>
      <w:r w:rsidRPr="004B45FC">
        <w:t>policies and programs</w:t>
      </w:r>
      <w:r w:rsidR="001F28E7">
        <w:t xml:space="preserve"> </w:t>
      </w:r>
    </w:p>
    <w:p w14:paraId="75DB79B6" w14:textId="32AD67CF" w:rsidR="004B45FC" w:rsidRDefault="004B45FC" w:rsidP="00244DBF">
      <w:pPr>
        <w:pStyle w:val="Heading3"/>
      </w:pPr>
      <w:bookmarkStart w:id="43" w:name="_Toc161234556"/>
      <w:bookmarkStart w:id="44" w:name="_Toc161297282"/>
      <w:r>
        <w:t>Outputs</w:t>
      </w:r>
      <w:bookmarkEnd w:id="43"/>
      <w:bookmarkEnd w:id="44"/>
    </w:p>
    <w:p w14:paraId="67941202" w14:textId="2C1A3E9B" w:rsidR="001A2DAD" w:rsidRDefault="001A2DAD" w:rsidP="001A2DAD">
      <w:pPr>
        <w:pStyle w:val="Bodyafterbullets"/>
        <w:rPr>
          <w:b/>
          <w:bCs/>
        </w:rPr>
      </w:pPr>
      <w:r w:rsidRPr="17430B5F">
        <w:rPr>
          <w:b/>
          <w:bCs/>
        </w:rPr>
        <w:t>Domain 1</w:t>
      </w:r>
      <w:r w:rsidR="00942639">
        <w:rPr>
          <w:b/>
          <w:bCs/>
        </w:rPr>
        <w:t>:</w:t>
      </w:r>
      <w:r w:rsidR="006F3249" w:rsidRPr="17430B5F">
        <w:rPr>
          <w:b/>
          <w:bCs/>
        </w:rPr>
        <w:t xml:space="preserve"> Equal rights and freedoms</w:t>
      </w:r>
    </w:p>
    <w:p w14:paraId="3683C5EC" w14:textId="77777777" w:rsidR="001A2DAD" w:rsidRPr="004B45FC" w:rsidRDefault="001A2DAD" w:rsidP="001A2DAD">
      <w:pPr>
        <w:pStyle w:val="Bullet1"/>
      </w:pPr>
      <w:r>
        <w:t>All</w:t>
      </w:r>
      <w:r w:rsidRPr="004B45FC">
        <w:t xml:space="preserve"> proposed legislative reforms completed</w:t>
      </w:r>
    </w:p>
    <w:p w14:paraId="784CB77D" w14:textId="77777777" w:rsidR="001A2DAD" w:rsidRPr="004B45FC" w:rsidRDefault="001A2DAD" w:rsidP="001A2DAD">
      <w:pPr>
        <w:pStyle w:val="Bullet1"/>
      </w:pPr>
      <w:r>
        <w:t>All</w:t>
      </w:r>
      <w:r w:rsidRPr="004B45FC">
        <w:t xml:space="preserve"> action plans implemented</w:t>
      </w:r>
    </w:p>
    <w:p w14:paraId="32281E90" w14:textId="3DA9EA64" w:rsidR="001A2DAD" w:rsidRDefault="001A2DAD" w:rsidP="001A2DAD">
      <w:pPr>
        <w:pStyle w:val="Bodyafterbullets"/>
        <w:rPr>
          <w:b/>
          <w:bCs/>
        </w:rPr>
      </w:pPr>
      <w:r w:rsidRPr="004B45FC">
        <w:rPr>
          <w:b/>
          <w:bCs/>
        </w:rPr>
        <w:t>Domain 2</w:t>
      </w:r>
      <w:r w:rsidR="00942639">
        <w:rPr>
          <w:b/>
          <w:bCs/>
        </w:rPr>
        <w:t>:</w:t>
      </w:r>
      <w:r w:rsidR="006F3249">
        <w:rPr>
          <w:b/>
          <w:bCs/>
        </w:rPr>
        <w:t xml:space="preserve"> </w:t>
      </w:r>
      <w:r w:rsidR="006F3249" w:rsidRPr="00B35322">
        <w:rPr>
          <w:b/>
          <w:bCs/>
        </w:rPr>
        <w:t>Equitable, inclusive and accessible services</w:t>
      </w:r>
    </w:p>
    <w:p w14:paraId="48294038" w14:textId="673329B9" w:rsidR="001A2DAD" w:rsidRPr="004B45FC" w:rsidRDefault="001A2DAD" w:rsidP="001A2DAD">
      <w:pPr>
        <w:pStyle w:val="Bullet1"/>
      </w:pPr>
      <w:r w:rsidRPr="004B45FC">
        <w:t xml:space="preserve">Clinical and peer support services </w:t>
      </w:r>
      <w:r w:rsidR="00DC25E2">
        <w:t>continue</w:t>
      </w:r>
      <w:r w:rsidR="00900BA5">
        <w:t>d</w:t>
      </w:r>
      <w:r w:rsidR="00DC25E2">
        <w:t xml:space="preserve"> </w:t>
      </w:r>
      <w:r w:rsidRPr="004B45FC">
        <w:t>for trans and gender divers</w:t>
      </w:r>
      <w:r>
        <w:t>e</w:t>
      </w:r>
      <w:r w:rsidRPr="004B45FC">
        <w:t xml:space="preserve"> people</w:t>
      </w:r>
    </w:p>
    <w:p w14:paraId="7191903D" w14:textId="06FE9516" w:rsidR="001A2DAD" w:rsidRPr="004B45FC" w:rsidRDefault="006F6EE2" w:rsidP="001A2DAD">
      <w:pPr>
        <w:pStyle w:val="Bullet1"/>
      </w:pPr>
      <w:r>
        <w:t>S</w:t>
      </w:r>
      <w:r w:rsidR="001A2DAD" w:rsidRPr="004B45FC">
        <w:t>ervices</w:t>
      </w:r>
      <w:r w:rsidR="001A2DAD">
        <w:t xml:space="preserve"> funded by the Victorian Government</w:t>
      </w:r>
      <w:r>
        <w:t xml:space="preserve"> audited </w:t>
      </w:r>
    </w:p>
    <w:p w14:paraId="78576393" w14:textId="6CFF9465" w:rsidR="001A2DAD" w:rsidRDefault="00974DC4" w:rsidP="00974DC4">
      <w:pPr>
        <w:pStyle w:val="Bullet1"/>
      </w:pPr>
      <w:r>
        <w:t>S</w:t>
      </w:r>
      <w:r w:rsidR="001A2DAD" w:rsidRPr="004B530D">
        <w:t>ervices funded</w:t>
      </w:r>
      <w:r w:rsidR="001A2DAD">
        <w:t xml:space="preserve"> by the Victorian Government </w:t>
      </w:r>
      <w:r w:rsidR="001A2DAD" w:rsidRPr="004B45FC">
        <w:t>completed statewide LGBTIQA+ inclusion training</w:t>
      </w:r>
    </w:p>
    <w:p w14:paraId="2998849A" w14:textId="706BD121" w:rsidR="004B45FC" w:rsidRDefault="004B45FC" w:rsidP="004B45FC">
      <w:pPr>
        <w:pStyle w:val="Body"/>
        <w:rPr>
          <w:b/>
          <w:bCs/>
        </w:rPr>
      </w:pPr>
      <w:r w:rsidRPr="004B45FC">
        <w:rPr>
          <w:b/>
          <w:bCs/>
        </w:rPr>
        <w:t>Domain 3</w:t>
      </w:r>
      <w:r w:rsidR="00942639">
        <w:rPr>
          <w:b/>
          <w:bCs/>
        </w:rPr>
        <w:t>:</w:t>
      </w:r>
      <w:r w:rsidR="006F3249">
        <w:rPr>
          <w:b/>
          <w:bCs/>
        </w:rPr>
        <w:t xml:space="preserve"> </w:t>
      </w:r>
      <w:r w:rsidR="006F3249" w:rsidRPr="00B35322">
        <w:rPr>
          <w:b/>
          <w:bCs/>
        </w:rPr>
        <w:t>Visibility to inform decision making</w:t>
      </w:r>
    </w:p>
    <w:p w14:paraId="4004A2A2" w14:textId="19CC6199" w:rsidR="004B45FC" w:rsidRPr="004B45FC" w:rsidRDefault="00900BA5" w:rsidP="004B45FC">
      <w:pPr>
        <w:pStyle w:val="Bullet1"/>
      </w:pPr>
      <w:r>
        <w:t>B</w:t>
      </w:r>
      <w:r w:rsidR="00EE4450">
        <w:t>est practice s</w:t>
      </w:r>
      <w:r w:rsidR="004004AE">
        <w:t>tandards</w:t>
      </w:r>
      <w:r w:rsidR="004B45FC" w:rsidRPr="004B45FC">
        <w:t xml:space="preserve"> for data collection across departments and services</w:t>
      </w:r>
      <w:r>
        <w:t xml:space="preserve"> published</w:t>
      </w:r>
    </w:p>
    <w:p w14:paraId="37DBA88D" w14:textId="46B38356" w:rsidR="004B45FC" w:rsidRPr="004B45FC" w:rsidRDefault="004004AE" w:rsidP="004B45FC">
      <w:pPr>
        <w:pStyle w:val="Bullet1"/>
      </w:pPr>
      <w:r>
        <w:t>O</w:t>
      </w:r>
      <w:r w:rsidR="002B0744">
        <w:t>u</w:t>
      </w:r>
      <w:r w:rsidR="002B0744" w:rsidRPr="004B45FC">
        <w:t xml:space="preserve">tcomes </w:t>
      </w:r>
      <w:r w:rsidR="004B45FC" w:rsidRPr="004B45FC">
        <w:t xml:space="preserve">framework </w:t>
      </w:r>
      <w:r>
        <w:t>is in place</w:t>
      </w:r>
      <w:r w:rsidR="005A61AA">
        <w:t xml:space="preserve"> and implemented </w:t>
      </w:r>
    </w:p>
    <w:p w14:paraId="70136ED4" w14:textId="247B8E16" w:rsidR="004B45FC" w:rsidRPr="004B45FC" w:rsidRDefault="004B45FC">
      <w:pPr>
        <w:pStyle w:val="Bullet1"/>
      </w:pPr>
      <w:r w:rsidRPr="004B45FC">
        <w:t>All Vic</w:t>
      </w:r>
      <w:r w:rsidR="002B0744">
        <w:t>torian</w:t>
      </w:r>
      <w:r w:rsidRPr="004B45FC">
        <w:t xml:space="preserve"> Gov</w:t>
      </w:r>
      <w:r w:rsidR="002B0744">
        <w:t>ernment</w:t>
      </w:r>
      <w:r w:rsidRPr="004B45FC">
        <w:t xml:space="preserve"> boards </w:t>
      </w:r>
      <w:r w:rsidR="004004AE">
        <w:t xml:space="preserve">and advisory groups </w:t>
      </w:r>
      <w:r w:rsidR="002B0744">
        <w:t xml:space="preserve">have </w:t>
      </w:r>
      <w:r w:rsidRPr="004B45FC">
        <w:t>LGBTIQA+ representation</w:t>
      </w:r>
      <w:r w:rsidR="002B3245">
        <w:t xml:space="preserve"> and </w:t>
      </w:r>
      <w:r w:rsidRPr="004B45FC">
        <w:t xml:space="preserve">LGBTIQA+ </w:t>
      </w:r>
      <w:r w:rsidR="004004AE" w:rsidRPr="004B45FC">
        <w:t>adv</w:t>
      </w:r>
      <w:r w:rsidR="004004AE">
        <w:t>isory</w:t>
      </w:r>
      <w:r w:rsidR="004004AE" w:rsidRPr="004B45FC">
        <w:t xml:space="preserve"> </w:t>
      </w:r>
      <w:r w:rsidRPr="004B45FC">
        <w:t>groups continue</w:t>
      </w:r>
    </w:p>
    <w:p w14:paraId="2EFD9CFC" w14:textId="7418F939" w:rsidR="004B45FC" w:rsidRDefault="004B45FC" w:rsidP="004B45FC">
      <w:pPr>
        <w:pStyle w:val="Bodyafterbullets"/>
        <w:rPr>
          <w:b/>
          <w:bCs/>
        </w:rPr>
      </w:pPr>
      <w:r w:rsidRPr="004B45FC">
        <w:rPr>
          <w:b/>
          <w:bCs/>
        </w:rPr>
        <w:t xml:space="preserve">Domain </w:t>
      </w:r>
      <w:r>
        <w:rPr>
          <w:b/>
          <w:bCs/>
        </w:rPr>
        <w:t>4</w:t>
      </w:r>
      <w:r w:rsidR="00942639">
        <w:rPr>
          <w:b/>
          <w:bCs/>
        </w:rPr>
        <w:t>:</w:t>
      </w:r>
      <w:r w:rsidR="006F3249">
        <w:rPr>
          <w:b/>
          <w:bCs/>
        </w:rPr>
        <w:t xml:space="preserve"> </w:t>
      </w:r>
      <w:r w:rsidR="006F3249" w:rsidRPr="00B35322">
        <w:rPr>
          <w:b/>
          <w:bCs/>
        </w:rPr>
        <w:t>Safe, strong and sustainable communities</w:t>
      </w:r>
    </w:p>
    <w:p w14:paraId="5170DE55" w14:textId="7C57ACB5" w:rsidR="004B45FC" w:rsidRPr="004004AE" w:rsidRDefault="004B45FC" w:rsidP="00F344A2">
      <w:pPr>
        <w:pStyle w:val="Bullet1"/>
      </w:pPr>
      <w:r w:rsidRPr="004004AE">
        <w:t xml:space="preserve">LGBTIQA+ campaigns and community-led events delivered </w:t>
      </w:r>
    </w:p>
    <w:p w14:paraId="62F45CC4" w14:textId="2044CF45" w:rsidR="004B45FC" w:rsidRPr="004004AE" w:rsidRDefault="004B45FC" w:rsidP="00F344A2">
      <w:pPr>
        <w:pStyle w:val="Bullet1"/>
      </w:pPr>
      <w:r w:rsidRPr="004004AE">
        <w:t xml:space="preserve">Interdepartmental processes </w:t>
      </w:r>
      <w:r w:rsidR="004004AE">
        <w:t>and</w:t>
      </w:r>
      <w:r w:rsidR="004004AE" w:rsidRPr="004004AE">
        <w:t xml:space="preserve"> </w:t>
      </w:r>
      <w:r w:rsidRPr="004004AE">
        <w:t xml:space="preserve">practices </w:t>
      </w:r>
      <w:r w:rsidR="008C1306">
        <w:t>support</w:t>
      </w:r>
      <w:r w:rsidRPr="004004AE">
        <w:t xml:space="preserve"> VPS employees</w:t>
      </w:r>
      <w:r w:rsidR="004004AE" w:rsidRPr="004004AE">
        <w:t xml:space="preserve"> </w:t>
      </w:r>
      <w:r w:rsidR="004004AE">
        <w:t xml:space="preserve">who identify as </w:t>
      </w:r>
      <w:r w:rsidR="004004AE" w:rsidRPr="004004AE">
        <w:t>LGBTIQA+</w:t>
      </w:r>
    </w:p>
    <w:p w14:paraId="3ECFFF8A" w14:textId="2FAFC217" w:rsidR="004B45FC" w:rsidRPr="004004AE" w:rsidRDefault="004004AE" w:rsidP="00F344A2">
      <w:pPr>
        <w:pStyle w:val="Bullet1"/>
      </w:pPr>
      <w:r>
        <w:t>The</w:t>
      </w:r>
      <w:r w:rsidR="002B0744" w:rsidRPr="004004AE">
        <w:t xml:space="preserve"> </w:t>
      </w:r>
      <w:r w:rsidR="004B45FC" w:rsidRPr="004004AE">
        <w:t>Equality</w:t>
      </w:r>
      <w:r w:rsidR="002B0744" w:rsidRPr="004004AE">
        <w:t xml:space="preserve"> </w:t>
      </w:r>
      <w:r w:rsidR="00EF22F0">
        <w:t>portfolio</w:t>
      </w:r>
      <w:r w:rsidR="004B45FC" w:rsidRPr="004004AE">
        <w:t xml:space="preserve"> </w:t>
      </w:r>
      <w:r>
        <w:t>continues t</w:t>
      </w:r>
      <w:r w:rsidR="004B45FC" w:rsidRPr="004004AE">
        <w:t xml:space="preserve">o </w:t>
      </w:r>
      <w:r>
        <w:t>provide input on better</w:t>
      </w:r>
      <w:r w:rsidRPr="004004AE">
        <w:t xml:space="preserve"> </w:t>
      </w:r>
      <w:r w:rsidR="004B45FC" w:rsidRPr="004004AE">
        <w:t>policies, programs and services</w:t>
      </w:r>
    </w:p>
    <w:p w14:paraId="254C060E" w14:textId="3E1F3077" w:rsidR="004B45FC" w:rsidRDefault="008C1306" w:rsidP="00244DBF">
      <w:pPr>
        <w:pStyle w:val="Heading3"/>
      </w:pPr>
      <w:bookmarkStart w:id="45" w:name="_Toc161234557"/>
      <w:bookmarkStart w:id="46" w:name="_Toc161297283"/>
      <w:r>
        <w:t>I</w:t>
      </w:r>
      <w:r w:rsidR="004B45FC" w:rsidRPr="00E20673">
        <w:t>ndicators</w:t>
      </w:r>
      <w:bookmarkEnd w:id="45"/>
      <w:bookmarkEnd w:id="46"/>
    </w:p>
    <w:p w14:paraId="0B0DA197" w14:textId="1C051D9F" w:rsidR="00194B6C" w:rsidRPr="004B45FC" w:rsidRDefault="00194B6C" w:rsidP="00194B6C">
      <w:pPr>
        <w:pStyle w:val="Bodyafterbullets"/>
        <w:rPr>
          <w:b/>
          <w:bCs/>
        </w:rPr>
      </w:pPr>
      <w:r w:rsidRPr="17430B5F">
        <w:rPr>
          <w:b/>
          <w:bCs/>
        </w:rPr>
        <w:t>Domain 1</w:t>
      </w:r>
      <w:r w:rsidR="00942639">
        <w:rPr>
          <w:b/>
          <w:bCs/>
        </w:rPr>
        <w:t>:</w:t>
      </w:r>
      <w:r w:rsidR="006F3249" w:rsidRPr="17430B5F">
        <w:rPr>
          <w:b/>
          <w:bCs/>
        </w:rPr>
        <w:t xml:space="preserve"> Equal rights and freedoms</w:t>
      </w:r>
    </w:p>
    <w:p w14:paraId="24FCD47B" w14:textId="31BDB275" w:rsidR="00194B6C" w:rsidRPr="004B45FC" w:rsidRDefault="00567E93" w:rsidP="00194B6C">
      <w:pPr>
        <w:pStyle w:val="Bullet1"/>
      </w:pPr>
      <w:r>
        <w:t>Decrease</w:t>
      </w:r>
      <w:r w:rsidR="0069086E">
        <w:t>d</w:t>
      </w:r>
      <w:r w:rsidR="004004AE">
        <w:t xml:space="preserve"> laws that discriminate </w:t>
      </w:r>
      <w:r w:rsidR="00194B6C" w:rsidRPr="004B45FC">
        <w:t xml:space="preserve">and </w:t>
      </w:r>
      <w:r w:rsidR="004004AE">
        <w:t>increase</w:t>
      </w:r>
      <w:r>
        <w:t>d</w:t>
      </w:r>
      <w:r w:rsidR="00194B6C" w:rsidRPr="004B45FC">
        <w:t xml:space="preserve"> protections</w:t>
      </w:r>
    </w:p>
    <w:p w14:paraId="1270361F" w14:textId="037CB119" w:rsidR="00194B6C" w:rsidRPr="004B45FC" w:rsidRDefault="00F11204" w:rsidP="00194B6C">
      <w:pPr>
        <w:pStyle w:val="Bullet1"/>
      </w:pPr>
      <w:r>
        <w:t>More positive a</w:t>
      </w:r>
      <w:r w:rsidR="00233B28">
        <w:t>wareness and</w:t>
      </w:r>
      <w:r w:rsidR="004004AE">
        <w:t xml:space="preserve"> experiences</w:t>
      </w:r>
      <w:r w:rsidR="00AB638C">
        <w:t xml:space="preserve"> </w:t>
      </w:r>
      <w:r w:rsidR="00233B28">
        <w:t>of</w:t>
      </w:r>
      <w:r w:rsidR="00AB638C">
        <w:t xml:space="preserve"> </w:t>
      </w:r>
      <w:r w:rsidR="00194B6C" w:rsidRPr="004B45FC">
        <w:t>the justice system</w:t>
      </w:r>
      <w:r w:rsidR="00233B28">
        <w:t xml:space="preserve">, </w:t>
      </w:r>
      <w:r w:rsidR="001A2DAD">
        <w:t>includ</w:t>
      </w:r>
      <w:r w:rsidR="00233B28">
        <w:t>ing</w:t>
      </w:r>
      <w:r w:rsidR="00AB638C">
        <w:t xml:space="preserve"> Victoria</w:t>
      </w:r>
      <w:r w:rsidR="00194B6C" w:rsidRPr="004B45FC">
        <w:t xml:space="preserve"> Police </w:t>
      </w:r>
    </w:p>
    <w:p w14:paraId="75D90904" w14:textId="61A2B883" w:rsidR="00194B6C" w:rsidRPr="004B45FC" w:rsidRDefault="000630C7" w:rsidP="00194B6C">
      <w:pPr>
        <w:pStyle w:val="Bullet1"/>
      </w:pPr>
      <w:r>
        <w:t>Enhance</w:t>
      </w:r>
      <w:r w:rsidR="001264E5">
        <w:t>d</w:t>
      </w:r>
      <w:r>
        <w:t xml:space="preserve"> l</w:t>
      </w:r>
      <w:r w:rsidR="00194B6C" w:rsidRPr="004B45FC">
        <w:t>aw</w:t>
      </w:r>
      <w:r w:rsidR="00AB638C">
        <w:t>-</w:t>
      </w:r>
      <w:r w:rsidR="00194B6C" w:rsidRPr="004B45FC">
        <w:t xml:space="preserve"> and policy</w:t>
      </w:r>
      <w:r w:rsidR="00AB638C">
        <w:t>-</w:t>
      </w:r>
      <w:r w:rsidR="00194B6C" w:rsidRPr="004B45FC">
        <w:t xml:space="preserve">making processes identify and respond to </w:t>
      </w:r>
      <w:r w:rsidR="004004AE">
        <w:t xml:space="preserve">the needs of the </w:t>
      </w:r>
      <w:r w:rsidR="00194B6C" w:rsidRPr="004B45FC">
        <w:t xml:space="preserve">LGBTIQA+ </w:t>
      </w:r>
      <w:r w:rsidR="004004AE">
        <w:t>community</w:t>
      </w:r>
    </w:p>
    <w:p w14:paraId="798C5879" w14:textId="20DA03A0" w:rsidR="00194B6C" w:rsidRPr="004B45FC" w:rsidRDefault="00194B6C" w:rsidP="00194B6C">
      <w:pPr>
        <w:pStyle w:val="Bodyafterbullets"/>
        <w:rPr>
          <w:b/>
          <w:bCs/>
        </w:rPr>
      </w:pPr>
      <w:r w:rsidRPr="004B45FC">
        <w:rPr>
          <w:b/>
          <w:bCs/>
        </w:rPr>
        <w:t>Domain 2</w:t>
      </w:r>
      <w:r w:rsidR="00942639">
        <w:rPr>
          <w:b/>
          <w:bCs/>
        </w:rPr>
        <w:t>:</w:t>
      </w:r>
      <w:r w:rsidR="006F3249">
        <w:rPr>
          <w:b/>
          <w:bCs/>
        </w:rPr>
        <w:t xml:space="preserve"> </w:t>
      </w:r>
      <w:r w:rsidR="006F3249" w:rsidRPr="00B35322">
        <w:rPr>
          <w:b/>
          <w:bCs/>
        </w:rPr>
        <w:t>Equitable, inclusive and accessible services</w:t>
      </w:r>
    </w:p>
    <w:p w14:paraId="182B0DA6" w14:textId="3A8D6EC7" w:rsidR="00194B6C" w:rsidRPr="004B45FC" w:rsidRDefault="00194B6C" w:rsidP="00194B6C">
      <w:pPr>
        <w:pStyle w:val="Bullet1"/>
      </w:pPr>
      <w:r w:rsidRPr="004B45FC">
        <w:t>Increase</w:t>
      </w:r>
      <w:r w:rsidR="001264E5">
        <w:t>d</w:t>
      </w:r>
      <w:r w:rsidRPr="004B45FC">
        <w:t xml:space="preserve"> satisfaction with and effectiveness of health and wellbeing services</w:t>
      </w:r>
    </w:p>
    <w:p w14:paraId="46B75E2A" w14:textId="5EDFA56D" w:rsidR="00194B6C" w:rsidRPr="004B45FC" w:rsidRDefault="00194B6C" w:rsidP="00194B6C">
      <w:pPr>
        <w:pStyle w:val="Bullet1"/>
      </w:pPr>
      <w:r w:rsidRPr="004B45FC">
        <w:t>Improve</w:t>
      </w:r>
      <w:r w:rsidR="001264E5">
        <w:t>d</w:t>
      </w:r>
      <w:r w:rsidRPr="004B45FC">
        <w:t xml:space="preserve"> mental and physical health outcomes</w:t>
      </w:r>
    </w:p>
    <w:p w14:paraId="03A44854" w14:textId="3259BF30" w:rsidR="00194B6C" w:rsidRDefault="00194B6C" w:rsidP="00194B6C">
      <w:pPr>
        <w:pStyle w:val="Bullet1"/>
      </w:pPr>
      <w:r w:rsidRPr="004B45FC">
        <w:t>Increase</w:t>
      </w:r>
      <w:r w:rsidR="001264E5">
        <w:t>d</w:t>
      </w:r>
      <w:r w:rsidRPr="004B45FC">
        <w:t xml:space="preserve"> </w:t>
      </w:r>
      <w:r w:rsidR="004004AE">
        <w:t>the</w:t>
      </w:r>
      <w:r w:rsidRPr="004B45FC">
        <w:t xml:space="preserve"> capacity of mainstream services </w:t>
      </w:r>
      <w:r w:rsidR="004004AE">
        <w:t>to include LGBTIQA</w:t>
      </w:r>
      <w:r w:rsidR="001264E5">
        <w:t>+</w:t>
      </w:r>
      <w:r w:rsidR="004004AE">
        <w:t xml:space="preserve"> people</w:t>
      </w:r>
    </w:p>
    <w:p w14:paraId="7B1F0274" w14:textId="7545EAE9" w:rsidR="004B45FC" w:rsidRDefault="004B45FC" w:rsidP="004B45FC">
      <w:pPr>
        <w:pStyle w:val="Body"/>
        <w:rPr>
          <w:b/>
          <w:bCs/>
        </w:rPr>
      </w:pPr>
      <w:r w:rsidRPr="004B45FC">
        <w:rPr>
          <w:b/>
          <w:bCs/>
        </w:rPr>
        <w:t>Domain 3</w:t>
      </w:r>
      <w:r w:rsidR="00942639">
        <w:rPr>
          <w:b/>
          <w:bCs/>
        </w:rPr>
        <w:t>:</w:t>
      </w:r>
      <w:r w:rsidR="006F3249">
        <w:rPr>
          <w:b/>
          <w:bCs/>
        </w:rPr>
        <w:t xml:space="preserve"> </w:t>
      </w:r>
      <w:r w:rsidR="006F3249" w:rsidRPr="00B35322">
        <w:rPr>
          <w:b/>
          <w:bCs/>
        </w:rPr>
        <w:t>Visibility to inform decision making</w:t>
      </w:r>
    </w:p>
    <w:p w14:paraId="3E956784" w14:textId="127261F8" w:rsidR="004B45FC" w:rsidRPr="004B45FC" w:rsidRDefault="004B45FC" w:rsidP="004B45FC">
      <w:pPr>
        <w:pStyle w:val="Bullet1"/>
      </w:pPr>
      <w:r w:rsidRPr="004B45FC">
        <w:t>Improve</w:t>
      </w:r>
      <w:r w:rsidR="001864D4">
        <w:t>d</w:t>
      </w:r>
      <w:r w:rsidRPr="004B45FC">
        <w:t xml:space="preserve"> data collection </w:t>
      </w:r>
      <w:r w:rsidR="00AB638C">
        <w:t xml:space="preserve">across government </w:t>
      </w:r>
      <w:r w:rsidR="00157E9E">
        <w:t>and government-funded sectors</w:t>
      </w:r>
    </w:p>
    <w:p w14:paraId="3DDCB5F0" w14:textId="492524E9" w:rsidR="004B45FC" w:rsidRPr="004B45FC" w:rsidRDefault="004B45FC" w:rsidP="004B45FC">
      <w:pPr>
        <w:pStyle w:val="Bullet1"/>
      </w:pPr>
      <w:r w:rsidRPr="004B45FC">
        <w:t>Increase</w:t>
      </w:r>
      <w:r w:rsidR="001864D4">
        <w:t>d</w:t>
      </w:r>
      <w:r w:rsidRPr="004B45FC">
        <w:t xml:space="preserve"> representation in government decision making</w:t>
      </w:r>
    </w:p>
    <w:p w14:paraId="2380BABF" w14:textId="4777486B" w:rsidR="004B45FC" w:rsidRDefault="004B45FC" w:rsidP="004B45FC">
      <w:pPr>
        <w:pStyle w:val="Bullet1"/>
      </w:pPr>
      <w:r>
        <w:t>Improve</w:t>
      </w:r>
      <w:r w:rsidR="001864D4">
        <w:t>d</w:t>
      </w:r>
      <w:r w:rsidR="00157E9E">
        <w:t xml:space="preserve"> the </w:t>
      </w:r>
      <w:r>
        <w:t xml:space="preserve">evidence base for effective and </w:t>
      </w:r>
      <w:r w:rsidRPr="004B45FC">
        <w:t>inclusive</w:t>
      </w:r>
      <w:r>
        <w:t xml:space="preserve"> services</w:t>
      </w:r>
    </w:p>
    <w:p w14:paraId="56AE89FD" w14:textId="34C73BDF" w:rsidR="004B45FC" w:rsidRDefault="004B45FC" w:rsidP="004B45FC">
      <w:pPr>
        <w:pStyle w:val="Bodyafterbullets"/>
        <w:rPr>
          <w:b/>
          <w:bCs/>
        </w:rPr>
      </w:pPr>
      <w:r w:rsidRPr="004B45FC">
        <w:rPr>
          <w:b/>
          <w:bCs/>
        </w:rPr>
        <w:t>Domain 4</w:t>
      </w:r>
      <w:r w:rsidR="00942639">
        <w:rPr>
          <w:b/>
          <w:bCs/>
        </w:rPr>
        <w:t>:</w:t>
      </w:r>
      <w:r w:rsidR="006F3249">
        <w:rPr>
          <w:b/>
          <w:bCs/>
        </w:rPr>
        <w:t xml:space="preserve"> </w:t>
      </w:r>
      <w:r w:rsidR="006F3249" w:rsidRPr="00B35322">
        <w:rPr>
          <w:b/>
          <w:bCs/>
        </w:rPr>
        <w:t>Safe, strong and sustainable communities</w:t>
      </w:r>
    </w:p>
    <w:p w14:paraId="5DB891B3" w14:textId="56729106" w:rsidR="004B45FC" w:rsidRDefault="00714DCD" w:rsidP="00714DCD">
      <w:pPr>
        <w:pStyle w:val="Bullet1"/>
      </w:pPr>
      <w:r>
        <w:t>Decrease</w:t>
      </w:r>
      <w:r w:rsidR="001864D4">
        <w:t>d</w:t>
      </w:r>
      <w:r>
        <w:t xml:space="preserve"> rates of discrimination, harassment, physical abuse and family violence</w:t>
      </w:r>
    </w:p>
    <w:p w14:paraId="3A5B1C76" w14:textId="04327531" w:rsidR="00714DCD" w:rsidRDefault="00157E9E" w:rsidP="00714DCD">
      <w:pPr>
        <w:pStyle w:val="Bullet1"/>
      </w:pPr>
      <w:r>
        <w:t>Improve</w:t>
      </w:r>
      <w:r w:rsidR="001864D4">
        <w:t>d</w:t>
      </w:r>
      <w:r>
        <w:t xml:space="preserve"> </w:t>
      </w:r>
      <w:r w:rsidR="00714DCD">
        <w:t>public education, celebration and representation of LGBTIQA+ communities</w:t>
      </w:r>
    </w:p>
    <w:p w14:paraId="71DF77D4" w14:textId="1EC67C65" w:rsidR="00714DCD" w:rsidRDefault="00714DCD" w:rsidP="00714DCD">
      <w:pPr>
        <w:pStyle w:val="Bullet1"/>
      </w:pPr>
      <w:r>
        <w:t>Increase</w:t>
      </w:r>
      <w:r w:rsidR="001864D4">
        <w:t>d</w:t>
      </w:r>
      <w:r w:rsidR="00157E9E">
        <w:t xml:space="preserve"> </w:t>
      </w:r>
      <w:r>
        <w:t>safety, social inclusion, participation and economic security</w:t>
      </w:r>
    </w:p>
    <w:p w14:paraId="5948D131" w14:textId="1B1ADA5E" w:rsidR="00714DCD" w:rsidRDefault="006465C8" w:rsidP="00244DBF">
      <w:pPr>
        <w:pStyle w:val="Heading3"/>
      </w:pPr>
      <w:bookmarkStart w:id="47" w:name="_Toc161234558"/>
      <w:bookmarkStart w:id="48" w:name="_Toc161297284"/>
      <w:r>
        <w:t>O</w:t>
      </w:r>
      <w:r w:rsidR="00714DCD">
        <w:t>utcomes</w:t>
      </w:r>
      <w:bookmarkEnd w:id="47"/>
      <w:bookmarkEnd w:id="48"/>
    </w:p>
    <w:p w14:paraId="5DEE3A7B" w14:textId="3F9EECE2" w:rsidR="00AD3282" w:rsidRDefault="00C94BDD" w:rsidP="00C94BDD">
      <w:pPr>
        <w:pStyle w:val="Bodyafterbullets"/>
      </w:pPr>
      <w:r>
        <w:t xml:space="preserve">LGBTIQA+ Victorians </w:t>
      </w:r>
      <w:r w:rsidR="00157E9E">
        <w:t xml:space="preserve">have </w:t>
      </w:r>
      <w:r>
        <w:t>equal rights</w:t>
      </w:r>
      <w:r w:rsidR="001A2DAD">
        <w:t xml:space="preserve">. </w:t>
      </w:r>
    </w:p>
    <w:p w14:paraId="0219CC33" w14:textId="44F80600" w:rsidR="00AD3282" w:rsidRDefault="00AD3282" w:rsidP="00C94BDD">
      <w:pPr>
        <w:pStyle w:val="Bodyafterbullets"/>
      </w:pPr>
      <w:r>
        <w:t>LGBTIQA+ Victorians</w:t>
      </w:r>
      <w:r w:rsidR="001A2DAD">
        <w:t xml:space="preserve"> have</w:t>
      </w:r>
      <w:r w:rsidR="00C94BDD">
        <w:t xml:space="preserve"> improved health and wellbeing</w:t>
      </w:r>
      <w:r w:rsidR="001A2DAD">
        <w:t>.</w:t>
      </w:r>
      <w:r w:rsidR="00C94BDD">
        <w:t xml:space="preserve"> </w:t>
      </w:r>
    </w:p>
    <w:p w14:paraId="31ECAD1D" w14:textId="14C28E93" w:rsidR="00C94BDD" w:rsidRPr="00714DCD" w:rsidRDefault="00AD3282" w:rsidP="00C94BDD">
      <w:pPr>
        <w:pStyle w:val="Bodyafterbullets"/>
      </w:pPr>
      <w:r>
        <w:t xml:space="preserve">LGBTIQA+ Victorians </w:t>
      </w:r>
      <w:r w:rsidR="00C94BDD">
        <w:t>feel safe and valued</w:t>
      </w:r>
      <w:r w:rsidR="00815AD2">
        <w:t xml:space="preserve"> in their everyday lives</w:t>
      </w:r>
      <w:r w:rsidR="004004AE">
        <w:t>.</w:t>
      </w:r>
    </w:p>
    <w:p w14:paraId="4C9709A3" w14:textId="77777777" w:rsidR="00573D27" w:rsidRPr="004B45FC" w:rsidRDefault="00573D27" w:rsidP="00573D27">
      <w:pPr>
        <w:pStyle w:val="Bodyafterbullets"/>
        <w:rPr>
          <w:b/>
          <w:bCs/>
        </w:rPr>
      </w:pPr>
      <w:r w:rsidRPr="17430B5F">
        <w:rPr>
          <w:b/>
          <w:bCs/>
        </w:rPr>
        <w:t>Domain 1</w:t>
      </w:r>
      <w:r>
        <w:rPr>
          <w:b/>
          <w:bCs/>
        </w:rPr>
        <w:t>:</w:t>
      </w:r>
      <w:r w:rsidRPr="17430B5F">
        <w:rPr>
          <w:b/>
          <w:bCs/>
        </w:rPr>
        <w:t xml:space="preserve"> Equal rights and freedoms</w:t>
      </w:r>
    </w:p>
    <w:p w14:paraId="1DFF0E28" w14:textId="77777777" w:rsidR="00714DCD" w:rsidRPr="00573D27" w:rsidRDefault="00714DCD" w:rsidP="00714DCD">
      <w:pPr>
        <w:pStyle w:val="Bodyafterbullets"/>
      </w:pPr>
      <w:r w:rsidRPr="00573D27">
        <w:t>Medium</w:t>
      </w:r>
      <w:r w:rsidR="00207CAB" w:rsidRPr="00573D27">
        <w:t>-</w:t>
      </w:r>
      <w:r w:rsidRPr="00573D27">
        <w:t>term</w:t>
      </w:r>
    </w:p>
    <w:p w14:paraId="5CCEE2AE" w14:textId="77777777" w:rsidR="00714DCD" w:rsidRPr="00714DCD" w:rsidRDefault="007E5426" w:rsidP="00714DCD">
      <w:pPr>
        <w:pStyle w:val="Bullet1"/>
      </w:pPr>
      <w:r>
        <w:t xml:space="preserve">Laws </w:t>
      </w:r>
      <w:r w:rsidR="003203B6">
        <w:t xml:space="preserve">and policies </w:t>
      </w:r>
      <w:r>
        <w:t>uphold</w:t>
      </w:r>
      <w:r w:rsidR="00714DCD" w:rsidRPr="00714DCD">
        <w:t xml:space="preserve"> human rights and freedoms (1.1)</w:t>
      </w:r>
    </w:p>
    <w:p w14:paraId="40FC622E" w14:textId="463DD8C9" w:rsidR="00714DCD" w:rsidRPr="00714DCD" w:rsidRDefault="00DB6F8D" w:rsidP="00714DCD">
      <w:pPr>
        <w:pStyle w:val="Bullet1"/>
      </w:pPr>
      <w:r>
        <w:t>S</w:t>
      </w:r>
      <w:r w:rsidR="009A3DD8">
        <w:t xml:space="preserve">afe </w:t>
      </w:r>
      <w:r w:rsidR="001816DD">
        <w:t xml:space="preserve">and effective </w:t>
      </w:r>
      <w:r w:rsidR="007E5426">
        <w:t>access t</w:t>
      </w:r>
      <w:r w:rsidR="001B3D41">
        <w:t>o</w:t>
      </w:r>
      <w:r w:rsidR="007E5426">
        <w:t xml:space="preserve"> justice </w:t>
      </w:r>
      <w:r w:rsidR="00714DCD" w:rsidRPr="00714DCD">
        <w:t>(1.2)</w:t>
      </w:r>
    </w:p>
    <w:p w14:paraId="51305EA3" w14:textId="77777777" w:rsidR="00D6392E" w:rsidRPr="00D6392E" w:rsidRDefault="00D6392E" w:rsidP="00D6392E">
      <w:pPr>
        <w:pStyle w:val="Bullet1"/>
        <w:numPr>
          <w:ilvl w:val="0"/>
          <w:numId w:val="0"/>
        </w:numPr>
        <w:ind w:left="284" w:hanging="284"/>
      </w:pPr>
    </w:p>
    <w:p w14:paraId="048CE75E" w14:textId="77777777" w:rsidR="00573D27" w:rsidRPr="004B45FC" w:rsidRDefault="00573D27" w:rsidP="00573D27">
      <w:pPr>
        <w:pStyle w:val="Bodyafterbullets"/>
        <w:rPr>
          <w:b/>
          <w:bCs/>
        </w:rPr>
      </w:pPr>
      <w:r w:rsidRPr="004B45FC">
        <w:rPr>
          <w:b/>
          <w:bCs/>
        </w:rPr>
        <w:t>Domain 2</w:t>
      </w:r>
      <w:r>
        <w:rPr>
          <w:b/>
          <w:bCs/>
        </w:rPr>
        <w:t xml:space="preserve">: </w:t>
      </w:r>
      <w:r w:rsidRPr="00B35322">
        <w:rPr>
          <w:b/>
          <w:bCs/>
        </w:rPr>
        <w:t>Equitable, inclusive and accessible services</w:t>
      </w:r>
    </w:p>
    <w:p w14:paraId="3CC8B5C6" w14:textId="77777777" w:rsidR="00D6392E" w:rsidRPr="00573D27" w:rsidRDefault="00D6392E" w:rsidP="00D6392E">
      <w:pPr>
        <w:pStyle w:val="Bodyafterbullets"/>
      </w:pPr>
      <w:r w:rsidRPr="00573D27">
        <w:t>Medium-term</w:t>
      </w:r>
    </w:p>
    <w:p w14:paraId="44551C00" w14:textId="178917FE" w:rsidR="00714DCD" w:rsidRPr="00714DCD" w:rsidRDefault="00714DCD" w:rsidP="00714DCD">
      <w:pPr>
        <w:pStyle w:val="Bullet1"/>
      </w:pPr>
      <w:r w:rsidRPr="00714DCD">
        <w:t>Services are inclusive, affirming and available (2.1)</w:t>
      </w:r>
    </w:p>
    <w:p w14:paraId="0B3A36AA" w14:textId="1E5A869A" w:rsidR="00714DCD" w:rsidRPr="00714DCD" w:rsidRDefault="002509D1" w:rsidP="00714DCD">
      <w:pPr>
        <w:pStyle w:val="Bullet1"/>
      </w:pPr>
      <w:r>
        <w:t>F</w:t>
      </w:r>
      <w:r w:rsidR="001A2DAD">
        <w:t>air</w:t>
      </w:r>
      <w:r w:rsidR="00714DCD" w:rsidRPr="00714DCD">
        <w:t xml:space="preserve"> and effective </w:t>
      </w:r>
      <w:r>
        <w:t>services are provided</w:t>
      </w:r>
      <w:r w:rsidR="00BB13FC">
        <w:t xml:space="preserve"> </w:t>
      </w:r>
      <w:r w:rsidR="00714DCD" w:rsidRPr="00714DCD">
        <w:t>(2.2)</w:t>
      </w:r>
    </w:p>
    <w:p w14:paraId="2A096D77" w14:textId="11EA72F4" w:rsidR="00714DCD" w:rsidRDefault="00714DCD" w:rsidP="00714DCD">
      <w:pPr>
        <w:pStyle w:val="Bullet1"/>
      </w:pPr>
      <w:r w:rsidRPr="00714DCD">
        <w:t xml:space="preserve">Health and wellbeing services support </w:t>
      </w:r>
      <w:r w:rsidR="00157E9E">
        <w:t>LGBTIQA+ people to</w:t>
      </w:r>
      <w:r w:rsidR="00157E9E" w:rsidRPr="00714DCD">
        <w:t xml:space="preserve"> </w:t>
      </w:r>
      <w:r w:rsidRPr="00714DCD">
        <w:t>live the life they want (2.3)</w:t>
      </w:r>
    </w:p>
    <w:p w14:paraId="3D714FD1" w14:textId="77777777" w:rsidR="00714DCD" w:rsidRPr="00F30555" w:rsidRDefault="00714DCD" w:rsidP="00714DCD">
      <w:pPr>
        <w:pStyle w:val="Bodyafterbullets"/>
      </w:pPr>
      <w:r w:rsidRPr="00F30555">
        <w:t xml:space="preserve">Signs of impact: </w:t>
      </w:r>
    </w:p>
    <w:p w14:paraId="7D3DB4F8" w14:textId="25F3AD87" w:rsidR="00714DCD" w:rsidRPr="00F30555" w:rsidRDefault="00714DCD" w:rsidP="00714DCD">
      <w:pPr>
        <w:pStyle w:val="Bullet1"/>
      </w:pPr>
      <w:r w:rsidRPr="00F30555">
        <w:t>Reduction in experiences of discrimination from 34</w:t>
      </w:r>
      <w:r w:rsidR="006A15E5" w:rsidRPr="00F30555">
        <w:t>%</w:t>
      </w:r>
      <w:r w:rsidR="00731BE5">
        <w:rPr>
          <w:rStyle w:val="FootnoteReference"/>
        </w:rPr>
        <w:footnoteReference w:id="7"/>
      </w:r>
    </w:p>
    <w:p w14:paraId="43A4B709" w14:textId="69A1229B" w:rsidR="00714DCD" w:rsidRPr="00F30555" w:rsidRDefault="00714DCD" w:rsidP="00714DCD">
      <w:pPr>
        <w:pStyle w:val="Bullet1"/>
      </w:pPr>
      <w:r w:rsidRPr="00F30555">
        <w:t>Reduction in people attempting suicide from 5</w:t>
      </w:r>
      <w:r w:rsidR="006A15E5" w:rsidRPr="00F30555">
        <w:t>%</w:t>
      </w:r>
      <w:r w:rsidRPr="00F30555">
        <w:t xml:space="preserve"> of </w:t>
      </w:r>
      <w:r w:rsidR="0051539C">
        <w:t xml:space="preserve">adults </w:t>
      </w:r>
      <w:r w:rsidR="00B269A3">
        <w:t xml:space="preserve">and 9% of </w:t>
      </w:r>
      <w:r w:rsidRPr="00F30555">
        <w:t>young people</w:t>
      </w:r>
      <w:r w:rsidR="00555BC3">
        <w:rPr>
          <w:rStyle w:val="FootnoteReference"/>
        </w:rPr>
        <w:footnoteReference w:id="8"/>
      </w:r>
    </w:p>
    <w:p w14:paraId="531099EC" w14:textId="77777777" w:rsidR="00573D27" w:rsidRDefault="00573D27" w:rsidP="00714DCD">
      <w:pPr>
        <w:pStyle w:val="Bodyafterbullets"/>
        <w:rPr>
          <w:b/>
          <w:bCs/>
        </w:rPr>
      </w:pPr>
    </w:p>
    <w:p w14:paraId="3EEDDCC2" w14:textId="77777777" w:rsidR="00573D27" w:rsidRDefault="00573D27" w:rsidP="00573D27">
      <w:pPr>
        <w:pStyle w:val="Body"/>
        <w:rPr>
          <w:b/>
          <w:bCs/>
        </w:rPr>
      </w:pPr>
      <w:r w:rsidRPr="004B45FC">
        <w:rPr>
          <w:b/>
          <w:bCs/>
        </w:rPr>
        <w:t>Domain 3</w:t>
      </w:r>
      <w:r>
        <w:rPr>
          <w:b/>
          <w:bCs/>
        </w:rPr>
        <w:t xml:space="preserve">: </w:t>
      </w:r>
      <w:r w:rsidRPr="00B35322">
        <w:rPr>
          <w:b/>
          <w:bCs/>
        </w:rPr>
        <w:t>Visibility to inform decision making</w:t>
      </w:r>
    </w:p>
    <w:p w14:paraId="3B3BEAED" w14:textId="77777777" w:rsidR="00D6392E" w:rsidRPr="00573D27" w:rsidRDefault="00D6392E" w:rsidP="00D6392E">
      <w:pPr>
        <w:pStyle w:val="Body"/>
      </w:pPr>
      <w:r w:rsidRPr="00573D27">
        <w:t>Short-term</w:t>
      </w:r>
    </w:p>
    <w:p w14:paraId="04B059B9" w14:textId="77777777" w:rsidR="00D6392E" w:rsidRPr="00714DCD" w:rsidRDefault="00D6392E" w:rsidP="00D6392E">
      <w:pPr>
        <w:pStyle w:val="Bullet1"/>
      </w:pPr>
      <w:r w:rsidRPr="00714DCD">
        <w:t xml:space="preserve">Data collection </w:t>
      </w:r>
      <w:r>
        <w:t>builds</w:t>
      </w:r>
      <w:r w:rsidRPr="00714DCD">
        <w:t xml:space="preserve"> an evidence base (3.1)</w:t>
      </w:r>
    </w:p>
    <w:p w14:paraId="7C6EB697" w14:textId="77777777" w:rsidR="00D6392E" w:rsidRDefault="00D6392E" w:rsidP="00D6392E">
      <w:pPr>
        <w:pStyle w:val="Bullet1"/>
      </w:pPr>
      <w:r>
        <w:t xml:space="preserve">Decision making is evidence-based </w:t>
      </w:r>
      <w:r w:rsidRPr="00714DCD">
        <w:t>(3.2)</w:t>
      </w:r>
    </w:p>
    <w:p w14:paraId="3E5FBB63" w14:textId="77777777" w:rsidR="00D6392E" w:rsidRDefault="00D6392E" w:rsidP="00D6392E">
      <w:pPr>
        <w:pStyle w:val="Bodyafterbullets"/>
      </w:pPr>
      <w:r>
        <w:t xml:space="preserve">Sign of impact: </w:t>
      </w:r>
    </w:p>
    <w:p w14:paraId="79A49A9B" w14:textId="77777777" w:rsidR="00D6392E" w:rsidRPr="00714DCD" w:rsidRDefault="00D6392E" w:rsidP="00D6392E">
      <w:pPr>
        <w:pStyle w:val="Bullet1"/>
      </w:pPr>
      <w:r>
        <w:t>Increased LGBTIQA+ data collection across government and non-government sectors</w:t>
      </w:r>
    </w:p>
    <w:p w14:paraId="2763D054" w14:textId="77777777" w:rsidR="00D6392E" w:rsidRDefault="00D6392E" w:rsidP="00573D27">
      <w:pPr>
        <w:pStyle w:val="Body"/>
        <w:rPr>
          <w:b/>
          <w:bCs/>
        </w:rPr>
      </w:pPr>
    </w:p>
    <w:p w14:paraId="0BB77456" w14:textId="77777777" w:rsidR="00573D27" w:rsidRDefault="00573D27" w:rsidP="00573D27">
      <w:pPr>
        <w:pStyle w:val="Bodyafterbullets"/>
        <w:rPr>
          <w:b/>
          <w:bCs/>
        </w:rPr>
      </w:pPr>
      <w:r w:rsidRPr="004B45FC">
        <w:rPr>
          <w:b/>
          <w:bCs/>
        </w:rPr>
        <w:t>Domain 4</w:t>
      </w:r>
      <w:r>
        <w:rPr>
          <w:b/>
          <w:bCs/>
        </w:rPr>
        <w:t xml:space="preserve">: </w:t>
      </w:r>
      <w:r w:rsidRPr="00B35322">
        <w:rPr>
          <w:b/>
          <w:bCs/>
        </w:rPr>
        <w:t>Safe, strong and sustainable communities</w:t>
      </w:r>
    </w:p>
    <w:p w14:paraId="12ECD4B3" w14:textId="77777777" w:rsidR="00714DCD" w:rsidRPr="00573D27" w:rsidRDefault="00714DCD" w:rsidP="00714DCD">
      <w:pPr>
        <w:pStyle w:val="Bodyafterbullets"/>
      </w:pPr>
      <w:r w:rsidRPr="00573D27">
        <w:t>Long</w:t>
      </w:r>
      <w:r w:rsidR="00207CAB" w:rsidRPr="00573D27">
        <w:t>-</w:t>
      </w:r>
      <w:r w:rsidRPr="00573D27">
        <w:t>term</w:t>
      </w:r>
    </w:p>
    <w:p w14:paraId="22A89153" w14:textId="77777777" w:rsidR="00714DCD" w:rsidRPr="00F30555" w:rsidRDefault="00714DCD" w:rsidP="00714DCD">
      <w:pPr>
        <w:pStyle w:val="Bullet1"/>
      </w:pPr>
      <w:r w:rsidRPr="00F30555">
        <w:t>Free from harassment, abuse, hate speech and discrimination (4.1)</w:t>
      </w:r>
    </w:p>
    <w:p w14:paraId="37DBDCC4" w14:textId="77777777" w:rsidR="00714DCD" w:rsidRPr="00F30555" w:rsidRDefault="00714DCD" w:rsidP="00714DCD">
      <w:pPr>
        <w:pStyle w:val="Bullet1"/>
      </w:pPr>
      <w:r w:rsidRPr="00F30555">
        <w:t>Safety and security in everyday li</w:t>
      </w:r>
      <w:r w:rsidR="00195768" w:rsidRPr="00F30555">
        <w:t>f</w:t>
      </w:r>
      <w:r w:rsidRPr="00F30555">
        <w:t>e</w:t>
      </w:r>
      <w:r w:rsidR="00195768" w:rsidRPr="00F30555">
        <w:t xml:space="preserve"> </w:t>
      </w:r>
      <w:r w:rsidRPr="00F30555">
        <w:t>(4.2)</w:t>
      </w:r>
    </w:p>
    <w:p w14:paraId="08B12D37" w14:textId="77777777" w:rsidR="00714DCD" w:rsidRPr="00F30555" w:rsidRDefault="00714DCD" w:rsidP="00714DCD">
      <w:pPr>
        <w:pStyle w:val="Bullet1"/>
      </w:pPr>
      <w:r w:rsidRPr="00F30555">
        <w:t>Victoria’s communities are welcoming and inclusive (4.3)</w:t>
      </w:r>
    </w:p>
    <w:p w14:paraId="10203A93" w14:textId="77777777" w:rsidR="00714DCD" w:rsidRPr="00F30555" w:rsidRDefault="00714DCD" w:rsidP="00C94BDD">
      <w:pPr>
        <w:pStyle w:val="Bodyafterbullets"/>
      </w:pPr>
      <w:r w:rsidRPr="00F30555">
        <w:t>Sign of impact:</w:t>
      </w:r>
    </w:p>
    <w:p w14:paraId="3F73D798" w14:textId="77777777" w:rsidR="00876E56" w:rsidRPr="00F30555" w:rsidRDefault="00714DCD" w:rsidP="00714DCD">
      <w:pPr>
        <w:pStyle w:val="Bullet1"/>
      </w:pPr>
      <w:r w:rsidRPr="00F30555">
        <w:t>Increase in</w:t>
      </w:r>
      <w:r w:rsidR="00157E9E" w:rsidRPr="00F30555">
        <w:t xml:space="preserve"> LGBTIQA+</w:t>
      </w:r>
      <w:r w:rsidRPr="00F30555">
        <w:t xml:space="preserve"> people feeling valued by society from 41</w:t>
      </w:r>
      <w:r w:rsidR="006A15E5" w:rsidRPr="00F30555">
        <w:t>%</w:t>
      </w:r>
      <w:r w:rsidR="00767260">
        <w:rPr>
          <w:rStyle w:val="FootnoteReference"/>
        </w:rPr>
        <w:footnoteReference w:id="9"/>
      </w:r>
    </w:p>
    <w:p w14:paraId="35A7A28D" w14:textId="6500C047" w:rsidR="00876E56" w:rsidRDefault="00876E56" w:rsidP="00B04844">
      <w:pPr>
        <w:pStyle w:val="Body"/>
      </w:pPr>
      <w:r>
        <w:br w:type="page"/>
      </w:r>
    </w:p>
    <w:p w14:paraId="3F582139" w14:textId="7037FD32" w:rsidR="00876E56" w:rsidRDefault="00876E56" w:rsidP="00C94BDD">
      <w:pPr>
        <w:pStyle w:val="Heading1"/>
      </w:pPr>
      <w:bookmarkStart w:id="49" w:name="_Toc183769436"/>
      <w:r>
        <w:t>Domain logic models and measures</w:t>
      </w:r>
      <w:bookmarkEnd w:id="49"/>
    </w:p>
    <w:p w14:paraId="3DB30E5E" w14:textId="77777777" w:rsidR="00387556" w:rsidRDefault="00876E56" w:rsidP="00876E56">
      <w:pPr>
        <w:pStyle w:val="Heading2"/>
      </w:pPr>
      <w:bookmarkStart w:id="50" w:name="_Toc183769437"/>
      <w:r>
        <w:t>D</w:t>
      </w:r>
      <w:r w:rsidR="00826D13">
        <w:t>omain 1: Equal rights and freedoms</w:t>
      </w:r>
      <w:bookmarkEnd w:id="50"/>
      <w:r>
        <w:t xml:space="preserve"> </w:t>
      </w:r>
    </w:p>
    <w:p w14:paraId="04C61074" w14:textId="77777777" w:rsidR="00CD76DE" w:rsidRDefault="00387556" w:rsidP="00CD76DE">
      <w:pPr>
        <w:pStyle w:val="Heading3"/>
      </w:pPr>
      <w:r>
        <w:t>L</w:t>
      </w:r>
      <w:r w:rsidR="00876E56">
        <w:t>ogic model</w:t>
      </w:r>
      <w:r w:rsidR="004F400F">
        <w:t xml:space="preserve"> overview</w:t>
      </w:r>
      <w:bookmarkStart w:id="51" w:name="_Toc161234561"/>
      <w:bookmarkStart w:id="52" w:name="_Toc161297287"/>
    </w:p>
    <w:p w14:paraId="4948E907" w14:textId="2EFEEC90" w:rsidR="00826D13" w:rsidRPr="00C94BDD" w:rsidRDefault="00826D13" w:rsidP="00E524EB">
      <w:pPr>
        <w:pStyle w:val="Heading4"/>
      </w:pPr>
      <w:r>
        <w:t>Problem statement</w:t>
      </w:r>
      <w:bookmarkEnd w:id="51"/>
      <w:bookmarkEnd w:id="52"/>
      <w:r>
        <w:t xml:space="preserve"> </w:t>
      </w:r>
    </w:p>
    <w:p w14:paraId="409BAE18" w14:textId="48ED25A6" w:rsidR="00826D13" w:rsidRDefault="00826D13" w:rsidP="00826D13">
      <w:pPr>
        <w:pStyle w:val="Body"/>
      </w:pPr>
      <w:r w:rsidRPr="00881A1C">
        <w:t xml:space="preserve">LGBTIQA+ people </w:t>
      </w:r>
      <w:r w:rsidR="00095101">
        <w:t>do</w:t>
      </w:r>
      <w:r w:rsidR="007E3B66">
        <w:t xml:space="preserve"> not have</w:t>
      </w:r>
      <w:r w:rsidR="00157E9E" w:rsidRPr="00881A1C">
        <w:t xml:space="preserve"> </w:t>
      </w:r>
      <w:r w:rsidRPr="00881A1C">
        <w:t xml:space="preserve">the same protections and </w:t>
      </w:r>
      <w:r w:rsidR="009D50A5" w:rsidRPr="00881A1C">
        <w:t>freedoms</w:t>
      </w:r>
      <w:r w:rsidRPr="00881A1C">
        <w:t xml:space="preserve"> as other </w:t>
      </w:r>
      <w:r w:rsidR="00157E9E" w:rsidRPr="00881A1C">
        <w:t>Victorian</w:t>
      </w:r>
      <w:r w:rsidR="007E5426" w:rsidRPr="00881A1C">
        <w:t>s</w:t>
      </w:r>
      <w:r w:rsidRPr="00881A1C">
        <w:t xml:space="preserve">. </w:t>
      </w:r>
      <w:r w:rsidR="00157E9E" w:rsidRPr="00881A1C">
        <w:t>M</w:t>
      </w:r>
      <w:r w:rsidRPr="00881A1C">
        <w:t xml:space="preserve">any LGBTIQA+ </w:t>
      </w:r>
      <w:r w:rsidR="00157E9E" w:rsidRPr="00881A1C">
        <w:t xml:space="preserve">people </w:t>
      </w:r>
      <w:r w:rsidR="008C6B5C" w:rsidRPr="00881A1C">
        <w:t xml:space="preserve">have experienced </w:t>
      </w:r>
      <w:r w:rsidR="00157E9E" w:rsidRPr="00EC216D">
        <w:t xml:space="preserve">trauma </w:t>
      </w:r>
      <w:r w:rsidR="00DF39AF" w:rsidRPr="00881A1C">
        <w:t xml:space="preserve">from </w:t>
      </w:r>
      <w:r w:rsidRPr="00881A1C">
        <w:t xml:space="preserve">Victorian laws and legal </w:t>
      </w:r>
      <w:r w:rsidR="00157E9E" w:rsidRPr="00EC216D">
        <w:t>institutions</w:t>
      </w:r>
      <w:r w:rsidRPr="00881A1C">
        <w:t>.</w:t>
      </w:r>
      <w:r w:rsidR="009D50A5" w:rsidRPr="00AC7DAE">
        <w:t xml:space="preserve"> </w:t>
      </w:r>
      <w:r w:rsidR="009D50A5" w:rsidRPr="0005191C">
        <w:t>This may be due to historic wrong</w:t>
      </w:r>
      <w:r w:rsidR="00881A1C" w:rsidRPr="00881A1C">
        <w:t>s</w:t>
      </w:r>
      <w:r w:rsidR="00BD042D" w:rsidRPr="00EC216D">
        <w:t>, present inequalities or through a lack of recognition and inclusion</w:t>
      </w:r>
      <w:r w:rsidR="009D50A5" w:rsidRPr="00EC216D">
        <w:t>.</w:t>
      </w:r>
      <w:r w:rsidR="00BD042D" w:rsidRPr="00EC216D">
        <w:t xml:space="preserve"> </w:t>
      </w:r>
      <w:r w:rsidR="009D50A5" w:rsidRPr="00EC216D">
        <w:t xml:space="preserve">They may </w:t>
      </w:r>
      <w:r w:rsidR="006D1DAF" w:rsidRPr="00881A1C">
        <w:t xml:space="preserve">face discrimination and may </w:t>
      </w:r>
      <w:r w:rsidR="009D50A5" w:rsidRPr="00881A1C">
        <w:t>not feel safe talking to police</w:t>
      </w:r>
      <w:r w:rsidR="00F34685" w:rsidRPr="00881A1C">
        <w:t>.</w:t>
      </w:r>
      <w:r w:rsidRPr="00881A1C">
        <w:t xml:space="preserve"> </w:t>
      </w:r>
    </w:p>
    <w:p w14:paraId="3D78676F" w14:textId="4D2C7B50" w:rsidR="00826D13" w:rsidRPr="00876E56" w:rsidRDefault="00826D13" w:rsidP="00E524EB">
      <w:pPr>
        <w:pStyle w:val="Heading4"/>
      </w:pPr>
      <w:bookmarkStart w:id="53" w:name="_Toc161234562"/>
      <w:bookmarkStart w:id="54" w:name="_Toc161297288"/>
      <w:r w:rsidRPr="002505D1">
        <w:t>Objective</w:t>
      </w:r>
      <w:bookmarkEnd w:id="53"/>
      <w:bookmarkEnd w:id="54"/>
    </w:p>
    <w:p w14:paraId="4477A655" w14:textId="6851821A" w:rsidR="00CD04ED" w:rsidRDefault="00C36FC1" w:rsidP="00F344A2">
      <w:pPr>
        <w:pStyle w:val="Body"/>
      </w:pPr>
      <w:r>
        <w:t>S</w:t>
      </w:r>
      <w:r w:rsidR="00826D13">
        <w:t>trengthen</w:t>
      </w:r>
      <w:r w:rsidR="00716A95">
        <w:t xml:space="preserve"> existing</w:t>
      </w:r>
      <w:r w:rsidR="00826D13">
        <w:t xml:space="preserve"> legal protections</w:t>
      </w:r>
      <w:r w:rsidR="00157E9E">
        <w:t xml:space="preserve"> </w:t>
      </w:r>
      <w:r w:rsidR="00826D13">
        <w:t>for LGBTIQA+ Victorians</w:t>
      </w:r>
      <w:r w:rsidR="00164236">
        <w:t xml:space="preserve"> and ensure we create laws with an equity lens to benefit all </w:t>
      </w:r>
      <w:r w:rsidR="00BC6C26">
        <w:t>Victorians</w:t>
      </w:r>
      <w:r w:rsidR="005E5307">
        <w:t>.</w:t>
      </w:r>
    </w:p>
    <w:p w14:paraId="6E3F6C29" w14:textId="309B695D" w:rsidR="0055430A" w:rsidRDefault="0055430A" w:rsidP="004A5CD5">
      <w:pPr>
        <w:pStyle w:val="Heading4"/>
      </w:pPr>
      <w:r>
        <w:t>Actions and outputs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8C4BE0" w14:paraId="4886C70B" w14:textId="77777777" w:rsidTr="004A5CD5">
        <w:trPr>
          <w:tblHeader/>
        </w:trPr>
        <w:tc>
          <w:tcPr>
            <w:tcW w:w="4644" w:type="dxa"/>
          </w:tcPr>
          <w:p w14:paraId="7F8FCEDA" w14:textId="2999C21C" w:rsidR="008C4BE0" w:rsidRPr="008C4BE0" w:rsidRDefault="000934FA" w:rsidP="00F344A2">
            <w:pPr>
              <w:pStyle w:val="Tablecolhead"/>
            </w:pPr>
            <w:bookmarkStart w:id="55" w:name="_Toc161234564"/>
            <w:bookmarkStart w:id="56" w:name="_Toc161297290"/>
            <w:r>
              <w:t>A</w:t>
            </w:r>
            <w:r w:rsidR="008C4BE0" w:rsidRPr="008C4BE0">
              <w:t>ctions</w:t>
            </w:r>
            <w:bookmarkEnd w:id="55"/>
            <w:bookmarkEnd w:id="56"/>
          </w:p>
        </w:tc>
        <w:tc>
          <w:tcPr>
            <w:tcW w:w="4644" w:type="dxa"/>
          </w:tcPr>
          <w:p w14:paraId="4AFF8B10" w14:textId="486F2F08" w:rsidR="008C4BE0" w:rsidRPr="008C4BE0" w:rsidRDefault="008C4BE0" w:rsidP="00F344A2">
            <w:pPr>
              <w:pStyle w:val="Tablecolhead"/>
            </w:pPr>
            <w:bookmarkStart w:id="57" w:name="_Toc161234565"/>
            <w:bookmarkStart w:id="58" w:name="_Toc161297291"/>
            <w:r w:rsidRPr="008C4BE0">
              <w:t>Outputs</w:t>
            </w:r>
            <w:bookmarkEnd w:id="57"/>
            <w:bookmarkEnd w:id="58"/>
          </w:p>
        </w:tc>
      </w:tr>
      <w:tr w:rsidR="008C4BE0" w14:paraId="6EC983A5" w14:textId="77777777" w:rsidTr="008C4BE0">
        <w:tc>
          <w:tcPr>
            <w:tcW w:w="4644" w:type="dxa"/>
          </w:tcPr>
          <w:p w14:paraId="758ECFDA" w14:textId="3CC31061" w:rsidR="008C4BE0" w:rsidRPr="008C4BE0" w:rsidRDefault="00FD5F64" w:rsidP="008C4BE0">
            <w:pPr>
              <w:pStyle w:val="Tablebullet1"/>
            </w:pPr>
            <w:r>
              <w:t xml:space="preserve">Deliver on the </w:t>
            </w:r>
            <w:r w:rsidR="0049632E">
              <w:t>Government’s commitment to n</w:t>
            </w:r>
            <w:r w:rsidR="00BC6C26">
              <w:t>arrow</w:t>
            </w:r>
            <w:r w:rsidR="007E5426" w:rsidRPr="008C4BE0">
              <w:t xml:space="preserve"> </w:t>
            </w:r>
            <w:r w:rsidR="008C4BE0" w:rsidRPr="008C4BE0">
              <w:t xml:space="preserve">religious exceptions under the </w:t>
            </w:r>
            <w:r w:rsidR="008C4BE0" w:rsidRPr="00F344A2">
              <w:rPr>
                <w:i/>
                <w:iCs/>
              </w:rPr>
              <w:t>Equal Opportunity Act 2010</w:t>
            </w:r>
          </w:p>
        </w:tc>
        <w:tc>
          <w:tcPr>
            <w:tcW w:w="4644" w:type="dxa"/>
          </w:tcPr>
          <w:p w14:paraId="02C8DCC1" w14:textId="18B47506" w:rsidR="008C4BE0" w:rsidRDefault="008C4BE0" w:rsidP="00F848CC">
            <w:pPr>
              <w:pStyle w:val="Tablebullet1"/>
              <w:numPr>
                <w:ilvl w:val="0"/>
                <w:numId w:val="0"/>
              </w:numPr>
            </w:pPr>
            <w:r w:rsidRPr="00F344A2">
              <w:rPr>
                <w:i/>
                <w:iCs/>
              </w:rPr>
              <w:t>Equal Opportunity Act 2010</w:t>
            </w:r>
            <w:r w:rsidRPr="001E5FBA">
              <w:t xml:space="preserve"> amendments passed</w:t>
            </w:r>
          </w:p>
        </w:tc>
      </w:tr>
      <w:tr w:rsidR="008C4BE0" w14:paraId="3C76507C" w14:textId="77777777" w:rsidTr="008C4BE0">
        <w:tc>
          <w:tcPr>
            <w:tcW w:w="4644" w:type="dxa"/>
          </w:tcPr>
          <w:p w14:paraId="43CC3F3D" w14:textId="16B92B9D" w:rsidR="008C4BE0" w:rsidRPr="008C4BE0" w:rsidRDefault="008C4BE0" w:rsidP="0049632E">
            <w:pPr>
              <w:pStyle w:val="Tablebullet1"/>
            </w:pPr>
            <w:r w:rsidRPr="008C4BE0">
              <w:t>Reform anti-vilification laws</w:t>
            </w:r>
            <w:r w:rsidR="0049632E">
              <w:t xml:space="preserve"> to respond to the needs of LGBTIQA+ Victorians</w:t>
            </w:r>
          </w:p>
        </w:tc>
        <w:tc>
          <w:tcPr>
            <w:tcW w:w="4644" w:type="dxa"/>
          </w:tcPr>
          <w:p w14:paraId="0DA2DFF4" w14:textId="5DFA2D3C" w:rsidR="008C4BE0" w:rsidRDefault="008C4BE0" w:rsidP="00F848CC">
            <w:pPr>
              <w:pStyle w:val="Tablebullet1"/>
              <w:numPr>
                <w:ilvl w:val="0"/>
                <w:numId w:val="0"/>
              </w:numPr>
            </w:pPr>
            <w:r w:rsidRPr="001E5FBA">
              <w:t>Anti-vilification laws passed</w:t>
            </w:r>
          </w:p>
        </w:tc>
      </w:tr>
      <w:tr w:rsidR="008C4BE0" w14:paraId="0E093889" w14:textId="77777777" w:rsidTr="008C4BE0">
        <w:tc>
          <w:tcPr>
            <w:tcW w:w="4644" w:type="dxa"/>
          </w:tcPr>
          <w:p w14:paraId="21FA6B68" w14:textId="6117F2A5" w:rsidR="008C4BE0" w:rsidRPr="008C4BE0" w:rsidRDefault="008C4BE0" w:rsidP="008C4BE0">
            <w:pPr>
              <w:pStyle w:val="Tablebullet1"/>
            </w:pPr>
            <w:r w:rsidRPr="008C4BE0">
              <w:t xml:space="preserve">Implement </w:t>
            </w:r>
            <w:r w:rsidRPr="00F344A2">
              <w:rPr>
                <w:i/>
                <w:iCs/>
              </w:rPr>
              <w:t>Change or Suppression (Conversion) Practices Prohibition Act 2021</w:t>
            </w:r>
          </w:p>
        </w:tc>
        <w:tc>
          <w:tcPr>
            <w:tcW w:w="4644" w:type="dxa"/>
          </w:tcPr>
          <w:p w14:paraId="1EF73DC4" w14:textId="61A650A1" w:rsidR="008C4BE0" w:rsidRDefault="008C4BE0" w:rsidP="00F848CC">
            <w:pPr>
              <w:pStyle w:val="Tablebullet1"/>
              <w:numPr>
                <w:ilvl w:val="0"/>
                <w:numId w:val="0"/>
              </w:numPr>
            </w:pPr>
            <w:r w:rsidRPr="00F344A2">
              <w:rPr>
                <w:i/>
                <w:iCs/>
              </w:rPr>
              <w:t>Change or Suppression (Conversion) Practices Prohibition Act 2021</w:t>
            </w:r>
            <w:r w:rsidRPr="001E5FBA">
              <w:t xml:space="preserve"> enacted</w:t>
            </w:r>
          </w:p>
        </w:tc>
      </w:tr>
      <w:tr w:rsidR="008C4BE0" w14:paraId="20E02D7C" w14:textId="77777777" w:rsidTr="008C4BE0">
        <w:tc>
          <w:tcPr>
            <w:tcW w:w="4644" w:type="dxa"/>
          </w:tcPr>
          <w:p w14:paraId="12CA9951" w14:textId="41294B57" w:rsidR="008C4BE0" w:rsidRPr="008C4BE0" w:rsidRDefault="008C4BE0" w:rsidP="008C4BE0">
            <w:pPr>
              <w:pStyle w:val="Tablebullet1"/>
            </w:pPr>
            <w:r w:rsidRPr="008C4BE0">
              <w:t>Support specialist legal services for LGBTIQA+ Victorians</w:t>
            </w:r>
            <w:r w:rsidR="00171F55">
              <w:t xml:space="preserve"> </w:t>
            </w:r>
            <w:r w:rsidR="00171F55" w:rsidRPr="00171F55">
              <w:t>who experience discrimination and disadvantage associated with their sexuality or gender identity</w:t>
            </w:r>
          </w:p>
        </w:tc>
        <w:tc>
          <w:tcPr>
            <w:tcW w:w="4644" w:type="dxa"/>
          </w:tcPr>
          <w:p w14:paraId="01687F16" w14:textId="447017AA" w:rsidR="008C4BE0" w:rsidRDefault="008C4BE0" w:rsidP="00F848CC">
            <w:pPr>
              <w:pStyle w:val="Tablebullet1"/>
              <w:numPr>
                <w:ilvl w:val="0"/>
                <w:numId w:val="0"/>
              </w:numPr>
            </w:pPr>
            <w:r w:rsidRPr="001E5FBA">
              <w:t>Strengthened specialist legal services</w:t>
            </w:r>
          </w:p>
        </w:tc>
      </w:tr>
      <w:tr w:rsidR="008C4BE0" w14:paraId="04EEF1F1" w14:textId="77777777" w:rsidTr="008C4BE0">
        <w:tc>
          <w:tcPr>
            <w:tcW w:w="4644" w:type="dxa"/>
          </w:tcPr>
          <w:p w14:paraId="533DB441" w14:textId="520A856C" w:rsidR="008C4BE0" w:rsidRPr="008C4BE0" w:rsidRDefault="008C4BE0" w:rsidP="008C4BE0">
            <w:pPr>
              <w:pStyle w:val="Tablebullet1"/>
            </w:pPr>
            <w:r w:rsidRPr="008C4BE0">
              <w:t xml:space="preserve">Develop and deliver the LGBTIQA+ </w:t>
            </w:r>
            <w:r w:rsidR="0089151D">
              <w:t>J</w:t>
            </w:r>
            <w:r w:rsidR="00157E9E" w:rsidRPr="008C4BE0">
              <w:t xml:space="preserve">ustice </w:t>
            </w:r>
            <w:r w:rsidR="0089151D">
              <w:t>A</w:t>
            </w:r>
            <w:r w:rsidR="00157E9E" w:rsidRPr="008C4BE0">
              <w:t xml:space="preserve">ction </w:t>
            </w:r>
            <w:r w:rsidR="0089151D">
              <w:t>P</w:t>
            </w:r>
            <w:r w:rsidR="00157E9E" w:rsidRPr="008C4BE0">
              <w:t>lan</w:t>
            </w:r>
            <w:r w:rsidR="00171F55">
              <w:t xml:space="preserve"> to</w:t>
            </w:r>
            <w:r w:rsidR="00171F55" w:rsidRPr="00171F55">
              <w:t xml:space="preserve"> improve outcomes for LGBTIQA+ Victorians</w:t>
            </w:r>
          </w:p>
        </w:tc>
        <w:tc>
          <w:tcPr>
            <w:tcW w:w="4644" w:type="dxa"/>
          </w:tcPr>
          <w:p w14:paraId="01390E87" w14:textId="27B21A86" w:rsidR="008C4BE0" w:rsidRDefault="008C4BE0" w:rsidP="00F848CC">
            <w:pPr>
              <w:pStyle w:val="Tablebullet1"/>
              <w:numPr>
                <w:ilvl w:val="0"/>
                <w:numId w:val="0"/>
              </w:numPr>
            </w:pPr>
            <w:r w:rsidRPr="001E5FBA">
              <w:t xml:space="preserve">LGBTIQA+ </w:t>
            </w:r>
            <w:r w:rsidR="0089151D">
              <w:t>J</w:t>
            </w:r>
            <w:r w:rsidR="00157E9E" w:rsidRPr="001E5FBA">
              <w:t xml:space="preserve">ustice </w:t>
            </w:r>
            <w:r w:rsidR="0089151D">
              <w:t>A</w:t>
            </w:r>
            <w:r w:rsidR="00157E9E" w:rsidRPr="001E5FBA">
              <w:t xml:space="preserve">ction </w:t>
            </w:r>
            <w:r w:rsidR="0089151D">
              <w:t>P</w:t>
            </w:r>
            <w:r w:rsidR="00157E9E" w:rsidRPr="001E5FBA">
              <w:t xml:space="preserve">lan </w:t>
            </w:r>
            <w:r w:rsidRPr="001E5FBA">
              <w:t>implemented</w:t>
            </w:r>
          </w:p>
        </w:tc>
      </w:tr>
      <w:tr w:rsidR="00382DE5" w14:paraId="7A01C2C3" w14:textId="77777777" w:rsidTr="008C4BE0">
        <w:tc>
          <w:tcPr>
            <w:tcW w:w="4644" w:type="dxa"/>
          </w:tcPr>
          <w:p w14:paraId="51FB9AA1" w14:textId="7088390F" w:rsidR="00382DE5" w:rsidRPr="008C4BE0" w:rsidRDefault="00382DE5" w:rsidP="008C4BE0">
            <w:pPr>
              <w:pStyle w:val="Tablebullet1"/>
            </w:pPr>
            <w:r w:rsidRPr="00382DE5">
              <w:t>Deliver improved police responses to LGBTIQA+ communities, including implementing the Victoria Police LGBTIQA+ Inclusion Strategy and Action Plan and providing access to LGBTIQA+ awareness and sensitivity training for Victoria Police staff</w:t>
            </w:r>
          </w:p>
        </w:tc>
        <w:tc>
          <w:tcPr>
            <w:tcW w:w="4644" w:type="dxa"/>
          </w:tcPr>
          <w:p w14:paraId="3C67ED27" w14:textId="17F63045" w:rsidR="00382DE5" w:rsidRPr="001E5FBA" w:rsidRDefault="00382DE5" w:rsidP="00F848CC">
            <w:pPr>
              <w:pStyle w:val="Tablebullet1"/>
              <w:numPr>
                <w:ilvl w:val="0"/>
                <w:numId w:val="0"/>
              </w:numPr>
            </w:pPr>
            <w:r w:rsidRPr="001E5FBA">
              <w:t>Victoria Polic</w:t>
            </w:r>
            <w:r>
              <w:t>e</w:t>
            </w:r>
            <w:r w:rsidRPr="001E5FBA">
              <w:t xml:space="preserve"> LGBTIQA+ inclusion strategy and action plan</w:t>
            </w:r>
            <w:r>
              <w:t xml:space="preserve"> put in place and all </w:t>
            </w:r>
            <w:r w:rsidRPr="001E5FBA">
              <w:t xml:space="preserve">Victoria Police </w:t>
            </w:r>
            <w:r>
              <w:t>staff</w:t>
            </w:r>
            <w:r w:rsidRPr="001E5FBA">
              <w:t xml:space="preserve"> </w:t>
            </w:r>
            <w:r>
              <w:t>can</w:t>
            </w:r>
            <w:r w:rsidRPr="001E5FBA">
              <w:t xml:space="preserve"> access LGBTIQA+ awareness </w:t>
            </w:r>
            <w:r>
              <w:t xml:space="preserve">and sensitivity </w:t>
            </w:r>
            <w:r w:rsidRPr="001E5FBA">
              <w:t>training</w:t>
            </w:r>
          </w:p>
        </w:tc>
      </w:tr>
    </w:tbl>
    <w:p w14:paraId="35A1F97D" w14:textId="10ACA7F2" w:rsidR="00C94BDD" w:rsidRDefault="00FB1572" w:rsidP="004A5CD5">
      <w:pPr>
        <w:pStyle w:val="Heading4"/>
      </w:pPr>
      <w:bookmarkStart w:id="59" w:name="_Toc161234567"/>
      <w:bookmarkStart w:id="60" w:name="_Toc161297293"/>
      <w:r>
        <w:t>I</w:t>
      </w:r>
      <w:r w:rsidR="00C94BDD" w:rsidRPr="00AF38A4">
        <w:t>ndicators</w:t>
      </w:r>
      <w:bookmarkEnd w:id="59"/>
      <w:bookmarkEnd w:id="60"/>
    </w:p>
    <w:p w14:paraId="54C94030" w14:textId="61185FE3" w:rsidR="00C94BDD" w:rsidRDefault="006726BB" w:rsidP="00C94BDD">
      <w:pPr>
        <w:pStyle w:val="Bullet1"/>
      </w:pPr>
      <w:r>
        <w:t>Reduce</w:t>
      </w:r>
      <w:r w:rsidR="002B15A7">
        <w:t>d</w:t>
      </w:r>
      <w:r w:rsidR="009D50A5">
        <w:t xml:space="preserve"> laws and practices that are</w:t>
      </w:r>
      <w:r w:rsidR="00C94BDD">
        <w:t xml:space="preserve"> unfair, discriminatory, detrimental or harmful </w:t>
      </w:r>
      <w:r w:rsidR="008D7C98">
        <w:t>(1.1.1)</w:t>
      </w:r>
    </w:p>
    <w:p w14:paraId="682DF802" w14:textId="22F67AB6" w:rsidR="00154473" w:rsidRDefault="00154473" w:rsidP="00C94BDD">
      <w:pPr>
        <w:pStyle w:val="Bullet1"/>
      </w:pPr>
      <w:r>
        <w:t>L</w:t>
      </w:r>
      <w:r w:rsidRPr="00651E43">
        <w:t>aw</w:t>
      </w:r>
      <w:r>
        <w:t xml:space="preserve">s and policies </w:t>
      </w:r>
      <w:r w:rsidRPr="00651E43">
        <w:t xml:space="preserve">identify and respond to </w:t>
      </w:r>
      <w:r>
        <w:t>LGBTIQA+</w:t>
      </w:r>
      <w:r w:rsidRPr="00651E43">
        <w:t xml:space="preserve"> </w:t>
      </w:r>
      <w:r>
        <w:t xml:space="preserve">people’s </w:t>
      </w:r>
      <w:r w:rsidRPr="00651E43">
        <w:t>needs</w:t>
      </w:r>
      <w:r>
        <w:t xml:space="preserve"> (1.1.2)</w:t>
      </w:r>
    </w:p>
    <w:p w14:paraId="1632C67F" w14:textId="7F237CF3" w:rsidR="00C94BDD" w:rsidRDefault="00C94BDD" w:rsidP="00C94BDD">
      <w:pPr>
        <w:pStyle w:val="Bullet1"/>
      </w:pPr>
      <w:r>
        <w:t>Improve</w:t>
      </w:r>
      <w:r w:rsidR="00744D4F">
        <w:t>d</w:t>
      </w:r>
      <w:r>
        <w:t xml:space="preserve"> protections from religious discrimination</w:t>
      </w:r>
      <w:r w:rsidR="008D7C98">
        <w:t xml:space="preserve"> (1.1.</w:t>
      </w:r>
      <w:r w:rsidR="00101206">
        <w:t>3</w:t>
      </w:r>
      <w:r w:rsidR="008D7C98">
        <w:t>)</w:t>
      </w:r>
    </w:p>
    <w:p w14:paraId="3B8D78C3" w14:textId="4539FA6D" w:rsidR="00C94BDD" w:rsidRDefault="00C94BDD" w:rsidP="00C94BDD">
      <w:pPr>
        <w:pStyle w:val="Bullet1"/>
      </w:pPr>
      <w:r>
        <w:t>Increase</w:t>
      </w:r>
      <w:r w:rsidR="00744D4F">
        <w:t>d</w:t>
      </w:r>
      <w:r w:rsidR="005E5FE8">
        <w:t xml:space="preserve"> awareness of</w:t>
      </w:r>
      <w:r>
        <w:t xml:space="preserve"> justice services </w:t>
      </w:r>
      <w:r w:rsidR="0028154F">
        <w:t xml:space="preserve">and </w:t>
      </w:r>
      <w:r>
        <w:t xml:space="preserve">responsiveness to </w:t>
      </w:r>
      <w:r w:rsidR="00BB29A3">
        <w:t xml:space="preserve">LGBTIQA+ people’s </w:t>
      </w:r>
      <w:r>
        <w:t>legal needs</w:t>
      </w:r>
      <w:r w:rsidR="00226496">
        <w:t xml:space="preserve"> (1.2.1)</w:t>
      </w:r>
    </w:p>
    <w:p w14:paraId="69C4F292" w14:textId="4CA289F6" w:rsidR="00C94BDD" w:rsidRDefault="004B0089" w:rsidP="00C94BDD">
      <w:pPr>
        <w:pStyle w:val="Bullet1"/>
      </w:pPr>
      <w:r>
        <w:t>Reduc</w:t>
      </w:r>
      <w:r w:rsidR="00342A37">
        <w:t xml:space="preserve">ed </w:t>
      </w:r>
      <w:r w:rsidR="004C6D3F">
        <w:t xml:space="preserve">experiences of </w:t>
      </w:r>
      <w:r w:rsidR="00C94BDD">
        <w:t xml:space="preserve">harm </w:t>
      </w:r>
      <w:r w:rsidR="004C6D3F">
        <w:t xml:space="preserve">in </w:t>
      </w:r>
      <w:r w:rsidR="00C94BDD">
        <w:t>the prison system</w:t>
      </w:r>
      <w:r w:rsidR="004C6D3F">
        <w:t xml:space="preserve"> (1.2.2)</w:t>
      </w:r>
    </w:p>
    <w:p w14:paraId="79A365E1" w14:textId="1293765D" w:rsidR="00C94BDD" w:rsidRPr="00714DCD" w:rsidRDefault="00C94BDD" w:rsidP="00C94BDD">
      <w:pPr>
        <w:pStyle w:val="Bullet1"/>
      </w:pPr>
      <w:r>
        <w:t>Improve</w:t>
      </w:r>
      <w:r w:rsidR="004B0089">
        <w:t>d</w:t>
      </w:r>
      <w:r>
        <w:t xml:space="preserve"> police responses to LGBTIQA+ Victorians</w:t>
      </w:r>
      <w:r w:rsidR="00D94E72">
        <w:t xml:space="preserve"> (1.2.3)</w:t>
      </w:r>
    </w:p>
    <w:p w14:paraId="00754FC5" w14:textId="4C319D01" w:rsidR="00C94BDD" w:rsidRDefault="00022A20" w:rsidP="004A5CD5">
      <w:pPr>
        <w:pStyle w:val="Heading4"/>
      </w:pPr>
      <w:bookmarkStart w:id="61" w:name="_Toc161234568"/>
      <w:bookmarkStart w:id="62" w:name="_Toc161297294"/>
      <w:r w:rsidRPr="00AF38A4">
        <w:t>O</w:t>
      </w:r>
      <w:r w:rsidR="00C94BDD" w:rsidRPr="00AF38A4">
        <w:t>utcomes</w:t>
      </w:r>
      <w:bookmarkEnd w:id="61"/>
      <w:bookmarkEnd w:id="62"/>
    </w:p>
    <w:p w14:paraId="7C83058F" w14:textId="3E309903" w:rsidR="00C94BDD" w:rsidRPr="00F344A2" w:rsidRDefault="00C94BDD" w:rsidP="00C94BDD">
      <w:pPr>
        <w:pStyle w:val="Body"/>
        <w:rPr>
          <w:b/>
          <w:bCs/>
        </w:rPr>
      </w:pPr>
      <w:r w:rsidRPr="00F344A2">
        <w:rPr>
          <w:b/>
          <w:bCs/>
        </w:rPr>
        <w:t>Medium</w:t>
      </w:r>
      <w:r w:rsidR="00207CAB">
        <w:rPr>
          <w:b/>
          <w:bCs/>
        </w:rPr>
        <w:t>-</w:t>
      </w:r>
      <w:r w:rsidRPr="00F344A2">
        <w:rPr>
          <w:b/>
          <w:bCs/>
        </w:rPr>
        <w:t>term</w:t>
      </w:r>
    </w:p>
    <w:p w14:paraId="716BE7AE" w14:textId="2FF02579" w:rsidR="00C94BDD" w:rsidRPr="0005191C" w:rsidRDefault="00AC7DAE" w:rsidP="00C94BDD">
      <w:pPr>
        <w:pStyle w:val="Bullet1"/>
      </w:pPr>
      <w:r w:rsidRPr="0005191C">
        <w:t xml:space="preserve">A more </w:t>
      </w:r>
      <w:r w:rsidR="006E5B0E" w:rsidRPr="0005191C">
        <w:t xml:space="preserve">empowering legislative environment </w:t>
      </w:r>
      <w:r w:rsidR="00C94BDD" w:rsidRPr="0005191C">
        <w:t>uphold</w:t>
      </w:r>
      <w:r w:rsidR="00187F6E" w:rsidRPr="0005191C">
        <w:t xml:space="preserve">ing </w:t>
      </w:r>
      <w:r w:rsidR="00CD550B" w:rsidRPr="0005191C">
        <w:t xml:space="preserve">the </w:t>
      </w:r>
      <w:r w:rsidR="00C94BDD" w:rsidRPr="0005191C">
        <w:t xml:space="preserve">human rights and freedoms </w:t>
      </w:r>
      <w:r w:rsidR="00CD550B" w:rsidRPr="0005191C">
        <w:t>of LGBTIQA+ people</w:t>
      </w:r>
      <w:r w:rsidR="00B47552" w:rsidRPr="0005191C">
        <w:t xml:space="preserve"> </w:t>
      </w:r>
      <w:r w:rsidR="00C94BDD" w:rsidRPr="0005191C">
        <w:t>(1.1)</w:t>
      </w:r>
    </w:p>
    <w:p w14:paraId="50B3AFB2" w14:textId="706BAB73" w:rsidR="00C94BDD" w:rsidRPr="007428F1" w:rsidRDefault="007D57FF" w:rsidP="00C94BDD">
      <w:pPr>
        <w:pStyle w:val="Bullet1"/>
      </w:pPr>
      <w:r w:rsidRPr="007428F1">
        <w:t xml:space="preserve">LGBTIQA+ people </w:t>
      </w:r>
      <w:r w:rsidR="00E566C0" w:rsidRPr="00F344A2">
        <w:t>have</w:t>
      </w:r>
      <w:r w:rsidR="009D50A5" w:rsidRPr="007428F1">
        <w:t xml:space="preserve"> </w:t>
      </w:r>
      <w:r w:rsidR="00BB29A3" w:rsidRPr="007428F1">
        <w:t>safe and</w:t>
      </w:r>
      <w:r w:rsidR="00C94BDD" w:rsidRPr="007428F1">
        <w:t xml:space="preserve"> effective </w:t>
      </w:r>
      <w:r w:rsidR="007F3C2C" w:rsidRPr="00F344A2">
        <w:t xml:space="preserve">ways to access </w:t>
      </w:r>
      <w:r w:rsidR="00C94BDD" w:rsidRPr="007428F1">
        <w:t>justice (1.2)</w:t>
      </w:r>
    </w:p>
    <w:p w14:paraId="5D244A96" w14:textId="77777777" w:rsidR="004F400F" w:rsidRDefault="004F400F" w:rsidP="004F400F">
      <w:pPr>
        <w:pStyle w:val="Heading4"/>
      </w:pPr>
      <w:bookmarkStart w:id="63" w:name="_Toc161234569"/>
      <w:bookmarkStart w:id="64" w:name="_Toc161297295"/>
      <w:r>
        <w:t>Domain 1 outcome</w:t>
      </w:r>
    </w:p>
    <w:p w14:paraId="544E34D5" w14:textId="77777777" w:rsidR="004F400F" w:rsidRPr="00C94BDD" w:rsidRDefault="004F400F" w:rsidP="004F400F">
      <w:pPr>
        <w:pStyle w:val="Body"/>
      </w:pPr>
      <w:r>
        <w:t xml:space="preserve">Victoria’s legal and justice systems uphold the equal rights of LGBTIQA+ Victorians. </w:t>
      </w:r>
    </w:p>
    <w:p w14:paraId="289FBDBB" w14:textId="6BED5D8F" w:rsidR="00C94BDD" w:rsidRDefault="00C94BDD" w:rsidP="004A5CD5">
      <w:pPr>
        <w:pStyle w:val="Heading4"/>
      </w:pPr>
      <w:r>
        <w:t xml:space="preserve">Sign of </w:t>
      </w:r>
      <w:r w:rsidRPr="002505D1">
        <w:t>impact</w:t>
      </w:r>
      <w:bookmarkEnd w:id="63"/>
      <w:bookmarkEnd w:id="64"/>
    </w:p>
    <w:p w14:paraId="3AC84A4E" w14:textId="0F2F32DC" w:rsidR="001A6591" w:rsidRDefault="00AE0C9C" w:rsidP="00F344A2">
      <w:pPr>
        <w:pStyle w:val="Bullet1"/>
      </w:pPr>
      <w:r>
        <w:t>LGBTIQA+</w:t>
      </w:r>
      <w:r w:rsidR="00C94BDD" w:rsidRPr="00D47BAA">
        <w:t xml:space="preserve"> </w:t>
      </w:r>
      <w:r w:rsidR="007D57FF">
        <w:t xml:space="preserve">people’s experience of </w:t>
      </w:r>
      <w:r w:rsidR="00C94BDD" w:rsidRPr="00D47BAA">
        <w:t>discrimination</w:t>
      </w:r>
      <w:r w:rsidR="007D57FF">
        <w:t xml:space="preserve"> reduces from its current rate of </w:t>
      </w:r>
      <w:r w:rsidR="00C94BDD" w:rsidRPr="00D47BAA">
        <w:t>34.2</w:t>
      </w:r>
      <w:r w:rsidR="006A15E5">
        <w:t>%</w:t>
      </w:r>
      <w:r w:rsidR="00870556">
        <w:rPr>
          <w:rStyle w:val="FootnoteReference"/>
        </w:rPr>
        <w:footnoteReference w:id="10"/>
      </w:r>
      <w:r w:rsidR="00686D92">
        <w:t>.</w:t>
      </w:r>
    </w:p>
    <w:p w14:paraId="2747B50D" w14:textId="75D8DC7C" w:rsidR="00E62D60" w:rsidRDefault="00566BD0" w:rsidP="003C52D1">
      <w:pPr>
        <w:pStyle w:val="Heading3"/>
      </w:pPr>
      <w:r w:rsidRPr="002505D1">
        <w:t>O</w:t>
      </w:r>
      <w:r w:rsidR="00E62D60" w:rsidRPr="002505D1">
        <w:t>utcomes</w:t>
      </w:r>
      <w:r w:rsidR="00876E56">
        <w:t xml:space="preserve">, </w:t>
      </w:r>
      <w:r w:rsidR="00876E56" w:rsidRPr="002505D1">
        <w:t>indicators</w:t>
      </w:r>
      <w:r w:rsidR="00876E56">
        <w:t xml:space="preserve"> and measures</w:t>
      </w:r>
      <w:r w:rsidR="00E62D60" w:rsidRPr="00B354B2">
        <w:t xml:space="preserve"> </w:t>
      </w:r>
    </w:p>
    <w:p w14:paraId="526221FF" w14:textId="7297313E" w:rsidR="00116C71" w:rsidRDefault="00E62D60" w:rsidP="00F344A2">
      <w:pPr>
        <w:pStyle w:val="Heading4"/>
      </w:pPr>
      <w:bookmarkStart w:id="65" w:name="_Toc161234571"/>
      <w:bookmarkStart w:id="66" w:name="_Toc161297297"/>
      <w:r w:rsidRPr="00193A6D">
        <w:t>Outcome 1.1</w:t>
      </w:r>
      <w:r w:rsidR="002855A5">
        <w:t xml:space="preserve">: </w:t>
      </w:r>
      <w:r w:rsidR="00EB476E">
        <w:t xml:space="preserve">A more empowering legislative environment </w:t>
      </w:r>
      <w:r w:rsidR="007D57FF" w:rsidRPr="00193A6D">
        <w:t>uphold</w:t>
      </w:r>
      <w:r w:rsidR="00EB476E">
        <w:t>ing the</w:t>
      </w:r>
      <w:r w:rsidR="007D57FF" w:rsidRPr="00193A6D">
        <w:t xml:space="preserve"> </w:t>
      </w:r>
      <w:r w:rsidRPr="00193A6D">
        <w:t xml:space="preserve">human rights </w:t>
      </w:r>
      <w:r>
        <w:t>and</w:t>
      </w:r>
      <w:r w:rsidRPr="00193A6D">
        <w:t xml:space="preserve"> freedoms</w:t>
      </w:r>
      <w:bookmarkEnd w:id="65"/>
      <w:bookmarkEnd w:id="66"/>
      <w:r w:rsidR="00EB476E">
        <w:t xml:space="preserve"> of LGBTIQA+ people</w:t>
      </w:r>
    </w:p>
    <w:p w14:paraId="32A184F0" w14:textId="59A0F7AE" w:rsidR="00E62D60" w:rsidRDefault="00E62D60" w:rsidP="00F344A2">
      <w:pPr>
        <w:pStyle w:val="Heading5"/>
      </w:pPr>
      <w:bookmarkStart w:id="67" w:name="_Toc161297298"/>
      <w:bookmarkStart w:id="68" w:name="_Toc161234572"/>
      <w:r w:rsidRPr="00E62D60">
        <w:t>Outcome</w:t>
      </w:r>
      <w:r w:rsidRPr="00193A6D">
        <w:t xml:space="preserve"> </w:t>
      </w:r>
      <w:r w:rsidRPr="00E62D60">
        <w:t>indicator</w:t>
      </w:r>
      <w:r>
        <w:t xml:space="preserve"> 1.1.1</w:t>
      </w:r>
      <w:r w:rsidR="002855A5">
        <w:t>:</w:t>
      </w:r>
      <w:r>
        <w:t xml:space="preserve"> </w:t>
      </w:r>
      <w:r w:rsidR="00D52482">
        <w:t>Reduce</w:t>
      </w:r>
      <w:r w:rsidR="00782496">
        <w:t>d</w:t>
      </w:r>
      <w:r w:rsidR="00032C99">
        <w:t xml:space="preserve"> laws or practices that are</w:t>
      </w:r>
      <w:r w:rsidR="00D52482">
        <w:t xml:space="preserve"> </w:t>
      </w:r>
      <w:r w:rsidRPr="00876E56">
        <w:t>unfair</w:t>
      </w:r>
      <w:r w:rsidRPr="00193A6D">
        <w:t xml:space="preserve">, </w:t>
      </w:r>
      <w:r w:rsidRPr="004D59BC">
        <w:t>discriminatory</w:t>
      </w:r>
      <w:r>
        <w:t>,</w:t>
      </w:r>
      <w:r w:rsidRPr="00193A6D">
        <w:t xml:space="preserve"> detrimental or harmful </w:t>
      </w:r>
      <w:bookmarkEnd w:id="67"/>
      <w:bookmarkEnd w:id="68"/>
    </w:p>
    <w:tbl>
      <w:tblPr>
        <w:tblStyle w:val="Pridetable"/>
        <w:tblW w:w="9214" w:type="dxa"/>
        <w:tblLook w:val="04A0" w:firstRow="1" w:lastRow="0" w:firstColumn="1" w:lastColumn="0" w:noHBand="0" w:noVBand="1"/>
      </w:tblPr>
      <w:tblGrid>
        <w:gridCol w:w="5562"/>
        <w:gridCol w:w="3652"/>
      </w:tblGrid>
      <w:tr w:rsidR="00425A7E" w:rsidRPr="00193A6D" w14:paraId="2C03FB78" w14:textId="77777777" w:rsidTr="00876E56">
        <w:trPr>
          <w:tblHeader/>
        </w:trPr>
        <w:tc>
          <w:tcPr>
            <w:tcW w:w="5562" w:type="dxa"/>
          </w:tcPr>
          <w:p w14:paraId="51EC8376" w14:textId="7287B186" w:rsidR="00425A7E" w:rsidRPr="00193A6D" w:rsidRDefault="00425A7E" w:rsidP="00223396">
            <w:pPr>
              <w:pStyle w:val="Tablecolhead"/>
            </w:pPr>
            <w:r>
              <w:t>Measure</w:t>
            </w:r>
          </w:p>
        </w:tc>
        <w:tc>
          <w:tcPr>
            <w:tcW w:w="3652" w:type="dxa"/>
          </w:tcPr>
          <w:p w14:paraId="797C2E2A" w14:textId="7FA8878D" w:rsidR="00425A7E" w:rsidRPr="000C0158" w:rsidRDefault="00425A7E" w:rsidP="00223396">
            <w:pPr>
              <w:pStyle w:val="Tablecolhead"/>
            </w:pPr>
            <w:r>
              <w:t>Data source</w:t>
            </w:r>
          </w:p>
        </w:tc>
      </w:tr>
      <w:tr w:rsidR="00425A7E" w:rsidRPr="00193A6D" w14:paraId="20CD61C1" w14:textId="77777777" w:rsidTr="00F344A2">
        <w:trPr>
          <w:trHeight w:val="750"/>
        </w:trPr>
        <w:tc>
          <w:tcPr>
            <w:tcW w:w="5562" w:type="dxa"/>
            <w:hideMark/>
          </w:tcPr>
          <w:p w14:paraId="515357DE" w14:textId="3214A951" w:rsidR="00425A7E" w:rsidRPr="00B354B2" w:rsidRDefault="00425A7E" w:rsidP="00B354B2">
            <w:pPr>
              <w:pStyle w:val="Tabletext6pt"/>
            </w:pPr>
            <w:r w:rsidRPr="00B354B2">
              <w:t xml:space="preserve">Proportion of </w:t>
            </w:r>
            <w:r w:rsidR="00AE0C9C">
              <w:t>LGBTIQA+</w:t>
            </w:r>
            <w:r w:rsidRPr="00B354B2">
              <w:t xml:space="preserve"> Victorians </w:t>
            </w:r>
            <w:r w:rsidR="007D57FF">
              <w:t>who</w:t>
            </w:r>
            <w:r w:rsidR="007D57FF" w:rsidRPr="00B354B2">
              <w:t xml:space="preserve"> </w:t>
            </w:r>
            <w:r w:rsidRPr="00B354B2">
              <w:t xml:space="preserve">have experienced discrimination or unfair </w:t>
            </w:r>
            <w:r w:rsidR="00E25A4D">
              <w:t xml:space="preserve">legislative </w:t>
            </w:r>
            <w:r w:rsidR="009169A4">
              <w:t>policies</w:t>
            </w:r>
            <w:r w:rsidR="00E25A4D">
              <w:t xml:space="preserve"> </w:t>
            </w:r>
            <w:r w:rsidR="00FD1D0C">
              <w:t>and</w:t>
            </w:r>
            <w:r w:rsidR="00E25A4D">
              <w:t xml:space="preserve"> practices due to their </w:t>
            </w:r>
            <w:r w:rsidR="002E2199">
              <w:t>sexual orientation</w:t>
            </w:r>
            <w:r w:rsidR="00AF69A3">
              <w:t>, gender or sex characteristics</w:t>
            </w:r>
            <w:r w:rsidR="00FD1D0C">
              <w:t xml:space="preserve"> (including how many times, nature of concern</w:t>
            </w:r>
            <w:r w:rsidR="00A92312">
              <w:t>)</w:t>
            </w:r>
          </w:p>
        </w:tc>
        <w:tc>
          <w:tcPr>
            <w:tcW w:w="3652" w:type="dxa"/>
          </w:tcPr>
          <w:p w14:paraId="055ECC39" w14:textId="69F91C52" w:rsidR="00425A7E" w:rsidRPr="00B354B2" w:rsidRDefault="008A3EEC" w:rsidP="00B354B2">
            <w:pPr>
              <w:pStyle w:val="Tabletext6pt"/>
            </w:pPr>
            <w:r>
              <w:t>To be determined</w:t>
            </w:r>
          </w:p>
        </w:tc>
      </w:tr>
      <w:tr w:rsidR="00425A7E" w:rsidRPr="00193A6D" w14:paraId="6A18E757" w14:textId="77777777" w:rsidTr="00425A7E">
        <w:tc>
          <w:tcPr>
            <w:tcW w:w="5562" w:type="dxa"/>
            <w:hideMark/>
          </w:tcPr>
          <w:p w14:paraId="687DD5BB" w14:textId="58F6C954" w:rsidR="00425A7E" w:rsidRPr="00B354B2" w:rsidRDefault="009169A4" w:rsidP="00B354B2">
            <w:pPr>
              <w:pStyle w:val="Tabletext6pt"/>
            </w:pPr>
            <w:r>
              <w:t>C</w:t>
            </w:r>
            <w:r w:rsidR="00425A7E" w:rsidRPr="00B354B2">
              <w:t xml:space="preserve">omplaints made to the Victorian Equal Opportunity and Human Rights Commission (VEOHRC) </w:t>
            </w:r>
            <w:r w:rsidR="001C5BE3">
              <w:t xml:space="preserve">on the grounds of sexual orientation, gender identity or sex characteristics (including </w:t>
            </w:r>
            <w:r w:rsidR="00BB6FDE">
              <w:t xml:space="preserve">number of complaints </w:t>
            </w:r>
            <w:r w:rsidR="001F28F6">
              <w:t xml:space="preserve">and nature of discrimination) </w:t>
            </w:r>
            <w:r>
              <w:t>LGBTIQA+ matters</w:t>
            </w:r>
          </w:p>
        </w:tc>
        <w:tc>
          <w:tcPr>
            <w:tcW w:w="3652" w:type="dxa"/>
          </w:tcPr>
          <w:p w14:paraId="3E7D5B00" w14:textId="6410991E" w:rsidR="00425A7E" w:rsidRPr="00B354B2" w:rsidRDefault="001C119E" w:rsidP="00B354B2">
            <w:pPr>
              <w:pStyle w:val="Tabletext6pt"/>
            </w:pPr>
            <w:r w:rsidRPr="001C119E">
              <w:t xml:space="preserve">Victorian Equal Opportunity </w:t>
            </w:r>
            <w:r w:rsidR="002505D1">
              <w:t>and</w:t>
            </w:r>
            <w:r w:rsidR="002505D1" w:rsidRPr="001C119E">
              <w:t xml:space="preserve"> </w:t>
            </w:r>
            <w:r w:rsidRPr="001C119E">
              <w:t xml:space="preserve">Human Rights Commission </w:t>
            </w:r>
            <w:r>
              <w:t>(</w:t>
            </w:r>
            <w:r w:rsidR="00425A7E" w:rsidRPr="00B354B2">
              <w:t>VEOHRC</w:t>
            </w:r>
            <w:r>
              <w:t>)</w:t>
            </w:r>
            <w:r w:rsidR="00425A7E" w:rsidRPr="00B354B2">
              <w:t xml:space="preserve"> </w:t>
            </w:r>
          </w:p>
        </w:tc>
      </w:tr>
      <w:tr w:rsidR="00425A7E" w:rsidRPr="00193A6D" w14:paraId="6E2813D8" w14:textId="77777777" w:rsidTr="00425A7E">
        <w:tc>
          <w:tcPr>
            <w:tcW w:w="5562" w:type="dxa"/>
            <w:hideMark/>
          </w:tcPr>
          <w:p w14:paraId="5532D2DE" w14:textId="3EEA012B" w:rsidR="00425A7E" w:rsidRPr="00B354B2" w:rsidRDefault="00425A7E" w:rsidP="00B354B2">
            <w:pPr>
              <w:pStyle w:val="Tabletext6pt"/>
            </w:pPr>
            <w:r w:rsidRPr="00B354B2">
              <w:t xml:space="preserve">Proportion of recommendations from review into decriminalising sex work </w:t>
            </w:r>
            <w:r w:rsidR="00081C4E">
              <w:t>put in place</w:t>
            </w:r>
          </w:p>
        </w:tc>
        <w:tc>
          <w:tcPr>
            <w:tcW w:w="3652" w:type="dxa"/>
          </w:tcPr>
          <w:p w14:paraId="19D07BBF" w14:textId="4608C6B1" w:rsidR="00425A7E" w:rsidRPr="00B354B2" w:rsidRDefault="00425A7E" w:rsidP="00B354B2">
            <w:pPr>
              <w:pStyle w:val="Tabletext6pt"/>
            </w:pPr>
            <w:r w:rsidRPr="00B354B2">
              <w:t>D</w:t>
            </w:r>
            <w:r w:rsidR="00D52482">
              <w:t xml:space="preserve">epartment of </w:t>
            </w:r>
            <w:r w:rsidRPr="00B354B2">
              <w:t>J</w:t>
            </w:r>
            <w:r w:rsidR="00D52482">
              <w:t xml:space="preserve">ustice and </w:t>
            </w:r>
            <w:r w:rsidRPr="00B354B2">
              <w:t>C</w:t>
            </w:r>
            <w:r w:rsidR="00D52482">
              <w:t xml:space="preserve">ommunity </w:t>
            </w:r>
            <w:r w:rsidRPr="00B354B2">
              <w:t>S</w:t>
            </w:r>
            <w:r w:rsidR="00D52482">
              <w:t>afety</w:t>
            </w:r>
            <w:r w:rsidR="005F5B61">
              <w:t xml:space="preserve"> (DJCS)</w:t>
            </w:r>
          </w:p>
        </w:tc>
      </w:tr>
      <w:tr w:rsidR="00425A7E" w:rsidRPr="00193A6D" w14:paraId="1D347B9E" w14:textId="77777777" w:rsidTr="00425A7E">
        <w:tc>
          <w:tcPr>
            <w:tcW w:w="5562" w:type="dxa"/>
            <w:hideMark/>
          </w:tcPr>
          <w:p w14:paraId="7384724D" w14:textId="10A095F0" w:rsidR="00425A7E" w:rsidRPr="00B354B2" w:rsidRDefault="00425A7E" w:rsidP="00B354B2">
            <w:pPr>
              <w:pStyle w:val="Tabletext6pt"/>
            </w:pPr>
            <w:r w:rsidRPr="00B354B2">
              <w:t>Proportion of successful applications to change gender identity on Births, Deaths and Marriages documents, including a parent changing a child's ID documents</w:t>
            </w:r>
          </w:p>
        </w:tc>
        <w:tc>
          <w:tcPr>
            <w:tcW w:w="3652" w:type="dxa"/>
          </w:tcPr>
          <w:p w14:paraId="3B21DD53" w14:textId="77777777" w:rsidR="00425A7E" w:rsidRPr="00B354B2" w:rsidRDefault="00425A7E" w:rsidP="00B354B2">
            <w:pPr>
              <w:pStyle w:val="Tabletext6pt"/>
            </w:pPr>
            <w:r w:rsidRPr="00B354B2">
              <w:t xml:space="preserve">Births Deaths and Marriages Victoria </w:t>
            </w:r>
          </w:p>
        </w:tc>
      </w:tr>
      <w:tr w:rsidR="00425A7E" w:rsidRPr="00193A6D" w14:paraId="3A1E1267" w14:textId="77777777" w:rsidTr="00425A7E">
        <w:tc>
          <w:tcPr>
            <w:tcW w:w="5562" w:type="dxa"/>
            <w:hideMark/>
          </w:tcPr>
          <w:p w14:paraId="50526E6A" w14:textId="01051484" w:rsidR="00425A7E" w:rsidRPr="00B354B2" w:rsidRDefault="00425A7E" w:rsidP="00B354B2">
            <w:pPr>
              <w:pStyle w:val="Tabletext6pt"/>
            </w:pPr>
            <w:r w:rsidRPr="00B354B2">
              <w:t xml:space="preserve">Number of reports </w:t>
            </w:r>
            <w:r w:rsidR="00D52482">
              <w:t>to</w:t>
            </w:r>
            <w:r w:rsidRPr="00B354B2">
              <w:t xml:space="preserve"> VEOHRC relating to harmful change or suppression practices</w:t>
            </w:r>
          </w:p>
        </w:tc>
        <w:tc>
          <w:tcPr>
            <w:tcW w:w="3652" w:type="dxa"/>
          </w:tcPr>
          <w:p w14:paraId="0562CB4E" w14:textId="77777777" w:rsidR="00425A7E" w:rsidRPr="00B354B2" w:rsidRDefault="00425A7E" w:rsidP="00B354B2">
            <w:pPr>
              <w:pStyle w:val="Tabletext6pt"/>
            </w:pPr>
            <w:r w:rsidRPr="00B354B2">
              <w:t xml:space="preserve">VEOHRC </w:t>
            </w:r>
          </w:p>
        </w:tc>
      </w:tr>
      <w:tr w:rsidR="00425A7E" w:rsidRPr="00193A6D" w14:paraId="49582CB3" w14:textId="77777777" w:rsidTr="00425A7E">
        <w:tc>
          <w:tcPr>
            <w:tcW w:w="5562" w:type="dxa"/>
            <w:hideMark/>
          </w:tcPr>
          <w:p w14:paraId="6A24DC21" w14:textId="3AF0A9B3" w:rsidR="00425A7E" w:rsidRPr="00B354B2" w:rsidRDefault="00425A7E" w:rsidP="00B354B2">
            <w:pPr>
              <w:pStyle w:val="Tabletext6pt"/>
            </w:pPr>
            <w:r w:rsidRPr="00B354B2">
              <w:t xml:space="preserve">Number of investigations undertaken by VEOHRC regarding change and suppression practices </w:t>
            </w:r>
          </w:p>
        </w:tc>
        <w:tc>
          <w:tcPr>
            <w:tcW w:w="3652" w:type="dxa"/>
          </w:tcPr>
          <w:p w14:paraId="231DCD42" w14:textId="77777777" w:rsidR="00425A7E" w:rsidRPr="00B354B2" w:rsidRDefault="00425A7E" w:rsidP="00B354B2">
            <w:pPr>
              <w:pStyle w:val="Tabletext6pt"/>
            </w:pPr>
            <w:r w:rsidRPr="00B354B2">
              <w:t xml:space="preserve">VEOHRC </w:t>
            </w:r>
          </w:p>
        </w:tc>
      </w:tr>
    </w:tbl>
    <w:p w14:paraId="788B1DC8" w14:textId="2DA424BA" w:rsidR="00DB1EE7" w:rsidRPr="001F22F9" w:rsidRDefault="00EF65E0" w:rsidP="00462B69">
      <w:pPr>
        <w:pStyle w:val="Heading5"/>
      </w:pPr>
      <w:bookmarkStart w:id="69" w:name="_Toc161234573"/>
      <w:bookmarkStart w:id="70" w:name="_Toc161297299"/>
      <w:r w:rsidRPr="001F22F9">
        <w:t>Outcome indicator</w:t>
      </w:r>
      <w:r w:rsidR="007B1D92" w:rsidRPr="001F22F9">
        <w:t xml:space="preserve"> </w:t>
      </w:r>
      <w:r w:rsidRPr="001F22F9">
        <w:t>1.1.2</w:t>
      </w:r>
      <w:r w:rsidR="00425A7E" w:rsidRPr="001F22F9">
        <w:t>:</w:t>
      </w:r>
      <w:r w:rsidRPr="001F22F9">
        <w:t xml:space="preserve"> </w:t>
      </w:r>
      <w:r w:rsidR="009169A4" w:rsidRPr="001F22F9">
        <w:t>L</w:t>
      </w:r>
      <w:r w:rsidRPr="001F22F9">
        <w:t>aw</w:t>
      </w:r>
      <w:r w:rsidR="00081C4E" w:rsidRPr="001F22F9">
        <w:t xml:space="preserve">s and policies </w:t>
      </w:r>
      <w:r w:rsidRPr="001F22F9">
        <w:t xml:space="preserve">identify and respond to </w:t>
      </w:r>
      <w:r w:rsidR="00AE0C9C" w:rsidRPr="001F22F9">
        <w:t>LGBTIQA+</w:t>
      </w:r>
      <w:r w:rsidRPr="001F22F9">
        <w:t xml:space="preserve"> </w:t>
      </w:r>
      <w:r w:rsidR="00081C4E" w:rsidRPr="001F22F9">
        <w:t xml:space="preserve">people’s </w:t>
      </w:r>
      <w:r w:rsidRPr="001F22F9">
        <w:t>needs</w:t>
      </w:r>
      <w:bookmarkEnd w:id="69"/>
      <w:bookmarkEnd w:id="70"/>
      <w:r w:rsidR="00425A7E" w:rsidRPr="001F22F9">
        <w:t xml:space="preserve"> </w:t>
      </w:r>
    </w:p>
    <w:tbl>
      <w:tblPr>
        <w:tblStyle w:val="Pridetable"/>
        <w:tblW w:w="9214" w:type="dxa"/>
        <w:tblLook w:val="04A0" w:firstRow="1" w:lastRow="0" w:firstColumn="1" w:lastColumn="0" w:noHBand="0" w:noVBand="1"/>
      </w:tblPr>
      <w:tblGrid>
        <w:gridCol w:w="5562"/>
        <w:gridCol w:w="3652"/>
      </w:tblGrid>
      <w:tr w:rsidR="00425A7E" w:rsidRPr="00193A6D" w14:paraId="22BDA4B0" w14:textId="77777777" w:rsidTr="00425A7E">
        <w:trPr>
          <w:tblHeader/>
        </w:trPr>
        <w:tc>
          <w:tcPr>
            <w:tcW w:w="5562" w:type="dxa"/>
          </w:tcPr>
          <w:p w14:paraId="7D161E10" w14:textId="59B11507" w:rsidR="00425A7E" w:rsidRPr="004D0643" w:rsidRDefault="00425A7E" w:rsidP="004D0643">
            <w:pPr>
              <w:pStyle w:val="Tablecolhead"/>
            </w:pPr>
            <w:r>
              <w:t>Measure</w:t>
            </w:r>
          </w:p>
        </w:tc>
        <w:tc>
          <w:tcPr>
            <w:tcW w:w="3652" w:type="dxa"/>
          </w:tcPr>
          <w:p w14:paraId="548C3AEE" w14:textId="79808415" w:rsidR="00425A7E" w:rsidRPr="004D0643" w:rsidRDefault="00425A7E" w:rsidP="004D0643">
            <w:pPr>
              <w:pStyle w:val="Tablecolhead"/>
            </w:pPr>
            <w:r>
              <w:t>Data source</w:t>
            </w:r>
          </w:p>
        </w:tc>
      </w:tr>
      <w:tr w:rsidR="00425A7E" w:rsidRPr="00193A6D" w14:paraId="6352FAEE" w14:textId="77777777" w:rsidTr="00425A7E">
        <w:tc>
          <w:tcPr>
            <w:tcW w:w="5562" w:type="dxa"/>
            <w:hideMark/>
          </w:tcPr>
          <w:p w14:paraId="3168E820" w14:textId="723C24F4" w:rsidR="00425A7E" w:rsidRPr="004D0643" w:rsidRDefault="00425A7E" w:rsidP="004D0643">
            <w:pPr>
              <w:pStyle w:val="Tabletext6pt"/>
            </w:pPr>
            <w:r w:rsidRPr="004D0643">
              <w:t xml:space="preserve">Number of policies or </w:t>
            </w:r>
            <w:r w:rsidR="00081C4E">
              <w:t>laws</w:t>
            </w:r>
            <w:r w:rsidRPr="004D0643">
              <w:t xml:space="preserve"> brought</w:t>
            </w:r>
            <w:r w:rsidR="003636B0">
              <w:t xml:space="preserve"> for </w:t>
            </w:r>
            <w:r w:rsidR="001E0C76">
              <w:t>consultation</w:t>
            </w:r>
            <w:r w:rsidRPr="004D0643">
              <w:t xml:space="preserve"> to the Commissioner for </w:t>
            </w:r>
            <w:r w:rsidR="00AE0C9C">
              <w:t>LGBTIQA+</w:t>
            </w:r>
            <w:r w:rsidRPr="004D0643">
              <w:t xml:space="preserve"> </w:t>
            </w:r>
            <w:r w:rsidR="001F28F6">
              <w:t>C</w:t>
            </w:r>
            <w:r w:rsidRPr="004D0643">
              <w:t xml:space="preserve">ommunities, </w:t>
            </w:r>
            <w:r w:rsidR="00AE0C9C">
              <w:t>LGBTIQA+</w:t>
            </w:r>
            <w:r w:rsidRPr="004D0643">
              <w:t xml:space="preserve"> Taskforce, associated working groups or broader </w:t>
            </w:r>
            <w:r w:rsidR="00AE0C9C">
              <w:t>LGBTIQA+</w:t>
            </w:r>
            <w:r w:rsidRPr="004D0643">
              <w:t xml:space="preserve"> </w:t>
            </w:r>
            <w:r w:rsidR="003636B0">
              <w:t>communities</w:t>
            </w:r>
          </w:p>
        </w:tc>
        <w:tc>
          <w:tcPr>
            <w:tcW w:w="3652" w:type="dxa"/>
          </w:tcPr>
          <w:p w14:paraId="209DDDCE" w14:textId="5FF0383B" w:rsidR="00425A7E" w:rsidRPr="004D0643" w:rsidRDefault="00425A7E" w:rsidP="004D0643">
            <w:pPr>
              <w:pStyle w:val="Tabletext6pt"/>
            </w:pPr>
            <w:r w:rsidRPr="004D0643">
              <w:t xml:space="preserve">Department of Families, Fairness and Housing </w:t>
            </w:r>
            <w:r w:rsidR="004E7DF1">
              <w:t>(DFFH)</w:t>
            </w:r>
          </w:p>
        </w:tc>
      </w:tr>
      <w:tr w:rsidR="00425A7E" w:rsidRPr="00193A6D" w14:paraId="0C599C45" w14:textId="77777777" w:rsidTr="00425A7E">
        <w:tc>
          <w:tcPr>
            <w:tcW w:w="5562" w:type="dxa"/>
            <w:hideMark/>
          </w:tcPr>
          <w:p w14:paraId="768F5C8B" w14:textId="0862939D" w:rsidR="00425A7E" w:rsidRPr="004D0643" w:rsidRDefault="00425A7E" w:rsidP="004D0643">
            <w:pPr>
              <w:pStyle w:val="Tabletext6pt"/>
            </w:pPr>
            <w:r w:rsidRPr="004D0643">
              <w:t xml:space="preserve">Proportion of </w:t>
            </w:r>
            <w:r w:rsidR="00AE0C9C">
              <w:t>LGBTIQA+</w:t>
            </w:r>
            <w:r w:rsidRPr="004D0643">
              <w:t xml:space="preserve"> Victorians who self-report they are protected by the law, compared with non-LGBTIQ</w:t>
            </w:r>
            <w:r>
              <w:t>A</w:t>
            </w:r>
            <w:r w:rsidRPr="004D0643">
              <w:t xml:space="preserve">+ Victorians </w:t>
            </w:r>
          </w:p>
        </w:tc>
        <w:tc>
          <w:tcPr>
            <w:tcW w:w="3652" w:type="dxa"/>
          </w:tcPr>
          <w:p w14:paraId="74DE39BA" w14:textId="31BE5986" w:rsidR="00425A7E" w:rsidRPr="004D0643" w:rsidRDefault="000F1AD6" w:rsidP="004D0643">
            <w:pPr>
              <w:pStyle w:val="Tabletext6pt"/>
            </w:pPr>
            <w:r>
              <w:t>To be determined</w:t>
            </w:r>
          </w:p>
        </w:tc>
      </w:tr>
    </w:tbl>
    <w:p w14:paraId="68B5A39D" w14:textId="3E117602" w:rsidR="00B354B2" w:rsidRDefault="007B1D92" w:rsidP="00F344A2">
      <w:pPr>
        <w:pStyle w:val="Heading5"/>
      </w:pPr>
      <w:bookmarkStart w:id="71" w:name="_Toc161234574"/>
      <w:bookmarkStart w:id="72" w:name="_Toc161297300"/>
      <w:r w:rsidRPr="00193A6D">
        <w:t xml:space="preserve">Outcome indicator </w:t>
      </w:r>
      <w:r>
        <w:t>1.1.3</w:t>
      </w:r>
      <w:r w:rsidR="00425A7E">
        <w:t>:</w:t>
      </w:r>
      <w:r>
        <w:t xml:space="preserve"> </w:t>
      </w:r>
      <w:r w:rsidRPr="00C14D21">
        <w:t>Improved protections from religious discrimination</w:t>
      </w:r>
      <w:bookmarkEnd w:id="71"/>
      <w:bookmarkEnd w:id="72"/>
      <w:r w:rsidR="00A1511F">
        <w:t xml:space="preserve"> </w:t>
      </w:r>
    </w:p>
    <w:tbl>
      <w:tblPr>
        <w:tblStyle w:val="Pridetable"/>
        <w:tblW w:w="9214" w:type="dxa"/>
        <w:tblLook w:val="04A0" w:firstRow="1" w:lastRow="0" w:firstColumn="1" w:lastColumn="0" w:noHBand="0" w:noVBand="1"/>
      </w:tblPr>
      <w:tblGrid>
        <w:gridCol w:w="5562"/>
        <w:gridCol w:w="3652"/>
      </w:tblGrid>
      <w:tr w:rsidR="00425A7E" w:rsidRPr="00193A6D" w14:paraId="71BA1243" w14:textId="77777777" w:rsidTr="72AD9BEA">
        <w:trPr>
          <w:trHeight w:val="71"/>
          <w:tblHeader/>
        </w:trPr>
        <w:tc>
          <w:tcPr>
            <w:tcW w:w="5562" w:type="dxa"/>
          </w:tcPr>
          <w:p w14:paraId="1355A35E" w14:textId="241AC6B3" w:rsidR="00425A7E" w:rsidRPr="00193A6D" w:rsidRDefault="00425A7E" w:rsidP="007B1D92">
            <w:pPr>
              <w:pStyle w:val="Tablecolhead"/>
            </w:pPr>
            <w:r>
              <w:t>Measure</w:t>
            </w:r>
          </w:p>
        </w:tc>
        <w:tc>
          <w:tcPr>
            <w:tcW w:w="3652" w:type="dxa"/>
          </w:tcPr>
          <w:p w14:paraId="5768FCE0" w14:textId="324592A0" w:rsidR="00425A7E" w:rsidRDefault="00425A7E" w:rsidP="007B1D92">
            <w:pPr>
              <w:pStyle w:val="Tablecolhead"/>
            </w:pPr>
            <w:r>
              <w:t>Data source</w:t>
            </w:r>
          </w:p>
        </w:tc>
      </w:tr>
      <w:tr w:rsidR="00425A7E" w:rsidRPr="00193A6D" w14:paraId="6866C81C" w14:textId="77777777" w:rsidTr="72AD9BEA">
        <w:tc>
          <w:tcPr>
            <w:tcW w:w="5562" w:type="dxa"/>
            <w:hideMark/>
          </w:tcPr>
          <w:p w14:paraId="48B31252" w14:textId="6F4DEBDC" w:rsidR="00425A7E" w:rsidRPr="00193A6D" w:rsidRDefault="009169A4" w:rsidP="007B1D92">
            <w:pPr>
              <w:pStyle w:val="Tabletext6pt"/>
              <w:rPr>
                <w:lang w:eastAsia="en-AU"/>
              </w:rPr>
            </w:pPr>
            <w:r>
              <w:t>VEOHRC i</w:t>
            </w:r>
            <w:r w:rsidR="00425A7E">
              <w:t>nquiries</w:t>
            </w:r>
            <w:r w:rsidR="00425A7E" w:rsidRPr="00193A6D">
              <w:t xml:space="preserve"> relating to </w:t>
            </w:r>
            <w:r w:rsidR="00AE0C9C">
              <w:t>LGBTIQA+</w:t>
            </w:r>
            <w:r w:rsidR="00425A7E" w:rsidRPr="00193A6D">
              <w:t xml:space="preserve"> experiences of religious discrimination in the </w:t>
            </w:r>
            <w:r w:rsidR="003636B0">
              <w:t>p</w:t>
            </w:r>
            <w:r w:rsidR="003636B0" w:rsidRPr="00193A6D">
              <w:t xml:space="preserve">ast </w:t>
            </w:r>
            <w:r w:rsidR="00425A7E" w:rsidRPr="00193A6D">
              <w:t>12 months</w:t>
            </w:r>
            <w:r w:rsidR="001F28F6">
              <w:t xml:space="preserve"> (</w:t>
            </w:r>
            <w:r w:rsidR="00152F86">
              <w:t xml:space="preserve">including number and nature of inquiries) </w:t>
            </w:r>
          </w:p>
        </w:tc>
        <w:tc>
          <w:tcPr>
            <w:tcW w:w="3652" w:type="dxa"/>
          </w:tcPr>
          <w:p w14:paraId="18D2C1F0" w14:textId="77777777" w:rsidR="00425A7E" w:rsidRPr="00193A6D" w:rsidRDefault="00425A7E" w:rsidP="007B1D92">
            <w:pPr>
              <w:pStyle w:val="Tabletext6pt"/>
            </w:pPr>
            <w:r>
              <w:t xml:space="preserve">VEOHRC </w:t>
            </w:r>
          </w:p>
        </w:tc>
      </w:tr>
      <w:tr w:rsidR="00425A7E" w:rsidRPr="00193A6D" w14:paraId="1897C2B4" w14:textId="77777777" w:rsidTr="72AD9BEA">
        <w:tc>
          <w:tcPr>
            <w:tcW w:w="5562" w:type="dxa"/>
            <w:hideMark/>
          </w:tcPr>
          <w:p w14:paraId="0F6C4EB3" w14:textId="79E6FCB0" w:rsidR="00425A7E" w:rsidRPr="00193A6D" w:rsidRDefault="00D81B64" w:rsidP="007B1D92">
            <w:pPr>
              <w:pStyle w:val="Tabletext6pt"/>
              <w:rPr>
                <w:lang w:eastAsia="en-AU"/>
              </w:rPr>
            </w:pPr>
            <w:r>
              <w:t xml:space="preserve">Number of complaints to </w:t>
            </w:r>
            <w:r w:rsidR="00425A7E" w:rsidRPr="00193A6D">
              <w:t xml:space="preserve">VEOHRC </w:t>
            </w:r>
            <w:r w:rsidR="003636B0">
              <w:t>about</w:t>
            </w:r>
            <w:r w:rsidR="00425A7E" w:rsidRPr="00193A6D">
              <w:t xml:space="preserve"> </w:t>
            </w:r>
            <w:r w:rsidR="00AE0C9C">
              <w:t>LGBTIQA+</w:t>
            </w:r>
            <w:r w:rsidR="00425A7E">
              <w:t xml:space="preserve"> </w:t>
            </w:r>
            <w:r w:rsidR="00425A7E" w:rsidRPr="00193A6D">
              <w:t xml:space="preserve">discrimination in religious organisations </w:t>
            </w:r>
            <w:r w:rsidR="009169A4">
              <w:t>or</w:t>
            </w:r>
            <w:r w:rsidR="00425A7E" w:rsidRPr="00193A6D">
              <w:t xml:space="preserve"> educational organisations </w:t>
            </w:r>
          </w:p>
        </w:tc>
        <w:tc>
          <w:tcPr>
            <w:tcW w:w="3652" w:type="dxa"/>
          </w:tcPr>
          <w:p w14:paraId="4913D323" w14:textId="77777777" w:rsidR="00425A7E" w:rsidRPr="00193A6D" w:rsidRDefault="00425A7E" w:rsidP="007B1D92">
            <w:pPr>
              <w:pStyle w:val="Tabletext6pt"/>
            </w:pPr>
            <w:r>
              <w:t xml:space="preserve">VEOHRC </w:t>
            </w:r>
          </w:p>
        </w:tc>
      </w:tr>
      <w:tr w:rsidR="00425A7E" w:rsidRPr="00193A6D" w14:paraId="616D2946" w14:textId="77777777" w:rsidTr="72AD9BEA">
        <w:tc>
          <w:tcPr>
            <w:tcW w:w="5562" w:type="dxa"/>
            <w:hideMark/>
          </w:tcPr>
          <w:p w14:paraId="75E528C5" w14:textId="2247E832" w:rsidR="00425A7E" w:rsidRPr="00193A6D" w:rsidRDefault="00425A7E" w:rsidP="007B1D92">
            <w:pPr>
              <w:pStyle w:val="Tabletext6pt"/>
              <w:rPr>
                <w:lang w:eastAsia="en-AU"/>
              </w:rPr>
            </w:pPr>
            <w:r w:rsidRPr="00193A6D">
              <w:t xml:space="preserve">Number of cases in Victorian courts relating to </w:t>
            </w:r>
            <w:r w:rsidR="00AE0C9C">
              <w:t>LGBTIQA+</w:t>
            </w:r>
            <w:r w:rsidRPr="00193A6D">
              <w:t xml:space="preserve"> experience</w:t>
            </w:r>
            <w:r w:rsidR="00081C4E">
              <w:t>s</w:t>
            </w:r>
            <w:r w:rsidRPr="00193A6D">
              <w:t xml:space="preserve"> of religious discrimination</w:t>
            </w:r>
          </w:p>
        </w:tc>
        <w:tc>
          <w:tcPr>
            <w:tcW w:w="3652" w:type="dxa"/>
          </w:tcPr>
          <w:p w14:paraId="735A11E3" w14:textId="0F5CF772" w:rsidR="00FF6FE1" w:rsidRPr="00193A6D" w:rsidRDefault="007077A0" w:rsidP="007B1D92">
            <w:pPr>
              <w:pStyle w:val="Tabletext6pt"/>
            </w:pPr>
            <w:r>
              <w:t>VEOHRC</w:t>
            </w:r>
          </w:p>
        </w:tc>
      </w:tr>
    </w:tbl>
    <w:p w14:paraId="19055741" w14:textId="5D875D20" w:rsidR="00116C71" w:rsidRDefault="00657ED0" w:rsidP="00F344A2">
      <w:pPr>
        <w:pStyle w:val="Heading4"/>
      </w:pPr>
      <w:bookmarkStart w:id="73" w:name="_Toc161297301"/>
      <w:bookmarkStart w:id="74" w:name="_Toc161234575"/>
      <w:r w:rsidRPr="00193A6D">
        <w:t xml:space="preserve">Outcome 1.2: </w:t>
      </w:r>
      <w:r w:rsidR="00CE744F">
        <w:t>LGBTIQA+ people have s</w:t>
      </w:r>
      <w:r w:rsidRPr="00193A6D">
        <w:t xml:space="preserve">afe and </w:t>
      </w:r>
      <w:r w:rsidRPr="001A6591">
        <w:t>effective</w:t>
      </w:r>
      <w:r w:rsidR="00CE744F">
        <w:t xml:space="preserve"> ways to</w:t>
      </w:r>
      <w:r w:rsidRPr="00193A6D">
        <w:t xml:space="preserve"> </w:t>
      </w:r>
      <w:r w:rsidR="003636B0">
        <w:t>access</w:t>
      </w:r>
      <w:r w:rsidRPr="00193A6D">
        <w:t xml:space="preserve"> justice</w:t>
      </w:r>
      <w:bookmarkEnd w:id="73"/>
      <w:bookmarkEnd w:id="74"/>
    </w:p>
    <w:p w14:paraId="27C511BE" w14:textId="4D75A747" w:rsidR="00425A7E" w:rsidRDefault="00425A7E" w:rsidP="00F344A2">
      <w:pPr>
        <w:pStyle w:val="Heading5"/>
        <w:rPr>
          <w:lang w:eastAsia="en-AU"/>
        </w:rPr>
      </w:pPr>
      <w:bookmarkStart w:id="75" w:name="_Toc161234576"/>
      <w:bookmarkStart w:id="76" w:name="_Toc161297302"/>
      <w:r>
        <w:t xml:space="preserve">Outcome indictor </w:t>
      </w:r>
      <w:r>
        <w:rPr>
          <w:lang w:eastAsia="en-AU"/>
        </w:rPr>
        <w:t xml:space="preserve">1.2.1: Increased </w:t>
      </w:r>
      <w:r w:rsidRPr="00425A7E">
        <w:t>awareness</w:t>
      </w:r>
      <w:r>
        <w:rPr>
          <w:lang w:eastAsia="en-AU"/>
        </w:rPr>
        <w:t xml:space="preserve"> of justice services </w:t>
      </w:r>
      <w:r w:rsidR="00F37772">
        <w:rPr>
          <w:lang w:eastAsia="en-AU"/>
        </w:rPr>
        <w:t xml:space="preserve">and responsiveness </w:t>
      </w:r>
      <w:r w:rsidR="001E0C76">
        <w:rPr>
          <w:lang w:eastAsia="en-AU"/>
        </w:rPr>
        <w:t xml:space="preserve">to </w:t>
      </w:r>
      <w:r w:rsidR="007A2BF1">
        <w:rPr>
          <w:lang w:eastAsia="en-AU"/>
        </w:rPr>
        <w:t xml:space="preserve">LGBTIQA+ people’s </w:t>
      </w:r>
      <w:r>
        <w:rPr>
          <w:lang w:eastAsia="en-AU"/>
        </w:rPr>
        <w:t>legal needs</w:t>
      </w:r>
      <w:bookmarkEnd w:id="75"/>
      <w:bookmarkEnd w:id="76"/>
    </w:p>
    <w:tbl>
      <w:tblPr>
        <w:tblStyle w:val="TableGrid"/>
        <w:tblW w:w="9209" w:type="dxa"/>
        <w:tblBorders>
          <w:left w:val="none" w:sz="0" w:space="0" w:color="auto"/>
          <w:right w:val="none" w:sz="0" w:space="0" w:color="auto"/>
          <w:insideV w:val="none" w:sz="0" w:space="0" w:color="auto"/>
        </w:tblBorders>
        <w:tblLook w:val="04A0" w:firstRow="1" w:lastRow="0" w:firstColumn="1" w:lastColumn="0" w:noHBand="0" w:noVBand="1"/>
      </w:tblPr>
      <w:tblGrid>
        <w:gridCol w:w="5382"/>
        <w:gridCol w:w="3827"/>
      </w:tblGrid>
      <w:tr w:rsidR="00425A7E" w:rsidRPr="00193A6D" w14:paraId="23E0D643" w14:textId="77777777" w:rsidTr="001A6591">
        <w:trPr>
          <w:tblHeader/>
        </w:trPr>
        <w:tc>
          <w:tcPr>
            <w:tcW w:w="5382" w:type="dxa"/>
          </w:tcPr>
          <w:p w14:paraId="06765B58" w14:textId="1E6B4B21" w:rsidR="00425A7E" w:rsidRPr="00425A7E" w:rsidRDefault="00425A7E" w:rsidP="00425A7E">
            <w:pPr>
              <w:pStyle w:val="Tablecolhead"/>
            </w:pPr>
            <w:r w:rsidRPr="00425A7E">
              <w:t>Measure</w:t>
            </w:r>
          </w:p>
        </w:tc>
        <w:tc>
          <w:tcPr>
            <w:tcW w:w="3827" w:type="dxa"/>
          </w:tcPr>
          <w:p w14:paraId="059AEF74" w14:textId="182AF3A5" w:rsidR="00425A7E" w:rsidRPr="00425A7E" w:rsidRDefault="00425A7E" w:rsidP="00425A7E">
            <w:pPr>
              <w:pStyle w:val="Tablecolhead"/>
            </w:pPr>
            <w:r w:rsidRPr="00425A7E">
              <w:t>Data source</w:t>
            </w:r>
          </w:p>
        </w:tc>
      </w:tr>
      <w:tr w:rsidR="00425A7E" w:rsidRPr="00193A6D" w14:paraId="21372DD6" w14:textId="77777777" w:rsidTr="00425A7E">
        <w:tc>
          <w:tcPr>
            <w:tcW w:w="5382" w:type="dxa"/>
          </w:tcPr>
          <w:p w14:paraId="069A0E6D" w14:textId="1AC3CCE3" w:rsidR="00425A7E" w:rsidRPr="00425A7E" w:rsidRDefault="00425A7E" w:rsidP="00425A7E">
            <w:pPr>
              <w:pStyle w:val="Tabletext6pt"/>
            </w:pPr>
            <w:r w:rsidRPr="00425A7E">
              <w:t xml:space="preserve">Proportion of </w:t>
            </w:r>
            <w:r w:rsidR="00AE0C9C">
              <w:t>LGBTIQA+</w:t>
            </w:r>
            <w:r w:rsidRPr="00425A7E">
              <w:t xml:space="preserve"> Victorians who </w:t>
            </w:r>
            <w:r w:rsidR="00D81B64">
              <w:t xml:space="preserve">report that they have </w:t>
            </w:r>
            <w:r w:rsidRPr="00425A7E">
              <w:t xml:space="preserve">received responsive legal services in relation to their status as </w:t>
            </w:r>
            <w:r w:rsidR="00AE0C9C">
              <w:t>LGBTIQA+</w:t>
            </w:r>
            <w:r w:rsidRPr="00425A7E">
              <w:t xml:space="preserve"> </w:t>
            </w:r>
          </w:p>
        </w:tc>
        <w:tc>
          <w:tcPr>
            <w:tcW w:w="3827" w:type="dxa"/>
          </w:tcPr>
          <w:p w14:paraId="5F281EEC" w14:textId="6E7D2971" w:rsidR="00425A7E" w:rsidRPr="00425A7E" w:rsidRDefault="000F1AD6" w:rsidP="00425A7E">
            <w:pPr>
              <w:pStyle w:val="Tabletext6pt"/>
            </w:pPr>
            <w:r>
              <w:t>To be determined</w:t>
            </w:r>
          </w:p>
        </w:tc>
      </w:tr>
      <w:tr w:rsidR="00425A7E" w:rsidRPr="00193A6D" w14:paraId="4D7027C8" w14:textId="77777777" w:rsidTr="00425A7E">
        <w:tc>
          <w:tcPr>
            <w:tcW w:w="5382" w:type="dxa"/>
          </w:tcPr>
          <w:p w14:paraId="044D0E92" w14:textId="505AAD0A" w:rsidR="00425A7E" w:rsidRPr="00425A7E" w:rsidRDefault="00425A7E" w:rsidP="00425A7E">
            <w:pPr>
              <w:pStyle w:val="Tabletext6pt"/>
            </w:pPr>
            <w:r w:rsidRPr="00425A7E">
              <w:t xml:space="preserve">Proportion of </w:t>
            </w:r>
            <w:r w:rsidR="00AE0C9C">
              <w:t>LGBTIQA+</w:t>
            </w:r>
            <w:r w:rsidRPr="00425A7E">
              <w:t xml:space="preserve"> Victorians who self-report they </w:t>
            </w:r>
            <w:r w:rsidR="00D661D9">
              <w:t>know</w:t>
            </w:r>
            <w:r w:rsidR="00D661D9" w:rsidRPr="00425A7E">
              <w:t xml:space="preserve"> </w:t>
            </w:r>
            <w:r w:rsidRPr="00425A7E">
              <w:t xml:space="preserve">where to go </w:t>
            </w:r>
            <w:r w:rsidR="00D661D9">
              <w:t>for</w:t>
            </w:r>
            <w:r w:rsidRPr="00425A7E">
              <w:t xml:space="preserve"> legal advice</w:t>
            </w:r>
          </w:p>
        </w:tc>
        <w:tc>
          <w:tcPr>
            <w:tcW w:w="3827" w:type="dxa"/>
          </w:tcPr>
          <w:p w14:paraId="1B34A379" w14:textId="52ABC3FE" w:rsidR="00425A7E" w:rsidRPr="00425A7E" w:rsidRDefault="000F1AD6" w:rsidP="00425A7E">
            <w:pPr>
              <w:pStyle w:val="Tabletext6pt"/>
            </w:pPr>
            <w:r>
              <w:t>To be determined</w:t>
            </w:r>
          </w:p>
        </w:tc>
      </w:tr>
    </w:tbl>
    <w:p w14:paraId="304346BB" w14:textId="41AD3E3C" w:rsidR="00116C71" w:rsidRDefault="00425A7E" w:rsidP="00F344A2">
      <w:pPr>
        <w:pStyle w:val="Heading5"/>
      </w:pPr>
      <w:bookmarkStart w:id="77" w:name="_Toc161234577"/>
      <w:bookmarkStart w:id="78" w:name="_Toc161297303"/>
      <w:r>
        <w:t xml:space="preserve">Outcome indictor </w:t>
      </w:r>
      <w:r>
        <w:rPr>
          <w:lang w:eastAsia="en-AU"/>
        </w:rPr>
        <w:t>1.2</w:t>
      </w:r>
      <w:r w:rsidR="00876E56">
        <w:rPr>
          <w:lang w:eastAsia="en-AU"/>
        </w:rPr>
        <w:t>.2</w:t>
      </w:r>
      <w:r>
        <w:rPr>
          <w:lang w:eastAsia="en-AU"/>
        </w:rPr>
        <w:t xml:space="preserve">: </w:t>
      </w:r>
      <w:r w:rsidR="00D661D9">
        <w:t>Reduced</w:t>
      </w:r>
      <w:r w:rsidRPr="00425A7E">
        <w:t xml:space="preserve"> </w:t>
      </w:r>
      <w:r w:rsidRPr="00034727">
        <w:t>experiences</w:t>
      </w:r>
      <w:r w:rsidRPr="00425A7E">
        <w:t xml:space="preserve"> of </w:t>
      </w:r>
      <w:r w:rsidR="00D661D9">
        <w:t xml:space="preserve">harm in </w:t>
      </w:r>
      <w:r w:rsidRPr="00425A7E">
        <w:t>the prison system</w:t>
      </w:r>
      <w:bookmarkEnd w:id="77"/>
      <w:r w:rsidR="00D661D9">
        <w:rPr>
          <w:rStyle w:val="FootnoteReference"/>
        </w:rPr>
        <w:footnoteReference w:id="11"/>
      </w:r>
      <w:bookmarkEnd w:id="78"/>
      <w:r>
        <w:t xml:space="preserve"> </w:t>
      </w:r>
    </w:p>
    <w:tbl>
      <w:tblPr>
        <w:tblStyle w:val="TableGrid"/>
        <w:tblW w:w="9209" w:type="dxa"/>
        <w:tblBorders>
          <w:left w:val="none" w:sz="0" w:space="0" w:color="auto"/>
          <w:right w:val="none" w:sz="0" w:space="0" w:color="auto"/>
          <w:insideV w:val="none" w:sz="0" w:space="0" w:color="auto"/>
        </w:tblBorders>
        <w:tblLook w:val="04A0" w:firstRow="1" w:lastRow="0" w:firstColumn="1" w:lastColumn="0" w:noHBand="0" w:noVBand="1"/>
      </w:tblPr>
      <w:tblGrid>
        <w:gridCol w:w="5382"/>
        <w:gridCol w:w="3827"/>
      </w:tblGrid>
      <w:tr w:rsidR="00876E56" w:rsidRPr="00425A7E" w14:paraId="19BF006E" w14:textId="77777777" w:rsidTr="001A6591">
        <w:trPr>
          <w:tblHeader/>
        </w:trPr>
        <w:tc>
          <w:tcPr>
            <w:tcW w:w="5382" w:type="dxa"/>
          </w:tcPr>
          <w:p w14:paraId="5A43B605" w14:textId="77777777" w:rsidR="00876E56" w:rsidRPr="00425A7E" w:rsidRDefault="00876E56">
            <w:pPr>
              <w:pStyle w:val="Tablecolhead"/>
            </w:pPr>
            <w:r w:rsidRPr="00425A7E">
              <w:t>Measure</w:t>
            </w:r>
          </w:p>
        </w:tc>
        <w:tc>
          <w:tcPr>
            <w:tcW w:w="3827" w:type="dxa"/>
          </w:tcPr>
          <w:p w14:paraId="72AAB3C2" w14:textId="77777777" w:rsidR="00876E56" w:rsidRPr="00425A7E" w:rsidRDefault="00876E56">
            <w:pPr>
              <w:pStyle w:val="Tablecolhead"/>
            </w:pPr>
            <w:r w:rsidRPr="00425A7E">
              <w:t>Data source</w:t>
            </w:r>
          </w:p>
        </w:tc>
      </w:tr>
      <w:tr w:rsidR="00876E56" w:rsidRPr="00425A7E" w14:paraId="1DED17AB" w14:textId="77777777">
        <w:tc>
          <w:tcPr>
            <w:tcW w:w="5382" w:type="dxa"/>
          </w:tcPr>
          <w:p w14:paraId="4F804577" w14:textId="718DF9C0" w:rsidR="00876E56" w:rsidRPr="005076DB" w:rsidRDefault="00876E56" w:rsidP="00876E56">
            <w:pPr>
              <w:pStyle w:val="Tabletext6pt"/>
              <w:rPr>
                <w:highlight w:val="yellow"/>
              </w:rPr>
            </w:pPr>
            <w:r w:rsidRPr="0052223B">
              <w:t xml:space="preserve">Measure aligned with the action plan based on the Corrections cultural review report </w:t>
            </w:r>
          </w:p>
        </w:tc>
        <w:tc>
          <w:tcPr>
            <w:tcW w:w="3827" w:type="dxa"/>
          </w:tcPr>
          <w:p w14:paraId="06F5C757" w14:textId="09386027" w:rsidR="00876E56" w:rsidRPr="00425A7E" w:rsidRDefault="00616BD3" w:rsidP="00876E56">
            <w:pPr>
              <w:pStyle w:val="Tabletext6pt"/>
            </w:pPr>
            <w:r>
              <w:t>DJCS</w:t>
            </w:r>
            <w:r w:rsidR="00876E56" w:rsidRPr="00425A7E">
              <w:t xml:space="preserve"> </w:t>
            </w:r>
          </w:p>
        </w:tc>
      </w:tr>
      <w:tr w:rsidR="00876E56" w:rsidRPr="00425A7E" w14:paraId="6D6EF62F" w14:textId="77777777">
        <w:tc>
          <w:tcPr>
            <w:tcW w:w="5382" w:type="dxa"/>
          </w:tcPr>
          <w:p w14:paraId="2BB1C467" w14:textId="0E04DA79" w:rsidR="00876E56" w:rsidRPr="00425A7E" w:rsidRDefault="00876E56" w:rsidP="00876E56">
            <w:pPr>
              <w:pStyle w:val="Tabletext6pt"/>
            </w:pPr>
            <w:r w:rsidRPr="00425A7E">
              <w:t xml:space="preserve">Proportion of trans, gender diverse </w:t>
            </w:r>
            <w:r w:rsidR="00616BD3">
              <w:t>or</w:t>
            </w:r>
            <w:r w:rsidR="00081C4E" w:rsidRPr="00425A7E">
              <w:t xml:space="preserve"> </w:t>
            </w:r>
            <w:r w:rsidRPr="00425A7E">
              <w:t>intersex prisoners placed according to their nominated gender</w:t>
            </w:r>
          </w:p>
        </w:tc>
        <w:tc>
          <w:tcPr>
            <w:tcW w:w="3827" w:type="dxa"/>
          </w:tcPr>
          <w:p w14:paraId="5DC86F9E" w14:textId="1695B834" w:rsidR="00876E56" w:rsidRPr="00425A7E" w:rsidRDefault="00616BD3" w:rsidP="00876E56">
            <w:pPr>
              <w:pStyle w:val="Tabletext6pt"/>
            </w:pPr>
            <w:r>
              <w:t>DJCS</w:t>
            </w:r>
          </w:p>
        </w:tc>
      </w:tr>
    </w:tbl>
    <w:p w14:paraId="2B4636E7" w14:textId="08C86787" w:rsidR="00876E56" w:rsidRDefault="00876E56" w:rsidP="00F344A2">
      <w:pPr>
        <w:pStyle w:val="Heading5"/>
      </w:pPr>
      <w:bookmarkStart w:id="79" w:name="_Toc161297304"/>
      <w:bookmarkStart w:id="80" w:name="_Toc161234578"/>
      <w:r>
        <w:t xml:space="preserve">Outcome indictor </w:t>
      </w:r>
      <w:r>
        <w:rPr>
          <w:lang w:eastAsia="en-AU"/>
        </w:rPr>
        <w:t xml:space="preserve">1.2.3: </w:t>
      </w:r>
      <w:r w:rsidRPr="00425A7E">
        <w:t xml:space="preserve">Improved police responses to </w:t>
      </w:r>
      <w:r w:rsidR="00AE0C9C">
        <w:t>LGBTIQA+</w:t>
      </w:r>
      <w:r w:rsidRPr="00425A7E">
        <w:t xml:space="preserve"> Victorians</w:t>
      </w:r>
      <w:r w:rsidR="00D661D9">
        <w:rPr>
          <w:rStyle w:val="FootnoteReference"/>
        </w:rPr>
        <w:footnoteReference w:id="12"/>
      </w:r>
      <w:bookmarkEnd w:id="79"/>
      <w:r w:rsidRPr="00425A7E">
        <w:t xml:space="preserve"> </w:t>
      </w:r>
      <w:bookmarkEnd w:id="80"/>
    </w:p>
    <w:tbl>
      <w:tblPr>
        <w:tblStyle w:val="TableGrid"/>
        <w:tblW w:w="9209" w:type="dxa"/>
        <w:tblBorders>
          <w:left w:val="none" w:sz="0" w:space="0" w:color="auto"/>
          <w:right w:val="none" w:sz="0" w:space="0" w:color="auto"/>
          <w:insideV w:val="none" w:sz="0" w:space="0" w:color="auto"/>
        </w:tblBorders>
        <w:tblLook w:val="04A0" w:firstRow="1" w:lastRow="0" w:firstColumn="1" w:lastColumn="0" w:noHBand="0" w:noVBand="1"/>
      </w:tblPr>
      <w:tblGrid>
        <w:gridCol w:w="5382"/>
        <w:gridCol w:w="3827"/>
      </w:tblGrid>
      <w:tr w:rsidR="00876E56" w:rsidRPr="00425A7E" w14:paraId="32D85326" w14:textId="77777777" w:rsidTr="001A6591">
        <w:trPr>
          <w:tblHeader/>
        </w:trPr>
        <w:tc>
          <w:tcPr>
            <w:tcW w:w="5382" w:type="dxa"/>
          </w:tcPr>
          <w:p w14:paraId="518D6D04" w14:textId="77777777" w:rsidR="00876E56" w:rsidRPr="00425A7E" w:rsidRDefault="00876E56" w:rsidP="00F83D8D">
            <w:pPr>
              <w:pStyle w:val="Tablecolhead"/>
              <w:keepNext/>
              <w:keepLines/>
            </w:pPr>
            <w:r w:rsidRPr="00425A7E">
              <w:t>Measure</w:t>
            </w:r>
          </w:p>
        </w:tc>
        <w:tc>
          <w:tcPr>
            <w:tcW w:w="3827" w:type="dxa"/>
          </w:tcPr>
          <w:p w14:paraId="399C0E2B" w14:textId="77777777" w:rsidR="00876E56" w:rsidRPr="00425A7E" w:rsidRDefault="00876E56" w:rsidP="00F83D8D">
            <w:pPr>
              <w:pStyle w:val="Tablecolhead"/>
              <w:keepNext/>
              <w:keepLines/>
            </w:pPr>
            <w:r w:rsidRPr="00425A7E">
              <w:t>Data source</w:t>
            </w:r>
          </w:p>
        </w:tc>
      </w:tr>
      <w:tr w:rsidR="00876E56" w:rsidRPr="00425A7E" w14:paraId="46DD7C2D" w14:textId="77777777">
        <w:tc>
          <w:tcPr>
            <w:tcW w:w="5382" w:type="dxa"/>
          </w:tcPr>
          <w:p w14:paraId="2FFAB63E" w14:textId="6A323CDF" w:rsidR="00876E56" w:rsidRPr="00876E56" w:rsidRDefault="00876E56" w:rsidP="00F83D8D">
            <w:pPr>
              <w:pStyle w:val="Tabletext6pt"/>
              <w:keepNext/>
              <w:keepLines/>
            </w:pPr>
            <w:r w:rsidRPr="00876E56">
              <w:t xml:space="preserve">Number of complaints </w:t>
            </w:r>
            <w:r w:rsidR="00616BD3">
              <w:t xml:space="preserve">by LGBTIQA+ Victorians </w:t>
            </w:r>
            <w:r w:rsidRPr="00876E56">
              <w:t xml:space="preserve">about </w:t>
            </w:r>
            <w:r w:rsidR="00616BD3">
              <w:t xml:space="preserve">discriminatory police behaviour on the grounds of sexual orientation, gender identity or sex characteristics </w:t>
            </w:r>
          </w:p>
        </w:tc>
        <w:tc>
          <w:tcPr>
            <w:tcW w:w="3827" w:type="dxa"/>
          </w:tcPr>
          <w:p w14:paraId="402E2F68" w14:textId="56A20DF0" w:rsidR="00876E56" w:rsidRPr="00876E56" w:rsidRDefault="00876E56" w:rsidP="00F83D8D">
            <w:pPr>
              <w:pStyle w:val="Tabletext6pt"/>
              <w:keepNext/>
              <w:keepLines/>
            </w:pPr>
            <w:r w:rsidRPr="00876E56">
              <w:t xml:space="preserve">Victoria Police, VEOHRC or </w:t>
            </w:r>
            <w:r w:rsidR="004E7DF1" w:rsidRPr="004E7DF1">
              <w:t xml:space="preserve">Independent Broad-based Anti-corruption Commission </w:t>
            </w:r>
            <w:r w:rsidR="004E7DF1">
              <w:t>(</w:t>
            </w:r>
            <w:r w:rsidRPr="00876E56">
              <w:t>IBAC</w:t>
            </w:r>
            <w:r w:rsidR="004E7DF1">
              <w:t>)</w:t>
            </w:r>
            <w:r w:rsidRPr="00876E56">
              <w:t xml:space="preserve"> </w:t>
            </w:r>
          </w:p>
        </w:tc>
      </w:tr>
      <w:tr w:rsidR="00876E56" w:rsidRPr="00425A7E" w14:paraId="47F70F44" w14:textId="77777777">
        <w:tc>
          <w:tcPr>
            <w:tcW w:w="5382" w:type="dxa"/>
          </w:tcPr>
          <w:p w14:paraId="39F1AA8E" w14:textId="1B55DFCA" w:rsidR="00876E56" w:rsidRPr="00876E56" w:rsidRDefault="00876E56" w:rsidP="00F83D8D">
            <w:pPr>
              <w:pStyle w:val="Tabletext6pt"/>
              <w:keepNext/>
              <w:keepLines/>
            </w:pPr>
            <w:r w:rsidRPr="00876E56">
              <w:t xml:space="preserve">Proportion of </w:t>
            </w:r>
            <w:r w:rsidR="00AE0C9C">
              <w:t>LGBTIQA+</w:t>
            </w:r>
            <w:r w:rsidRPr="00876E56">
              <w:t xml:space="preserve"> Victorians </w:t>
            </w:r>
            <w:r w:rsidR="00081C4E">
              <w:t xml:space="preserve">who are </w:t>
            </w:r>
            <w:r w:rsidRPr="00876E56">
              <w:t>comfortable talking to police</w:t>
            </w:r>
            <w:r w:rsidR="003E1FB9">
              <w:t xml:space="preserve"> and/or </w:t>
            </w:r>
            <w:r w:rsidRPr="00876E56">
              <w:t>P</w:t>
            </w:r>
            <w:r w:rsidR="003E1FB9">
              <w:t>rotective Service Officers</w:t>
            </w:r>
            <w:r w:rsidR="00081C4E">
              <w:t>,</w:t>
            </w:r>
            <w:r w:rsidRPr="00876E56">
              <w:t xml:space="preserve"> compared </w:t>
            </w:r>
            <w:r w:rsidR="00D661D9">
              <w:t>with</w:t>
            </w:r>
            <w:r w:rsidR="00D661D9" w:rsidRPr="00876E56">
              <w:t xml:space="preserve"> </w:t>
            </w:r>
            <w:r w:rsidRPr="00876E56">
              <w:t>non-</w:t>
            </w:r>
            <w:r w:rsidR="00AE0C9C">
              <w:t>LGBTIQA+</w:t>
            </w:r>
            <w:r w:rsidRPr="00876E56">
              <w:t xml:space="preserve"> Victorians </w:t>
            </w:r>
          </w:p>
        </w:tc>
        <w:tc>
          <w:tcPr>
            <w:tcW w:w="3827" w:type="dxa"/>
          </w:tcPr>
          <w:p w14:paraId="0728EC1F" w14:textId="01C9B6A6" w:rsidR="00876E56" w:rsidRPr="00876E56" w:rsidRDefault="00876E56" w:rsidP="00F83D8D">
            <w:pPr>
              <w:pStyle w:val="Tabletext6pt"/>
              <w:keepNext/>
              <w:keepLines/>
            </w:pPr>
            <w:r w:rsidRPr="00876E56">
              <w:t>Victoria Police Annual Community Sentiment Survey</w:t>
            </w:r>
          </w:p>
        </w:tc>
      </w:tr>
    </w:tbl>
    <w:p w14:paraId="0A8AB556" w14:textId="6F1A3886" w:rsidR="001A6591" w:rsidRDefault="00116C71" w:rsidP="001A6591">
      <w:pPr>
        <w:pStyle w:val="Heading2"/>
      </w:pPr>
      <w:r>
        <w:br w:type="page"/>
      </w:r>
      <w:bookmarkStart w:id="81" w:name="_Toc183769438"/>
      <w:r w:rsidR="001A6591" w:rsidRPr="001A6591">
        <w:t>Domain</w:t>
      </w:r>
      <w:r w:rsidR="001A6591">
        <w:t xml:space="preserve"> 2: Equitable, inclusive and accessible services</w:t>
      </w:r>
      <w:bookmarkEnd w:id="81"/>
    </w:p>
    <w:p w14:paraId="53660EB5" w14:textId="5CD743E8" w:rsidR="00FE6AAF" w:rsidRPr="00AF38A4" w:rsidRDefault="00FE6AAF" w:rsidP="001A6591">
      <w:pPr>
        <w:pStyle w:val="Heading3"/>
      </w:pPr>
      <w:bookmarkStart w:id="82" w:name="_Toc161297306"/>
      <w:r w:rsidRPr="00AF38A4">
        <w:t xml:space="preserve">Logic model </w:t>
      </w:r>
      <w:r w:rsidR="00421077">
        <w:t>overview</w:t>
      </w:r>
    </w:p>
    <w:p w14:paraId="3076F533" w14:textId="56D20DBE" w:rsidR="001A6591" w:rsidRPr="001A6591" w:rsidRDefault="001A6591" w:rsidP="00421077">
      <w:pPr>
        <w:pStyle w:val="Heading4"/>
      </w:pPr>
      <w:r w:rsidRPr="00AF38A4">
        <w:t>Problem</w:t>
      </w:r>
      <w:r>
        <w:t xml:space="preserve"> statement</w:t>
      </w:r>
      <w:bookmarkEnd w:id="82"/>
    </w:p>
    <w:p w14:paraId="7C62FB6E" w14:textId="40862288" w:rsidR="001A6591" w:rsidRDefault="009F1531" w:rsidP="007804F2">
      <w:pPr>
        <w:pStyle w:val="Body"/>
      </w:pPr>
      <w:bookmarkStart w:id="83" w:name="_Hlk181806583"/>
      <w:r>
        <w:t xml:space="preserve">Barriers to service access, including anticipated discrimination, can have </w:t>
      </w:r>
      <w:r w:rsidR="00D661D9">
        <w:t xml:space="preserve">negative outcomes </w:t>
      </w:r>
      <w:r w:rsidR="007804F2">
        <w:t>on the health and mental health of LGBTIQA+ Victorians</w:t>
      </w:r>
      <w:bookmarkEnd w:id="83"/>
      <w:r w:rsidR="00FA2004">
        <w:t>.</w:t>
      </w:r>
    </w:p>
    <w:p w14:paraId="2E41C60B" w14:textId="18087770" w:rsidR="001A6591" w:rsidRPr="001A6591" w:rsidRDefault="001A6591" w:rsidP="00421077">
      <w:pPr>
        <w:pStyle w:val="Heading4"/>
      </w:pPr>
      <w:bookmarkStart w:id="84" w:name="_Toc161297307"/>
      <w:r w:rsidRPr="00AF38A4">
        <w:t>Objective</w:t>
      </w:r>
      <w:bookmarkEnd w:id="84"/>
    </w:p>
    <w:p w14:paraId="2401A914" w14:textId="0D3B1001" w:rsidR="0087712F" w:rsidRDefault="001A6591" w:rsidP="00F344A2">
      <w:pPr>
        <w:pStyle w:val="Body"/>
      </w:pPr>
      <w:r>
        <w:t>To make all government-funded services accessible, safe and effective for all LGBTIQA+ Victorians</w:t>
      </w:r>
      <w:r w:rsidR="00FA2004">
        <w:t>.</w:t>
      </w:r>
    </w:p>
    <w:p w14:paraId="1808B964" w14:textId="7F3285E3" w:rsidR="00F27B23" w:rsidRPr="0087712F" w:rsidRDefault="00F27B23" w:rsidP="004A5CD5">
      <w:pPr>
        <w:pStyle w:val="Heading4"/>
      </w:pPr>
      <w:r>
        <w:t>Actions and outputs</w:t>
      </w:r>
    </w:p>
    <w:tbl>
      <w:tblPr>
        <w:tblStyle w:val="TableGrid"/>
        <w:tblW w:w="0" w:type="auto"/>
        <w:tblLook w:val="04A0" w:firstRow="1" w:lastRow="0" w:firstColumn="1" w:lastColumn="0" w:noHBand="0" w:noVBand="1"/>
      </w:tblPr>
      <w:tblGrid>
        <w:gridCol w:w="4644"/>
        <w:gridCol w:w="4644"/>
      </w:tblGrid>
      <w:tr w:rsidR="008C4BE0" w14:paraId="029A6AB4" w14:textId="77777777" w:rsidTr="72AD9BEA">
        <w:trPr>
          <w:tblHeader/>
        </w:trPr>
        <w:tc>
          <w:tcPr>
            <w:tcW w:w="4644" w:type="dxa"/>
            <w:tcBorders>
              <w:top w:val="nil"/>
              <w:left w:val="nil"/>
              <w:bottom w:val="nil"/>
              <w:right w:val="nil"/>
            </w:tcBorders>
          </w:tcPr>
          <w:p w14:paraId="06FEEC42" w14:textId="43F5BD85" w:rsidR="008C4BE0" w:rsidRPr="008C4BE0" w:rsidRDefault="004534EA" w:rsidP="00F344A2">
            <w:pPr>
              <w:pStyle w:val="Tablecolhead"/>
            </w:pPr>
            <w:bookmarkStart w:id="85" w:name="_Toc161297309"/>
            <w:r>
              <w:t>A</w:t>
            </w:r>
            <w:r w:rsidR="008C4BE0" w:rsidRPr="008C4BE0">
              <w:t>ctions</w:t>
            </w:r>
            <w:bookmarkEnd w:id="85"/>
          </w:p>
          <w:p w14:paraId="211C07EB" w14:textId="75EEDE2A" w:rsidR="008C4BE0" w:rsidRPr="008C4BE0" w:rsidRDefault="008C4BE0" w:rsidP="008C4BE0">
            <w:pPr>
              <w:pStyle w:val="Body"/>
            </w:pPr>
            <w:r w:rsidRPr="008C4BE0">
              <w:t>Early actions</w:t>
            </w:r>
          </w:p>
        </w:tc>
        <w:tc>
          <w:tcPr>
            <w:tcW w:w="4644" w:type="dxa"/>
            <w:tcBorders>
              <w:top w:val="nil"/>
              <w:left w:val="nil"/>
              <w:bottom w:val="nil"/>
              <w:right w:val="nil"/>
            </w:tcBorders>
          </w:tcPr>
          <w:p w14:paraId="4B687D44" w14:textId="63DB1C1F" w:rsidR="008C4BE0" w:rsidRPr="008C4BE0" w:rsidRDefault="008C4BE0" w:rsidP="00F344A2">
            <w:pPr>
              <w:pStyle w:val="Tablecolhead"/>
            </w:pPr>
            <w:bookmarkStart w:id="86" w:name="_Toc161297310"/>
            <w:r w:rsidRPr="008C4BE0">
              <w:t>Outputs</w:t>
            </w:r>
            <w:bookmarkEnd w:id="86"/>
          </w:p>
        </w:tc>
      </w:tr>
      <w:tr w:rsidR="00C80295" w14:paraId="549D9613" w14:textId="77777777" w:rsidTr="72AD9BEA">
        <w:tc>
          <w:tcPr>
            <w:tcW w:w="4644" w:type="dxa"/>
            <w:tcBorders>
              <w:top w:val="nil"/>
              <w:left w:val="nil"/>
              <w:bottom w:val="single" w:sz="4" w:space="0" w:color="auto"/>
              <w:right w:val="nil"/>
            </w:tcBorders>
          </w:tcPr>
          <w:p w14:paraId="70126B45" w14:textId="606C1CEC" w:rsidR="00C80295" w:rsidRPr="008A71FE" w:rsidRDefault="00C80295" w:rsidP="00B743AB">
            <w:pPr>
              <w:pStyle w:val="Tablebullet1"/>
              <w:numPr>
                <w:ilvl w:val="0"/>
                <w:numId w:val="0"/>
              </w:numPr>
            </w:pPr>
            <w:r w:rsidRPr="00B43051">
              <w:t>Improve the understanding of LGBTIQA+ specialist and mainstream services in the provision of adequate supports for LGBTIQA+ communities</w:t>
            </w:r>
            <w:r>
              <w:t xml:space="preserve"> </w:t>
            </w:r>
          </w:p>
        </w:tc>
        <w:tc>
          <w:tcPr>
            <w:tcW w:w="4644" w:type="dxa"/>
            <w:tcBorders>
              <w:top w:val="nil"/>
              <w:left w:val="nil"/>
              <w:bottom w:val="single" w:sz="4" w:space="0" w:color="auto"/>
              <w:right w:val="nil"/>
            </w:tcBorders>
          </w:tcPr>
          <w:p w14:paraId="0DAA2D6E" w14:textId="2E9E8392" w:rsidR="00C80295" w:rsidRDefault="00C80295" w:rsidP="00B743AB">
            <w:pPr>
              <w:pStyle w:val="Tablebullet1"/>
              <w:numPr>
                <w:ilvl w:val="0"/>
                <w:numId w:val="0"/>
              </w:numPr>
            </w:pPr>
            <w:r w:rsidRPr="008A71FE">
              <w:t>Audit report of LGBTIQA+ specialist services and mainstream services initiatives</w:t>
            </w:r>
            <w:r>
              <w:t xml:space="preserve"> </w:t>
            </w:r>
            <w:r w:rsidRPr="008A71FE">
              <w:t xml:space="preserve">across health, mental health, housing, homelessness and family violence sectors </w:t>
            </w:r>
          </w:p>
        </w:tc>
      </w:tr>
      <w:tr w:rsidR="0030002E" w14:paraId="728B4A80" w14:textId="77777777" w:rsidTr="72AD9BEA">
        <w:tc>
          <w:tcPr>
            <w:tcW w:w="4644" w:type="dxa"/>
            <w:tcBorders>
              <w:top w:val="nil"/>
              <w:left w:val="nil"/>
              <w:bottom w:val="single" w:sz="4" w:space="0" w:color="auto"/>
              <w:right w:val="nil"/>
            </w:tcBorders>
          </w:tcPr>
          <w:p w14:paraId="1D42EB55" w14:textId="7C40AF6A" w:rsidR="0030002E" w:rsidRPr="00B43051" w:rsidRDefault="0030002E" w:rsidP="00B743AB">
            <w:pPr>
              <w:pStyle w:val="Tablebullet1"/>
              <w:numPr>
                <w:ilvl w:val="0"/>
                <w:numId w:val="0"/>
              </w:numPr>
            </w:pPr>
            <w:r w:rsidRPr="008A71FE">
              <w:t>Embed</w:t>
            </w:r>
            <w:r>
              <w:t xml:space="preserve"> LGBTIQA+ voices</w:t>
            </w:r>
            <w:r w:rsidRPr="008A71FE">
              <w:t xml:space="preserve"> in </w:t>
            </w:r>
            <w:r>
              <w:t xml:space="preserve">the </w:t>
            </w:r>
            <w:r w:rsidRPr="008A71FE">
              <w:t>diverse communities’ mental health and wellbeing framework</w:t>
            </w:r>
            <w:r>
              <w:t xml:space="preserve"> and governance model</w:t>
            </w:r>
          </w:p>
        </w:tc>
        <w:tc>
          <w:tcPr>
            <w:tcW w:w="4644" w:type="dxa"/>
            <w:tcBorders>
              <w:top w:val="nil"/>
              <w:left w:val="nil"/>
              <w:bottom w:val="single" w:sz="4" w:space="0" w:color="auto"/>
              <w:right w:val="nil"/>
            </w:tcBorders>
          </w:tcPr>
          <w:p w14:paraId="2B4AE04A" w14:textId="5896697F" w:rsidR="0030002E" w:rsidRPr="008A71FE" w:rsidRDefault="0030002E" w:rsidP="00B743AB">
            <w:pPr>
              <w:pStyle w:val="Tablebullet1"/>
              <w:numPr>
                <w:ilvl w:val="0"/>
                <w:numId w:val="0"/>
              </w:numPr>
            </w:pPr>
            <w:r w:rsidRPr="008A71FE">
              <w:t>LGBTIQA+ communities consulted on framework needs</w:t>
            </w:r>
          </w:p>
        </w:tc>
      </w:tr>
      <w:tr w:rsidR="0030002E" w14:paraId="47DA3464" w14:textId="77777777" w:rsidTr="72AD9BEA">
        <w:tc>
          <w:tcPr>
            <w:tcW w:w="4644" w:type="dxa"/>
            <w:tcBorders>
              <w:top w:val="nil"/>
              <w:left w:val="nil"/>
              <w:bottom w:val="single" w:sz="4" w:space="0" w:color="auto"/>
              <w:right w:val="nil"/>
            </w:tcBorders>
          </w:tcPr>
          <w:p w14:paraId="78FC3C6D" w14:textId="72CFD5A6" w:rsidR="0030002E" w:rsidRPr="008A71FE" w:rsidRDefault="0030002E" w:rsidP="00B743AB">
            <w:pPr>
              <w:pStyle w:val="Tablebullet1"/>
              <w:numPr>
                <w:ilvl w:val="0"/>
                <w:numId w:val="0"/>
              </w:numPr>
            </w:pPr>
            <w:r w:rsidRPr="008A71FE">
              <w:t xml:space="preserve">Implement </w:t>
            </w:r>
            <w:r w:rsidRPr="00F344A2">
              <w:rPr>
                <w:i/>
                <w:iCs/>
              </w:rPr>
              <w:t>(i) Am Equal: Future directions for Victoria’s intersex community</w:t>
            </w:r>
            <w:r>
              <w:t xml:space="preserve"> </w:t>
            </w:r>
            <w:r w:rsidRPr="00F344A2">
              <w:t>with resources and supports to improve the health and wellbeing of people with an intersex variation</w:t>
            </w:r>
          </w:p>
        </w:tc>
        <w:tc>
          <w:tcPr>
            <w:tcW w:w="4644" w:type="dxa"/>
            <w:tcBorders>
              <w:top w:val="nil"/>
              <w:left w:val="nil"/>
              <w:bottom w:val="single" w:sz="4" w:space="0" w:color="auto"/>
              <w:right w:val="nil"/>
            </w:tcBorders>
          </w:tcPr>
          <w:p w14:paraId="7FA714E9" w14:textId="2A44410F" w:rsidR="0030002E" w:rsidRPr="008A71FE" w:rsidRDefault="0030002E" w:rsidP="00B743AB">
            <w:pPr>
              <w:pStyle w:val="Tablebullet1"/>
              <w:numPr>
                <w:ilvl w:val="0"/>
                <w:numId w:val="0"/>
              </w:numPr>
            </w:pPr>
            <w:r>
              <w:t>All</w:t>
            </w:r>
            <w:r w:rsidRPr="008A71FE">
              <w:t xml:space="preserve"> </w:t>
            </w:r>
            <w:r w:rsidRPr="00F344A2">
              <w:rPr>
                <w:i/>
                <w:iCs/>
              </w:rPr>
              <w:t>(</w:t>
            </w:r>
            <w:r>
              <w:rPr>
                <w:i/>
                <w:iCs/>
              </w:rPr>
              <w:t>i</w:t>
            </w:r>
            <w:r w:rsidRPr="00F344A2">
              <w:rPr>
                <w:i/>
                <w:iCs/>
              </w:rPr>
              <w:t xml:space="preserve">) </w:t>
            </w:r>
            <w:r>
              <w:rPr>
                <w:i/>
                <w:iCs/>
              </w:rPr>
              <w:t>A</w:t>
            </w:r>
            <w:r w:rsidRPr="00F344A2">
              <w:rPr>
                <w:i/>
                <w:iCs/>
              </w:rPr>
              <w:t xml:space="preserve">m </w:t>
            </w:r>
            <w:r>
              <w:rPr>
                <w:i/>
                <w:iCs/>
              </w:rPr>
              <w:t>E</w:t>
            </w:r>
            <w:r w:rsidRPr="00F344A2">
              <w:rPr>
                <w:i/>
                <w:iCs/>
              </w:rPr>
              <w:t xml:space="preserve">qual: </w:t>
            </w:r>
            <w:r>
              <w:rPr>
                <w:i/>
                <w:iCs/>
              </w:rPr>
              <w:t>F</w:t>
            </w:r>
            <w:r w:rsidRPr="00F344A2">
              <w:rPr>
                <w:i/>
                <w:iCs/>
              </w:rPr>
              <w:t>uture directions for Victoria’s intersex community</w:t>
            </w:r>
            <w:r w:rsidRPr="008A71FE">
              <w:t xml:space="preserve"> implemented</w:t>
            </w:r>
          </w:p>
        </w:tc>
      </w:tr>
      <w:tr w:rsidR="00E1555F" w14:paraId="0ECFDAA5" w14:textId="77777777" w:rsidTr="72AD9BEA">
        <w:tc>
          <w:tcPr>
            <w:tcW w:w="4644" w:type="dxa"/>
            <w:tcBorders>
              <w:top w:val="nil"/>
              <w:left w:val="nil"/>
              <w:bottom w:val="single" w:sz="4" w:space="0" w:color="auto"/>
              <w:right w:val="nil"/>
            </w:tcBorders>
          </w:tcPr>
          <w:p w14:paraId="13B5995B" w14:textId="345ABAC7" w:rsidR="00E1555F" w:rsidRPr="008A71FE" w:rsidRDefault="00E1555F" w:rsidP="00B743AB">
            <w:pPr>
              <w:pStyle w:val="Tablebullet1"/>
              <w:numPr>
                <w:ilvl w:val="0"/>
                <w:numId w:val="0"/>
              </w:numPr>
            </w:pPr>
            <w:r>
              <w:t>Ensure</w:t>
            </w:r>
            <w:r w:rsidRPr="008A71FE">
              <w:t xml:space="preserve"> relationship, sexuality and consent education</w:t>
            </w:r>
            <w:r>
              <w:t xml:space="preserve"> is LGBTIQA+ inclusive, including supporting resources </w:t>
            </w:r>
          </w:p>
        </w:tc>
        <w:tc>
          <w:tcPr>
            <w:tcW w:w="4644" w:type="dxa"/>
            <w:tcBorders>
              <w:top w:val="nil"/>
              <w:left w:val="nil"/>
              <w:bottom w:val="single" w:sz="4" w:space="0" w:color="auto"/>
              <w:right w:val="nil"/>
            </w:tcBorders>
          </w:tcPr>
          <w:p w14:paraId="38C8EA43" w14:textId="17BC2EB3" w:rsidR="00E1555F" w:rsidRDefault="00E1555F" w:rsidP="00B743AB">
            <w:pPr>
              <w:pStyle w:val="Tablebullet1"/>
              <w:numPr>
                <w:ilvl w:val="0"/>
                <w:numId w:val="0"/>
              </w:numPr>
            </w:pPr>
            <w:r>
              <w:t xml:space="preserve">Number </w:t>
            </w:r>
            <w:r w:rsidRPr="008A71FE">
              <w:t>of</w:t>
            </w:r>
            <w:r>
              <w:t xml:space="preserve"> LGBTIQA+</w:t>
            </w:r>
            <w:r w:rsidRPr="008A71FE">
              <w:t xml:space="preserve"> </w:t>
            </w:r>
            <w:r>
              <w:t xml:space="preserve">inclusive </w:t>
            </w:r>
            <w:r w:rsidRPr="008A71FE">
              <w:t>relationship, sexuality and consent education</w:t>
            </w:r>
            <w:r>
              <w:t xml:space="preserve"> materials</w:t>
            </w:r>
            <w:r w:rsidRPr="008A71FE">
              <w:t xml:space="preserve"> in public education </w:t>
            </w:r>
          </w:p>
        </w:tc>
      </w:tr>
      <w:tr w:rsidR="00E1555F" w14:paraId="0A01B654" w14:textId="77777777" w:rsidTr="72AD9BEA">
        <w:tc>
          <w:tcPr>
            <w:tcW w:w="4644" w:type="dxa"/>
            <w:tcBorders>
              <w:top w:val="nil"/>
              <w:left w:val="nil"/>
              <w:bottom w:val="single" w:sz="4" w:space="0" w:color="auto"/>
              <w:right w:val="nil"/>
            </w:tcBorders>
          </w:tcPr>
          <w:p w14:paraId="32662453" w14:textId="04241EC5" w:rsidR="00E1555F" w:rsidRDefault="00E1555F" w:rsidP="00B743AB">
            <w:pPr>
              <w:pStyle w:val="Tablebullet1"/>
              <w:numPr>
                <w:ilvl w:val="0"/>
                <w:numId w:val="0"/>
              </w:numPr>
            </w:pPr>
            <w:r w:rsidRPr="008A71FE">
              <w:t xml:space="preserve">Develop </w:t>
            </w:r>
            <w:r>
              <w:t>LGBTIQA+ H</w:t>
            </w:r>
            <w:r w:rsidRPr="008A71FE">
              <w:t xml:space="preserve">ealth and </w:t>
            </w:r>
            <w:r>
              <w:t>W</w:t>
            </w:r>
            <w:r w:rsidRPr="008A71FE">
              <w:t xml:space="preserve">ellbeing </w:t>
            </w:r>
            <w:r>
              <w:t>A</w:t>
            </w:r>
            <w:r w:rsidRPr="008A71FE">
              <w:t xml:space="preserve">ction </w:t>
            </w:r>
            <w:r>
              <w:t>P</w:t>
            </w:r>
            <w:r w:rsidRPr="008A71FE">
              <w:t>lan</w:t>
            </w:r>
            <w:r>
              <w:t xml:space="preserve"> to </w:t>
            </w:r>
            <w:r w:rsidRPr="002E7BF5">
              <w:t>improve health and wellbeing outcomes</w:t>
            </w:r>
          </w:p>
        </w:tc>
        <w:tc>
          <w:tcPr>
            <w:tcW w:w="4644" w:type="dxa"/>
            <w:tcBorders>
              <w:top w:val="nil"/>
              <w:left w:val="nil"/>
              <w:bottom w:val="single" w:sz="4" w:space="0" w:color="auto"/>
              <w:right w:val="nil"/>
            </w:tcBorders>
          </w:tcPr>
          <w:p w14:paraId="138C5767" w14:textId="78BD11B4" w:rsidR="00E1555F" w:rsidRDefault="00E1555F" w:rsidP="00B743AB">
            <w:pPr>
              <w:pStyle w:val="Tablebullet1"/>
              <w:numPr>
                <w:ilvl w:val="0"/>
                <w:numId w:val="0"/>
              </w:numPr>
            </w:pPr>
            <w:r>
              <w:t xml:space="preserve">Number </w:t>
            </w:r>
            <w:r w:rsidRPr="008A71FE">
              <w:t>of</w:t>
            </w:r>
            <w:r>
              <w:t xml:space="preserve"> LGBTIQA+</w:t>
            </w:r>
            <w:r w:rsidRPr="008A71FE">
              <w:t xml:space="preserve"> </w:t>
            </w:r>
            <w:r>
              <w:t>H</w:t>
            </w:r>
            <w:r w:rsidRPr="008A71FE">
              <w:t xml:space="preserve">ealth and </w:t>
            </w:r>
            <w:r>
              <w:t>W</w:t>
            </w:r>
            <w:r w:rsidRPr="008A71FE">
              <w:t xml:space="preserve">ellbeing </w:t>
            </w:r>
            <w:r>
              <w:t>A</w:t>
            </w:r>
            <w:r w:rsidRPr="008A71FE">
              <w:t xml:space="preserve">ction </w:t>
            </w:r>
            <w:r>
              <w:t>P</w:t>
            </w:r>
            <w:r w:rsidRPr="008A71FE">
              <w:t xml:space="preserve">lan </w:t>
            </w:r>
            <w:r>
              <w:t xml:space="preserve">actions </w:t>
            </w:r>
            <w:r w:rsidRPr="008A71FE">
              <w:t>implemented</w:t>
            </w:r>
            <w:r>
              <w:t xml:space="preserve"> </w:t>
            </w:r>
          </w:p>
        </w:tc>
      </w:tr>
      <w:tr w:rsidR="008F1D26" w14:paraId="4406A100" w14:textId="77777777" w:rsidTr="72AD9BEA">
        <w:tc>
          <w:tcPr>
            <w:tcW w:w="4644" w:type="dxa"/>
            <w:tcBorders>
              <w:top w:val="nil"/>
              <w:left w:val="nil"/>
              <w:bottom w:val="single" w:sz="4" w:space="0" w:color="auto"/>
              <w:right w:val="nil"/>
            </w:tcBorders>
          </w:tcPr>
          <w:p w14:paraId="4BEA0DAA" w14:textId="3BB92A10" w:rsidR="008F1D26" w:rsidRPr="008A71FE" w:rsidRDefault="008F1D26" w:rsidP="00B743AB">
            <w:pPr>
              <w:pStyle w:val="Tablebullet1"/>
              <w:numPr>
                <w:ilvl w:val="0"/>
                <w:numId w:val="0"/>
              </w:numPr>
            </w:pPr>
            <w:r w:rsidRPr="00341F9C">
              <w:t>Build the capacity of Jobs Victoria service providers to support pathways to employment for LGBTIQA+ jobseekers</w:t>
            </w:r>
          </w:p>
        </w:tc>
        <w:tc>
          <w:tcPr>
            <w:tcW w:w="4644" w:type="dxa"/>
            <w:tcBorders>
              <w:top w:val="nil"/>
              <w:left w:val="nil"/>
              <w:bottom w:val="single" w:sz="4" w:space="0" w:color="auto"/>
              <w:right w:val="nil"/>
            </w:tcBorders>
          </w:tcPr>
          <w:p w14:paraId="6D1B1BCE" w14:textId="498F8C97" w:rsidR="008F1D26" w:rsidRDefault="008F1D26" w:rsidP="00B743AB">
            <w:pPr>
              <w:pStyle w:val="Tablebullet1"/>
              <w:numPr>
                <w:ilvl w:val="0"/>
                <w:numId w:val="0"/>
              </w:numPr>
            </w:pPr>
            <w:r>
              <w:t xml:space="preserve">Training or capability strengthening activities delivered across Jobs Victoria service providers </w:t>
            </w:r>
          </w:p>
        </w:tc>
      </w:tr>
      <w:tr w:rsidR="008F1D26" w14:paraId="19CA09FB" w14:textId="77777777" w:rsidTr="72AD9BEA">
        <w:tc>
          <w:tcPr>
            <w:tcW w:w="4644" w:type="dxa"/>
            <w:tcBorders>
              <w:top w:val="nil"/>
              <w:left w:val="nil"/>
              <w:bottom w:val="single" w:sz="4" w:space="0" w:color="auto"/>
              <w:right w:val="nil"/>
            </w:tcBorders>
          </w:tcPr>
          <w:p w14:paraId="67710874" w14:textId="028C7FF6" w:rsidR="008F1D26" w:rsidRPr="008A71FE" w:rsidRDefault="008F1D26" w:rsidP="00B743AB">
            <w:pPr>
              <w:pStyle w:val="Tablebullet1"/>
              <w:numPr>
                <w:ilvl w:val="0"/>
                <w:numId w:val="0"/>
              </w:numPr>
            </w:pPr>
            <w:r w:rsidRPr="00444138">
              <w:t xml:space="preserve">Improve LGBTIQA+ inclusion in family violence and sexual assault sector, including addressing </w:t>
            </w:r>
            <w:r>
              <w:t>key</w:t>
            </w:r>
            <w:r w:rsidRPr="008A71FE">
              <w:t xml:space="preserve"> </w:t>
            </w:r>
            <w:r>
              <w:t>service</w:t>
            </w:r>
            <w:r w:rsidRPr="008A71FE">
              <w:t xml:space="preserve"> </w:t>
            </w:r>
            <w:r>
              <w:t xml:space="preserve">gaps and </w:t>
            </w:r>
            <w:r w:rsidRPr="000F5BD2">
              <w:t>strengthening LGBTIQA+ capability</w:t>
            </w:r>
            <w:r>
              <w:t xml:space="preserve"> </w:t>
            </w:r>
          </w:p>
        </w:tc>
        <w:tc>
          <w:tcPr>
            <w:tcW w:w="4644" w:type="dxa"/>
            <w:tcBorders>
              <w:top w:val="nil"/>
              <w:left w:val="nil"/>
              <w:bottom w:val="single" w:sz="4" w:space="0" w:color="auto"/>
              <w:right w:val="nil"/>
            </w:tcBorders>
          </w:tcPr>
          <w:p w14:paraId="765E46AB" w14:textId="6315C539" w:rsidR="008F1D26" w:rsidRDefault="008F1D26" w:rsidP="00B743AB">
            <w:pPr>
              <w:pStyle w:val="Tablebullet1"/>
              <w:numPr>
                <w:ilvl w:val="0"/>
                <w:numId w:val="0"/>
              </w:numPr>
            </w:pPr>
            <w:r w:rsidRPr="008A71FE">
              <w:t>Sector-wide training or capability strengthening activities delivered across family violence and sexual assault services</w:t>
            </w:r>
          </w:p>
        </w:tc>
      </w:tr>
      <w:tr w:rsidR="008F1D26" w14:paraId="5D3A46BB" w14:textId="77777777" w:rsidTr="72AD9BEA">
        <w:tc>
          <w:tcPr>
            <w:tcW w:w="4644" w:type="dxa"/>
            <w:tcBorders>
              <w:top w:val="single" w:sz="4" w:space="0" w:color="auto"/>
              <w:left w:val="nil"/>
              <w:bottom w:val="single" w:sz="4" w:space="0" w:color="auto"/>
              <w:right w:val="nil"/>
            </w:tcBorders>
          </w:tcPr>
          <w:p w14:paraId="1918C303" w14:textId="6D49CAE4" w:rsidR="008F1D26" w:rsidRPr="008A71FE" w:rsidRDefault="008F1D26" w:rsidP="00B743AB">
            <w:pPr>
              <w:pStyle w:val="Tablebullet1"/>
              <w:numPr>
                <w:ilvl w:val="0"/>
                <w:numId w:val="0"/>
              </w:numPr>
            </w:pPr>
            <w:r>
              <w:t xml:space="preserve">Improve public fertility care access for LGBTIQA+ families by delivering on recommendations from the Review of </w:t>
            </w:r>
            <w:r w:rsidRPr="008A71FE">
              <w:t>Assisted Reproductive Treatment</w:t>
            </w:r>
            <w:r>
              <w:t xml:space="preserve"> (ART)</w:t>
            </w:r>
            <w:r w:rsidRPr="008A71FE">
              <w:t xml:space="preserve"> </w:t>
            </w:r>
            <w:r>
              <w:t>in Victoria</w:t>
            </w:r>
          </w:p>
        </w:tc>
        <w:tc>
          <w:tcPr>
            <w:tcW w:w="4644" w:type="dxa"/>
            <w:tcBorders>
              <w:top w:val="single" w:sz="4" w:space="0" w:color="auto"/>
              <w:left w:val="nil"/>
              <w:bottom w:val="single" w:sz="4" w:space="0" w:color="auto"/>
              <w:right w:val="nil"/>
            </w:tcBorders>
          </w:tcPr>
          <w:p w14:paraId="65FE0608" w14:textId="05D20DB0" w:rsidR="008F1D26" w:rsidRPr="008A71FE" w:rsidRDefault="008F1D26" w:rsidP="00B743AB">
            <w:pPr>
              <w:pStyle w:val="Tablebullet1"/>
              <w:numPr>
                <w:ilvl w:val="0"/>
                <w:numId w:val="0"/>
              </w:numPr>
            </w:pPr>
            <w:r>
              <w:t>All</w:t>
            </w:r>
            <w:r w:rsidRPr="008A71FE">
              <w:t xml:space="preserve"> relevant ART </w:t>
            </w:r>
            <w:r>
              <w:t>R</w:t>
            </w:r>
            <w:r w:rsidRPr="008A71FE">
              <w:t xml:space="preserve">eview recommendations </w:t>
            </w:r>
            <w:r>
              <w:t>put in place</w:t>
            </w:r>
          </w:p>
        </w:tc>
      </w:tr>
      <w:tr w:rsidR="008F1D26" w14:paraId="1554B9C7" w14:textId="77777777" w:rsidTr="72AD9BEA">
        <w:tc>
          <w:tcPr>
            <w:tcW w:w="4644" w:type="dxa"/>
            <w:tcBorders>
              <w:top w:val="single" w:sz="4" w:space="0" w:color="auto"/>
              <w:left w:val="nil"/>
              <w:bottom w:val="single" w:sz="4" w:space="0" w:color="auto"/>
              <w:right w:val="nil"/>
            </w:tcBorders>
          </w:tcPr>
          <w:p w14:paraId="1FB86E5E" w14:textId="319A6BCB" w:rsidR="008F1D26" w:rsidRPr="008A71FE" w:rsidRDefault="008F1D26" w:rsidP="00B743AB">
            <w:pPr>
              <w:pStyle w:val="Tablebullet1"/>
              <w:numPr>
                <w:ilvl w:val="0"/>
                <w:numId w:val="0"/>
              </w:numPr>
            </w:pPr>
            <w:r w:rsidRPr="008A71FE">
              <w:t xml:space="preserve">Support </w:t>
            </w:r>
            <w:r>
              <w:t xml:space="preserve">LGBTIQA+ </w:t>
            </w:r>
            <w:r w:rsidRPr="008A71FE">
              <w:t>inclusive employment practices,</w:t>
            </w:r>
            <w:r>
              <w:t xml:space="preserve"> including </w:t>
            </w:r>
            <w:r w:rsidRPr="008A71FE">
              <w:t xml:space="preserve">resources and </w:t>
            </w:r>
            <w:r>
              <w:t>supports for</w:t>
            </w:r>
            <w:r w:rsidRPr="008A71FE">
              <w:t xml:space="preserve"> employers </w:t>
            </w:r>
          </w:p>
        </w:tc>
        <w:tc>
          <w:tcPr>
            <w:tcW w:w="4644" w:type="dxa"/>
            <w:tcBorders>
              <w:top w:val="single" w:sz="4" w:space="0" w:color="auto"/>
              <w:left w:val="nil"/>
              <w:bottom w:val="single" w:sz="4" w:space="0" w:color="auto"/>
              <w:right w:val="nil"/>
            </w:tcBorders>
          </w:tcPr>
          <w:p w14:paraId="016EDE59" w14:textId="0C26172D" w:rsidR="008F1D26" w:rsidRPr="008A71FE" w:rsidRDefault="008F1D26" w:rsidP="00B743AB">
            <w:pPr>
              <w:pStyle w:val="Tablebullet1"/>
              <w:numPr>
                <w:ilvl w:val="0"/>
                <w:numId w:val="0"/>
              </w:numPr>
            </w:pPr>
            <w:r>
              <w:t>Number of LGBTIQA+ inclusive employment practices and resources provided to employers</w:t>
            </w:r>
          </w:p>
        </w:tc>
      </w:tr>
      <w:tr w:rsidR="008F1D26" w14:paraId="3E2A49CC" w14:textId="77777777" w:rsidTr="72AD9BEA">
        <w:tc>
          <w:tcPr>
            <w:tcW w:w="4644" w:type="dxa"/>
            <w:tcBorders>
              <w:top w:val="single" w:sz="4" w:space="0" w:color="auto"/>
              <w:left w:val="nil"/>
              <w:bottom w:val="single" w:sz="4" w:space="0" w:color="auto"/>
              <w:right w:val="nil"/>
            </w:tcBorders>
          </w:tcPr>
          <w:p w14:paraId="6E67B8AB" w14:textId="286858AC" w:rsidR="008F1D26" w:rsidRPr="008A71FE" w:rsidRDefault="008F1D26" w:rsidP="00B743AB">
            <w:pPr>
              <w:pStyle w:val="Tablebullet1"/>
              <w:numPr>
                <w:ilvl w:val="0"/>
                <w:numId w:val="0"/>
              </w:numPr>
            </w:pPr>
            <w:r w:rsidRPr="008A71FE">
              <w:t xml:space="preserve">Implement </w:t>
            </w:r>
            <w:r>
              <w:t xml:space="preserve">the </w:t>
            </w:r>
            <w:r w:rsidRPr="008A71FE">
              <w:t>recommendations</w:t>
            </w:r>
            <w:r>
              <w:t xml:space="preserve"> of the</w:t>
            </w:r>
            <w:r w:rsidRPr="008A71FE">
              <w:t xml:space="preserve"> review into decriminalising sex work</w:t>
            </w:r>
            <w:r>
              <w:t xml:space="preserve"> in Victoria</w:t>
            </w:r>
          </w:p>
        </w:tc>
        <w:tc>
          <w:tcPr>
            <w:tcW w:w="4644" w:type="dxa"/>
            <w:tcBorders>
              <w:top w:val="single" w:sz="4" w:space="0" w:color="auto"/>
              <w:left w:val="nil"/>
              <w:bottom w:val="single" w:sz="4" w:space="0" w:color="auto"/>
              <w:right w:val="nil"/>
            </w:tcBorders>
          </w:tcPr>
          <w:p w14:paraId="1C24785D" w14:textId="03E54B38" w:rsidR="008F1D26" w:rsidRPr="008A71FE" w:rsidRDefault="008F1D26" w:rsidP="00B743AB">
            <w:pPr>
              <w:pStyle w:val="Tablebullet1"/>
              <w:numPr>
                <w:ilvl w:val="0"/>
                <w:numId w:val="0"/>
              </w:numPr>
            </w:pPr>
            <w:r>
              <w:t>All</w:t>
            </w:r>
            <w:r w:rsidRPr="008A71FE">
              <w:t xml:space="preserve"> recommendations from review into decriminalising sex work implemented</w:t>
            </w:r>
          </w:p>
        </w:tc>
      </w:tr>
      <w:tr w:rsidR="008F1D26" w14:paraId="04EE2FF6" w14:textId="77777777" w:rsidTr="72AD9BEA">
        <w:tc>
          <w:tcPr>
            <w:tcW w:w="4644" w:type="dxa"/>
            <w:tcBorders>
              <w:top w:val="single" w:sz="4" w:space="0" w:color="auto"/>
              <w:left w:val="nil"/>
              <w:bottom w:val="single" w:sz="4" w:space="0" w:color="auto"/>
              <w:right w:val="nil"/>
            </w:tcBorders>
          </w:tcPr>
          <w:p w14:paraId="366CBADB" w14:textId="7AAB9B17" w:rsidR="008F1D26" w:rsidRPr="008A71FE" w:rsidRDefault="008F1D26" w:rsidP="00B743AB">
            <w:pPr>
              <w:pStyle w:val="Tablebullet1"/>
              <w:numPr>
                <w:ilvl w:val="0"/>
                <w:numId w:val="0"/>
              </w:numPr>
            </w:pPr>
            <w:r w:rsidRPr="008A71FE">
              <w:t xml:space="preserve">Support </w:t>
            </w:r>
            <w:r>
              <w:t xml:space="preserve">young </w:t>
            </w:r>
            <w:r w:rsidRPr="008A71FE">
              <w:t xml:space="preserve">LGBTIQA+ </w:t>
            </w:r>
            <w:r>
              <w:t>people</w:t>
            </w:r>
            <w:r w:rsidRPr="008A71FE">
              <w:t xml:space="preserve"> to </w:t>
            </w:r>
            <w:r>
              <w:t xml:space="preserve">foster connections with </w:t>
            </w:r>
            <w:r w:rsidRPr="008A71FE">
              <w:t>peer</w:t>
            </w:r>
            <w:r>
              <w:t>s</w:t>
            </w:r>
            <w:r w:rsidRPr="008A71FE">
              <w:t xml:space="preserve"> and</w:t>
            </w:r>
            <w:r>
              <w:t xml:space="preserve"> older LGBTIQA+</w:t>
            </w:r>
            <w:r w:rsidRPr="008A71FE">
              <w:t xml:space="preserve"> communit</w:t>
            </w:r>
            <w:r>
              <w:t xml:space="preserve">ies </w:t>
            </w:r>
            <w:r w:rsidRPr="008A71FE">
              <w:t xml:space="preserve"> </w:t>
            </w:r>
          </w:p>
        </w:tc>
        <w:tc>
          <w:tcPr>
            <w:tcW w:w="4644" w:type="dxa"/>
            <w:tcBorders>
              <w:top w:val="single" w:sz="4" w:space="0" w:color="auto"/>
              <w:left w:val="nil"/>
              <w:bottom w:val="single" w:sz="4" w:space="0" w:color="auto"/>
              <w:right w:val="nil"/>
            </w:tcBorders>
          </w:tcPr>
          <w:p w14:paraId="044923C7" w14:textId="2469C741" w:rsidR="008F1D26" w:rsidRPr="008A71FE" w:rsidRDefault="008F1D26" w:rsidP="00B743AB">
            <w:pPr>
              <w:pStyle w:val="Tablebullet1"/>
              <w:numPr>
                <w:ilvl w:val="0"/>
                <w:numId w:val="0"/>
              </w:numPr>
            </w:pPr>
            <w:r>
              <w:t>A g</w:t>
            </w:r>
            <w:r w:rsidRPr="008A71FE">
              <w:t>overnment-supported community connection initiative delivered under the youth strategy</w:t>
            </w:r>
          </w:p>
        </w:tc>
      </w:tr>
      <w:tr w:rsidR="008F1D26" w:rsidRPr="008C4BE0" w14:paraId="456A033E" w14:textId="77777777" w:rsidTr="72AD9BEA">
        <w:trPr>
          <w:tblHeader/>
        </w:trPr>
        <w:tc>
          <w:tcPr>
            <w:tcW w:w="4644" w:type="dxa"/>
            <w:tcBorders>
              <w:top w:val="nil"/>
              <w:left w:val="nil"/>
              <w:bottom w:val="nil"/>
              <w:right w:val="nil"/>
            </w:tcBorders>
          </w:tcPr>
          <w:p w14:paraId="35F7B57A" w14:textId="7D6A6EE1" w:rsidR="008F1D26" w:rsidRPr="008C4BE0" w:rsidRDefault="008F1D26" w:rsidP="008F1D26">
            <w:pPr>
              <w:pStyle w:val="Tablecolhead"/>
            </w:pPr>
            <w:bookmarkStart w:id="87" w:name="_Toc161297311"/>
            <w:r>
              <w:t>A</w:t>
            </w:r>
            <w:r w:rsidRPr="008C4BE0">
              <w:t>ctions</w:t>
            </w:r>
            <w:bookmarkEnd w:id="87"/>
          </w:p>
          <w:p w14:paraId="7AF9CE7A" w14:textId="06FA54EB" w:rsidR="008F1D26" w:rsidRPr="008C4BE0" w:rsidRDefault="008F1D26" w:rsidP="008F1D26">
            <w:pPr>
              <w:pStyle w:val="Body"/>
            </w:pPr>
            <w:r>
              <w:t>Within 10 years</w:t>
            </w:r>
          </w:p>
        </w:tc>
        <w:tc>
          <w:tcPr>
            <w:tcW w:w="4644" w:type="dxa"/>
            <w:tcBorders>
              <w:top w:val="nil"/>
              <w:left w:val="nil"/>
              <w:bottom w:val="nil"/>
              <w:right w:val="nil"/>
            </w:tcBorders>
          </w:tcPr>
          <w:p w14:paraId="5C731142" w14:textId="77777777" w:rsidR="008F1D26" w:rsidRPr="008C4BE0" w:rsidRDefault="008F1D26" w:rsidP="008F1D26">
            <w:pPr>
              <w:pStyle w:val="Tablecolhead"/>
            </w:pPr>
            <w:bookmarkStart w:id="88" w:name="_Toc161297312"/>
            <w:r w:rsidRPr="008C4BE0">
              <w:t>Outputs</w:t>
            </w:r>
            <w:bookmarkEnd w:id="88"/>
          </w:p>
        </w:tc>
      </w:tr>
      <w:tr w:rsidR="008F1D26" w:rsidRPr="008A71FE" w14:paraId="7A233BC8" w14:textId="77777777" w:rsidTr="72AD9BEA">
        <w:tc>
          <w:tcPr>
            <w:tcW w:w="4644" w:type="dxa"/>
            <w:tcBorders>
              <w:top w:val="nil"/>
              <w:left w:val="nil"/>
              <w:bottom w:val="single" w:sz="4" w:space="0" w:color="auto"/>
              <w:right w:val="nil"/>
            </w:tcBorders>
          </w:tcPr>
          <w:p w14:paraId="0F0B3B71" w14:textId="4EC2AB95" w:rsidR="008F1D26" w:rsidRPr="008A71FE" w:rsidRDefault="008F1D26" w:rsidP="008F1D26">
            <w:pPr>
              <w:pStyle w:val="Tablebullet1"/>
            </w:pPr>
            <w:r w:rsidRPr="0046791E">
              <w:t xml:space="preserve">Develop LGBTIQA+ inclusive </w:t>
            </w:r>
            <w:r>
              <w:t>resources and provide targeted access to</w:t>
            </w:r>
            <w:r w:rsidRPr="00B94010">
              <w:t xml:space="preserve"> LGBTIQA+ inclusion training </w:t>
            </w:r>
            <w:r>
              <w:t xml:space="preserve">for mainstream services </w:t>
            </w:r>
          </w:p>
        </w:tc>
        <w:tc>
          <w:tcPr>
            <w:tcW w:w="4644" w:type="dxa"/>
            <w:tcBorders>
              <w:top w:val="nil"/>
              <w:left w:val="nil"/>
              <w:bottom w:val="single" w:sz="4" w:space="0" w:color="auto"/>
              <w:right w:val="nil"/>
            </w:tcBorders>
          </w:tcPr>
          <w:p w14:paraId="3CF41054" w14:textId="76AEAF72" w:rsidR="008F1D26" w:rsidRPr="008A71FE" w:rsidRDefault="008F1D26" w:rsidP="008F1D26">
            <w:pPr>
              <w:pStyle w:val="Tablebullet1"/>
            </w:pPr>
            <w:r>
              <w:t xml:space="preserve">LGBTIQA+ inclusive resources developed and provided to mainstream services </w:t>
            </w:r>
          </w:p>
        </w:tc>
      </w:tr>
      <w:tr w:rsidR="008F1D26" w:rsidRPr="008A71FE" w14:paraId="618B7D7D" w14:textId="77777777" w:rsidTr="72AD9BEA">
        <w:tc>
          <w:tcPr>
            <w:tcW w:w="4644" w:type="dxa"/>
            <w:tcBorders>
              <w:top w:val="nil"/>
              <w:left w:val="nil"/>
              <w:bottom w:val="single" w:sz="4" w:space="0" w:color="auto"/>
              <w:right w:val="nil"/>
            </w:tcBorders>
          </w:tcPr>
          <w:p w14:paraId="63B97901" w14:textId="146F474B" w:rsidR="008F1D26" w:rsidRPr="0046791E" w:rsidRDefault="008F1D26" w:rsidP="008F1D26">
            <w:pPr>
              <w:pStyle w:val="Tablebullet1"/>
            </w:pPr>
            <w:r>
              <w:t>Improve LGBTIQA+ inclusion in government-funded mainstream services through the implementation of best practice standards for service delivery</w:t>
            </w:r>
          </w:p>
        </w:tc>
        <w:tc>
          <w:tcPr>
            <w:tcW w:w="4644" w:type="dxa"/>
            <w:tcBorders>
              <w:top w:val="nil"/>
              <w:left w:val="nil"/>
              <w:bottom w:val="single" w:sz="4" w:space="0" w:color="auto"/>
              <w:right w:val="nil"/>
            </w:tcBorders>
          </w:tcPr>
          <w:p w14:paraId="5D6407C8" w14:textId="22B578ED" w:rsidR="008F1D26" w:rsidRDefault="00D14526" w:rsidP="008F1D26">
            <w:pPr>
              <w:pStyle w:val="Tablebullet1"/>
            </w:pPr>
            <w:r>
              <w:t>M</w:t>
            </w:r>
            <w:r w:rsidR="008F1D26">
              <w:t xml:space="preserve">ainstream services funded by the Victorian Government completed inclusion training and accreditation </w:t>
            </w:r>
          </w:p>
        </w:tc>
      </w:tr>
      <w:tr w:rsidR="008F1D26" w:rsidRPr="008A71FE" w14:paraId="48F958E1" w14:textId="77777777" w:rsidTr="72AD9BEA">
        <w:tc>
          <w:tcPr>
            <w:tcW w:w="4644" w:type="dxa"/>
            <w:tcBorders>
              <w:top w:val="single" w:sz="4" w:space="0" w:color="auto"/>
              <w:left w:val="nil"/>
              <w:bottom w:val="single" w:sz="4" w:space="0" w:color="auto"/>
              <w:right w:val="nil"/>
            </w:tcBorders>
          </w:tcPr>
          <w:p w14:paraId="34B95C9F" w14:textId="268D980F" w:rsidR="008F1D26" w:rsidRPr="008A71FE" w:rsidRDefault="008F1D26" w:rsidP="008F1D26">
            <w:pPr>
              <w:pStyle w:val="Tablebullet1"/>
            </w:pPr>
            <w:r w:rsidRPr="00B94010">
              <w:t xml:space="preserve">Support the </w:t>
            </w:r>
            <w:r>
              <w:t>capability building</w:t>
            </w:r>
            <w:r w:rsidRPr="00B94010">
              <w:t xml:space="preserve"> and sustainability of the LGBTIQA+ community-led sector</w:t>
            </w:r>
            <w:r>
              <w:t xml:space="preserve"> </w:t>
            </w:r>
            <w:r w:rsidRPr="00C27223">
              <w:t>to continue support for LGBTIQA+ Victorians</w:t>
            </w:r>
          </w:p>
        </w:tc>
        <w:tc>
          <w:tcPr>
            <w:tcW w:w="4644" w:type="dxa"/>
            <w:tcBorders>
              <w:top w:val="single" w:sz="4" w:space="0" w:color="auto"/>
              <w:left w:val="nil"/>
              <w:bottom w:val="single" w:sz="4" w:space="0" w:color="auto"/>
              <w:right w:val="nil"/>
            </w:tcBorders>
          </w:tcPr>
          <w:p w14:paraId="46230811" w14:textId="2991B5FD" w:rsidR="008F1D26" w:rsidRPr="008A71FE" w:rsidRDefault="008F1D26" w:rsidP="008F1D26">
            <w:pPr>
              <w:pStyle w:val="Tablebullet1"/>
            </w:pPr>
            <w:r>
              <w:t>Continued support for the LGBTIQA+ community-led sector</w:t>
            </w:r>
          </w:p>
        </w:tc>
      </w:tr>
      <w:tr w:rsidR="008F1D26" w:rsidRPr="008A71FE" w14:paraId="63844F14" w14:textId="77777777" w:rsidTr="72AD9BEA">
        <w:tc>
          <w:tcPr>
            <w:tcW w:w="4644" w:type="dxa"/>
            <w:tcBorders>
              <w:top w:val="single" w:sz="4" w:space="0" w:color="auto"/>
              <w:left w:val="nil"/>
              <w:bottom w:val="single" w:sz="4" w:space="0" w:color="auto"/>
              <w:right w:val="nil"/>
            </w:tcBorders>
          </w:tcPr>
          <w:p w14:paraId="20D38E60" w14:textId="3D1B6B10" w:rsidR="008F1D26" w:rsidRPr="008A71FE" w:rsidRDefault="00DA053E" w:rsidP="008F1D26">
            <w:pPr>
              <w:pStyle w:val="Tablebullet1"/>
            </w:pPr>
            <w:r>
              <w:t>Support</w:t>
            </w:r>
            <w:r w:rsidR="008F1D26" w:rsidRPr="00B94010">
              <w:t xml:space="preserve"> health and wellbeing supports for trans and gender diverse communities</w:t>
            </w:r>
            <w:r w:rsidR="008F1D26">
              <w:t xml:space="preserve"> in Victoria, through clinical and peer support services</w:t>
            </w:r>
          </w:p>
        </w:tc>
        <w:tc>
          <w:tcPr>
            <w:tcW w:w="4644" w:type="dxa"/>
            <w:tcBorders>
              <w:top w:val="single" w:sz="4" w:space="0" w:color="auto"/>
              <w:left w:val="nil"/>
              <w:bottom w:val="single" w:sz="4" w:space="0" w:color="auto"/>
              <w:right w:val="nil"/>
            </w:tcBorders>
          </w:tcPr>
          <w:p w14:paraId="6F09BC28" w14:textId="008E40F1" w:rsidR="008F1D26" w:rsidRPr="008A71FE" w:rsidRDefault="008F1D26" w:rsidP="008F1D26">
            <w:pPr>
              <w:pStyle w:val="Tablebullet1"/>
            </w:pPr>
            <w:r>
              <w:t>Continued support of clinical and peer-support services for trans and gender diverse communities</w:t>
            </w:r>
          </w:p>
        </w:tc>
      </w:tr>
      <w:tr w:rsidR="008F1D26" w:rsidRPr="008A71FE" w14:paraId="41210AAE" w14:textId="77777777" w:rsidTr="72AD9BEA">
        <w:tc>
          <w:tcPr>
            <w:tcW w:w="4644" w:type="dxa"/>
            <w:tcBorders>
              <w:top w:val="single" w:sz="4" w:space="0" w:color="auto"/>
              <w:left w:val="nil"/>
              <w:bottom w:val="single" w:sz="4" w:space="0" w:color="auto"/>
              <w:right w:val="nil"/>
            </w:tcBorders>
          </w:tcPr>
          <w:p w14:paraId="4FC5DCCB" w14:textId="390EBC9D" w:rsidR="008F1D26" w:rsidRPr="00B94010" w:rsidRDefault="008F1D26" w:rsidP="008F1D26">
            <w:pPr>
              <w:pStyle w:val="Tablebullet1"/>
            </w:pPr>
            <w:r w:rsidRPr="00805A08">
              <w:t>Co-design services with LGBTIQA+ communities and organisations</w:t>
            </w:r>
          </w:p>
        </w:tc>
        <w:tc>
          <w:tcPr>
            <w:tcW w:w="4644" w:type="dxa"/>
            <w:tcBorders>
              <w:top w:val="single" w:sz="4" w:space="0" w:color="auto"/>
              <w:left w:val="nil"/>
              <w:bottom w:val="single" w:sz="4" w:space="0" w:color="auto"/>
              <w:right w:val="nil"/>
            </w:tcBorders>
          </w:tcPr>
          <w:p w14:paraId="74B439F9" w14:textId="2B8C3ACC" w:rsidR="008F1D26" w:rsidRDefault="008F1D26" w:rsidP="008F1D26">
            <w:pPr>
              <w:pStyle w:val="Tablebullet1"/>
            </w:pPr>
            <w:r>
              <w:t xml:space="preserve">Relevant Government funded services are co-designed with </w:t>
            </w:r>
            <w:r w:rsidRPr="00805A08">
              <w:t>LGBTIQA+ communities and organisations</w:t>
            </w:r>
          </w:p>
        </w:tc>
      </w:tr>
    </w:tbl>
    <w:p w14:paraId="09F05987" w14:textId="5D67918B" w:rsidR="008A71FE" w:rsidRDefault="00EC125A" w:rsidP="004A5CD5">
      <w:pPr>
        <w:pStyle w:val="Heading4"/>
      </w:pPr>
      <w:bookmarkStart w:id="89" w:name="_Toc161297314"/>
      <w:r>
        <w:t>I</w:t>
      </w:r>
      <w:r w:rsidR="008A71FE" w:rsidRPr="00AF38A4">
        <w:t>ndicators</w:t>
      </w:r>
      <w:bookmarkEnd w:id="89"/>
    </w:p>
    <w:p w14:paraId="6870A1C9" w14:textId="56887F19" w:rsidR="008A71FE" w:rsidRPr="00D069FA" w:rsidRDefault="008A71FE" w:rsidP="00D069FA">
      <w:pPr>
        <w:pStyle w:val="Bullet1"/>
      </w:pPr>
      <w:r w:rsidRPr="00D069FA">
        <w:t>Increased commitment of mainstream services to be LGBTIQA+ inclusive</w:t>
      </w:r>
      <w:r w:rsidR="00E62083">
        <w:t xml:space="preserve"> (2.1.1)</w:t>
      </w:r>
    </w:p>
    <w:p w14:paraId="0048F8AC" w14:textId="163B20F4" w:rsidR="008A71FE" w:rsidRPr="00D069FA" w:rsidRDefault="008A71FE" w:rsidP="00D069FA">
      <w:pPr>
        <w:pStyle w:val="Bullet1"/>
      </w:pPr>
      <w:r w:rsidRPr="00D069FA">
        <w:t>Improved availability of inclusive and affirming services</w:t>
      </w:r>
      <w:r w:rsidR="002C25A7">
        <w:t xml:space="preserve"> (2.1.2)</w:t>
      </w:r>
    </w:p>
    <w:p w14:paraId="2E5E3938" w14:textId="6471695C" w:rsidR="008A71FE" w:rsidRPr="00D069FA" w:rsidRDefault="008A71FE" w:rsidP="00D069FA">
      <w:pPr>
        <w:pStyle w:val="Bullet1"/>
      </w:pPr>
      <w:r w:rsidRPr="00D069FA">
        <w:t>Increased number of services designed with LGBTIQA+ people in mind</w:t>
      </w:r>
      <w:r w:rsidR="00686D27">
        <w:t xml:space="preserve"> (2.2.1)</w:t>
      </w:r>
    </w:p>
    <w:p w14:paraId="503B30A3" w14:textId="2910E465" w:rsidR="008A71FE" w:rsidRPr="00D069FA" w:rsidRDefault="008A71FE" w:rsidP="00D069FA">
      <w:pPr>
        <w:pStyle w:val="Bullet1"/>
      </w:pPr>
      <w:r w:rsidRPr="00D069FA">
        <w:t>Increased satisfaction with services</w:t>
      </w:r>
      <w:r w:rsidR="00D63C67">
        <w:t xml:space="preserve"> (2.2.2)</w:t>
      </w:r>
    </w:p>
    <w:p w14:paraId="235192B1" w14:textId="599FE051" w:rsidR="008A71FE" w:rsidRPr="00D069FA" w:rsidRDefault="008A71FE" w:rsidP="00D069FA">
      <w:pPr>
        <w:pStyle w:val="Bullet1"/>
      </w:pPr>
      <w:r w:rsidRPr="00D069FA">
        <w:t xml:space="preserve">Increased effectiveness of </w:t>
      </w:r>
      <w:r w:rsidR="00055E68">
        <w:t xml:space="preserve">health and wellbeing </w:t>
      </w:r>
      <w:r w:rsidRPr="00D069FA">
        <w:t>services</w:t>
      </w:r>
      <w:r w:rsidR="001C4C4A">
        <w:t xml:space="preserve"> (2.3.1)</w:t>
      </w:r>
    </w:p>
    <w:p w14:paraId="0E7EB114" w14:textId="4CFF5B31" w:rsidR="008A71FE" w:rsidRPr="00D069FA" w:rsidRDefault="008A71FE" w:rsidP="00D069FA">
      <w:pPr>
        <w:pStyle w:val="Bullet1"/>
      </w:pPr>
      <w:r w:rsidRPr="00D069FA">
        <w:t>Improved mental and physical health outcomes</w:t>
      </w:r>
      <w:r w:rsidR="00A20196">
        <w:t xml:space="preserve"> for LGBTIQA+ people (2.3.2)</w:t>
      </w:r>
    </w:p>
    <w:p w14:paraId="3EB1360E" w14:textId="0816CD16" w:rsidR="008A71FE" w:rsidRDefault="00022A20" w:rsidP="004A5CD5">
      <w:pPr>
        <w:pStyle w:val="Heading4"/>
      </w:pPr>
      <w:bookmarkStart w:id="90" w:name="_Toc161297315"/>
      <w:r w:rsidRPr="00AF38A4">
        <w:t>O</w:t>
      </w:r>
      <w:r w:rsidR="008A71FE" w:rsidRPr="00AF38A4">
        <w:t>utcomes</w:t>
      </w:r>
      <w:bookmarkEnd w:id="90"/>
    </w:p>
    <w:p w14:paraId="2F16DC1F" w14:textId="656D6A73" w:rsidR="008A71FE" w:rsidRPr="00F344A2" w:rsidRDefault="008A71FE" w:rsidP="008A71FE">
      <w:pPr>
        <w:pStyle w:val="Body"/>
        <w:rPr>
          <w:b/>
          <w:bCs/>
        </w:rPr>
      </w:pPr>
      <w:r w:rsidRPr="00F344A2">
        <w:rPr>
          <w:b/>
          <w:bCs/>
        </w:rPr>
        <w:t>Medium</w:t>
      </w:r>
      <w:r w:rsidR="00207CAB">
        <w:rPr>
          <w:b/>
          <w:bCs/>
        </w:rPr>
        <w:t>-</w:t>
      </w:r>
      <w:r w:rsidRPr="00F344A2">
        <w:rPr>
          <w:b/>
          <w:bCs/>
        </w:rPr>
        <w:t>term</w:t>
      </w:r>
    </w:p>
    <w:p w14:paraId="41E44047" w14:textId="3199B49D" w:rsidR="008A71FE" w:rsidRPr="00D069FA" w:rsidRDefault="008A71FE" w:rsidP="00D069FA">
      <w:pPr>
        <w:pStyle w:val="Bullet1"/>
      </w:pPr>
      <w:bookmarkStart w:id="91" w:name="OLE_LINK1"/>
      <w:bookmarkStart w:id="92" w:name="OLE_LINK2"/>
      <w:r w:rsidRPr="00D069FA">
        <w:t>Ser</w:t>
      </w:r>
      <w:r w:rsidR="00D069FA">
        <w:t>vic</w:t>
      </w:r>
      <w:r w:rsidRPr="00D069FA">
        <w:t>es are inclusive</w:t>
      </w:r>
      <w:r w:rsidR="00D069FA">
        <w:t>,</w:t>
      </w:r>
      <w:r w:rsidRPr="00D069FA">
        <w:t xml:space="preserve"> affirming and available</w:t>
      </w:r>
      <w:r w:rsidR="0002647C">
        <w:t xml:space="preserve"> </w:t>
      </w:r>
      <w:r w:rsidR="00DF7E6A">
        <w:t>to LGBTIQA+ people</w:t>
      </w:r>
      <w:r w:rsidRPr="00D069FA">
        <w:t xml:space="preserve"> (2.1)</w:t>
      </w:r>
    </w:p>
    <w:p w14:paraId="4CA47D5D" w14:textId="70B2C805" w:rsidR="008A71FE" w:rsidRPr="00D069FA" w:rsidRDefault="008A71FE" w:rsidP="00D069FA">
      <w:pPr>
        <w:pStyle w:val="Bullet1"/>
      </w:pPr>
      <w:r w:rsidRPr="00D069FA">
        <w:t xml:space="preserve">Equitable and effective services </w:t>
      </w:r>
      <w:r w:rsidR="006D7F94">
        <w:t>are provided to LGBTIQA+ people</w:t>
      </w:r>
      <w:r w:rsidR="006D7F94" w:rsidRPr="00D069FA" w:rsidDel="0002647C">
        <w:t xml:space="preserve"> </w:t>
      </w:r>
      <w:r w:rsidRPr="00D069FA">
        <w:t>(2.2)</w:t>
      </w:r>
    </w:p>
    <w:p w14:paraId="6F1509A9" w14:textId="7424453D" w:rsidR="008A71FE" w:rsidRPr="00D069FA" w:rsidRDefault="00BD4393" w:rsidP="00D069FA">
      <w:pPr>
        <w:pStyle w:val="Bullet1"/>
      </w:pPr>
      <w:r>
        <w:t>H</w:t>
      </w:r>
      <w:r w:rsidR="008A71FE" w:rsidRPr="00D069FA">
        <w:t>ealth and wellbeing services</w:t>
      </w:r>
      <w:r w:rsidR="005F6C7A" w:rsidRPr="005F6C7A">
        <w:t xml:space="preserve"> </w:t>
      </w:r>
      <w:r w:rsidR="005F6C7A">
        <w:t>support LGBTIQA+ people</w:t>
      </w:r>
      <w:r w:rsidR="008A71FE" w:rsidRPr="00D069FA">
        <w:t xml:space="preserve"> </w:t>
      </w:r>
      <w:r w:rsidR="0002647C">
        <w:t>to</w:t>
      </w:r>
      <w:r w:rsidR="0002647C" w:rsidRPr="00D069FA">
        <w:t xml:space="preserve"> </w:t>
      </w:r>
      <w:r w:rsidR="008A71FE" w:rsidRPr="00D069FA">
        <w:t>live the life they want (2.3)</w:t>
      </w:r>
    </w:p>
    <w:p w14:paraId="28FF56C9" w14:textId="77777777" w:rsidR="004F400F" w:rsidRDefault="004F400F" w:rsidP="004F400F">
      <w:pPr>
        <w:pStyle w:val="Heading4"/>
      </w:pPr>
      <w:bookmarkStart w:id="93" w:name="_Toc161297316"/>
      <w:bookmarkEnd w:id="91"/>
      <w:bookmarkEnd w:id="92"/>
      <w:r>
        <w:t>Domain 2 outcome</w:t>
      </w:r>
    </w:p>
    <w:p w14:paraId="66B13821" w14:textId="77777777" w:rsidR="004F400F" w:rsidRDefault="004F400F" w:rsidP="004F400F">
      <w:pPr>
        <w:pStyle w:val="Body"/>
      </w:pPr>
      <w:r>
        <w:t xml:space="preserve">LGBTIQA+ Victorians experience improved health and wellbeing. </w:t>
      </w:r>
    </w:p>
    <w:p w14:paraId="79546A82" w14:textId="6C058BAE" w:rsidR="008A71FE" w:rsidRDefault="00D069FA" w:rsidP="00AF38A4">
      <w:pPr>
        <w:pStyle w:val="Heading4"/>
      </w:pPr>
      <w:r>
        <w:t xml:space="preserve">Sign of </w:t>
      </w:r>
      <w:r w:rsidRPr="00AF38A4">
        <w:t>impact</w:t>
      </w:r>
      <w:bookmarkEnd w:id="93"/>
      <w:r>
        <w:t xml:space="preserve"> </w:t>
      </w:r>
    </w:p>
    <w:p w14:paraId="363B8E62" w14:textId="2504FBF8" w:rsidR="00A25326" w:rsidRDefault="000C2B97" w:rsidP="00B04844">
      <w:pPr>
        <w:pStyle w:val="Body"/>
      </w:pPr>
      <w:r>
        <w:t>The number</w:t>
      </w:r>
      <w:r w:rsidR="00D069FA" w:rsidRPr="00D069FA">
        <w:t xml:space="preserve"> </w:t>
      </w:r>
      <w:r w:rsidR="00AE0C9C">
        <w:t>LGBTIQA+</w:t>
      </w:r>
      <w:r w:rsidR="00D069FA" w:rsidRPr="00D069FA">
        <w:t xml:space="preserve"> people attempting suicide in the past 12 months </w:t>
      </w:r>
      <w:r w:rsidR="00060F1E">
        <w:t xml:space="preserve">has </w:t>
      </w:r>
      <w:r w:rsidRPr="00D069FA">
        <w:t>decreas</w:t>
      </w:r>
      <w:r>
        <w:t>ed</w:t>
      </w:r>
      <w:r w:rsidRPr="00D069FA">
        <w:t xml:space="preserve"> </w:t>
      </w:r>
      <w:r w:rsidR="00D069FA" w:rsidRPr="00D069FA">
        <w:t>from 5.2</w:t>
      </w:r>
      <w:r w:rsidR="006A15E5">
        <w:t>%</w:t>
      </w:r>
      <w:r w:rsidRPr="00D069FA">
        <w:t xml:space="preserve"> </w:t>
      </w:r>
      <w:r w:rsidR="00D069FA" w:rsidRPr="00D069FA">
        <w:t>of adults and 9.4</w:t>
      </w:r>
      <w:r w:rsidR="006A15E5">
        <w:t>%</w:t>
      </w:r>
      <w:r w:rsidRPr="00D069FA">
        <w:t xml:space="preserve"> </w:t>
      </w:r>
      <w:r w:rsidR="00D069FA" w:rsidRPr="00D069FA">
        <w:t>of young Victorians</w:t>
      </w:r>
      <w:r w:rsidR="009A1095">
        <w:rPr>
          <w:rStyle w:val="FootnoteReference"/>
        </w:rPr>
        <w:footnoteReference w:id="13"/>
      </w:r>
      <w:r w:rsidR="00FA2004">
        <w:t>.</w:t>
      </w:r>
      <w:r w:rsidR="00D069FA" w:rsidRPr="00D069FA">
        <w:t xml:space="preserve"> </w:t>
      </w:r>
      <w:r w:rsidR="00B4172D">
        <w:t xml:space="preserve"> </w:t>
      </w:r>
    </w:p>
    <w:p w14:paraId="442C61FE" w14:textId="053FE3B8" w:rsidR="00D069FA" w:rsidRDefault="0084074A" w:rsidP="00F344A2">
      <w:pPr>
        <w:pStyle w:val="Heading3"/>
      </w:pPr>
      <w:r>
        <w:t>O</w:t>
      </w:r>
      <w:r w:rsidR="00D069FA" w:rsidRPr="00876E56">
        <w:t>utcomes</w:t>
      </w:r>
      <w:r w:rsidR="00D069FA">
        <w:t>, indicators and measures</w:t>
      </w:r>
      <w:r w:rsidR="00D069FA" w:rsidRPr="00B354B2">
        <w:t xml:space="preserve"> </w:t>
      </w:r>
    </w:p>
    <w:p w14:paraId="3E0E1A27" w14:textId="40DDDD25" w:rsidR="00D069FA" w:rsidRDefault="00D069FA" w:rsidP="00F344A2">
      <w:pPr>
        <w:pStyle w:val="Heading4"/>
      </w:pPr>
      <w:bookmarkStart w:id="94" w:name="_Toc161297318"/>
      <w:r>
        <w:t xml:space="preserve">Outcome 2.1: </w:t>
      </w:r>
      <w:r w:rsidRPr="00D069FA">
        <w:t>Services</w:t>
      </w:r>
      <w:r>
        <w:t xml:space="preserve"> are inclusive, affirming and available</w:t>
      </w:r>
      <w:bookmarkEnd w:id="94"/>
    </w:p>
    <w:p w14:paraId="3F99719F" w14:textId="15630F90" w:rsidR="00D069FA" w:rsidRPr="00D069FA" w:rsidRDefault="00D069FA" w:rsidP="00F344A2">
      <w:pPr>
        <w:pStyle w:val="Heading5"/>
      </w:pPr>
      <w:bookmarkStart w:id="95" w:name="_Toc161297319"/>
      <w:r>
        <w:t xml:space="preserve">Outcome indicator 2.1.1: Increased commitment </w:t>
      </w:r>
      <w:r w:rsidRPr="00D069FA">
        <w:t>of</w:t>
      </w:r>
      <w:r>
        <w:t xml:space="preserve"> mainstream services to be </w:t>
      </w:r>
      <w:r w:rsidR="00E62083">
        <w:t xml:space="preserve">LGBTIQA+ </w:t>
      </w:r>
      <w:r>
        <w:t>inclusive</w:t>
      </w:r>
      <w:bookmarkEnd w:id="95"/>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D069FA" w14:paraId="14DF934C" w14:textId="77777777" w:rsidTr="00D069FA">
        <w:trPr>
          <w:tblHeader/>
        </w:trPr>
        <w:tc>
          <w:tcPr>
            <w:tcW w:w="4644" w:type="dxa"/>
          </w:tcPr>
          <w:p w14:paraId="2EB65DB4" w14:textId="5B2B5EB3" w:rsidR="00D069FA" w:rsidRPr="00D069FA" w:rsidRDefault="00D069FA" w:rsidP="00D069FA">
            <w:pPr>
              <w:pStyle w:val="Tablecolhead"/>
            </w:pPr>
            <w:r w:rsidRPr="00D069FA">
              <w:t>Measure</w:t>
            </w:r>
          </w:p>
        </w:tc>
        <w:tc>
          <w:tcPr>
            <w:tcW w:w="4644" w:type="dxa"/>
          </w:tcPr>
          <w:p w14:paraId="25359D48" w14:textId="2A7DEC03" w:rsidR="00D069FA" w:rsidRPr="00D069FA" w:rsidRDefault="00D069FA" w:rsidP="00D069FA">
            <w:pPr>
              <w:pStyle w:val="Tablecolhead"/>
            </w:pPr>
            <w:r w:rsidRPr="00D069FA">
              <w:t>Data source</w:t>
            </w:r>
          </w:p>
        </w:tc>
      </w:tr>
      <w:tr w:rsidR="00D069FA" w14:paraId="1B70A13A" w14:textId="77777777" w:rsidTr="00D069FA">
        <w:tc>
          <w:tcPr>
            <w:tcW w:w="4644" w:type="dxa"/>
          </w:tcPr>
          <w:p w14:paraId="3090C165" w14:textId="062EBB59" w:rsidR="00D069FA" w:rsidRDefault="00D069FA" w:rsidP="00D069FA">
            <w:pPr>
              <w:pStyle w:val="Body"/>
            </w:pPr>
            <w:r w:rsidRPr="00D069FA">
              <w:t>Number of services who have</w:t>
            </w:r>
            <w:r w:rsidR="008E5A59">
              <w:t xml:space="preserve"> </w:t>
            </w:r>
            <w:r w:rsidR="006E0916">
              <w:t>signed up for</w:t>
            </w:r>
            <w:r w:rsidR="00E31D95">
              <w:t xml:space="preserve"> or</w:t>
            </w:r>
            <w:r w:rsidRPr="00D069FA">
              <w:t xml:space="preserve"> </w:t>
            </w:r>
            <w:r w:rsidR="00EC54CA">
              <w:t>achieved</w:t>
            </w:r>
            <w:r w:rsidRPr="00D069FA">
              <w:t xml:space="preserve"> Rainbow Tick accreditation </w:t>
            </w:r>
          </w:p>
        </w:tc>
        <w:tc>
          <w:tcPr>
            <w:tcW w:w="4644" w:type="dxa"/>
          </w:tcPr>
          <w:p w14:paraId="3C581D81" w14:textId="09E6CFE1" w:rsidR="00D069FA" w:rsidRDefault="00D069FA" w:rsidP="00D069FA">
            <w:pPr>
              <w:pStyle w:val="Body"/>
            </w:pPr>
            <w:r w:rsidRPr="00D069FA">
              <w:t xml:space="preserve">Rainbow Health Australia </w:t>
            </w:r>
          </w:p>
        </w:tc>
      </w:tr>
      <w:tr w:rsidR="00D069FA" w14:paraId="6AD37549" w14:textId="77777777" w:rsidTr="00D069FA">
        <w:tc>
          <w:tcPr>
            <w:tcW w:w="4644" w:type="dxa"/>
          </w:tcPr>
          <w:p w14:paraId="4AE5ECDC" w14:textId="49D5F429" w:rsidR="00D069FA" w:rsidRDefault="00D069FA" w:rsidP="00D069FA">
            <w:pPr>
              <w:pStyle w:val="Body"/>
            </w:pPr>
            <w:r w:rsidRPr="00D069FA">
              <w:t>Number of services that have completed the H</w:t>
            </w:r>
            <w:r w:rsidR="00B66D64">
              <w:t>ow</w:t>
            </w:r>
            <w:r w:rsidRPr="00D069FA">
              <w:t xml:space="preserve">2 </w:t>
            </w:r>
            <w:r w:rsidR="006E0916">
              <w:t xml:space="preserve">inclusion </w:t>
            </w:r>
            <w:r w:rsidR="004B530D">
              <w:t>training</w:t>
            </w:r>
            <w:r w:rsidR="004B530D" w:rsidRPr="00D069FA">
              <w:t xml:space="preserve"> </w:t>
            </w:r>
            <w:r w:rsidR="002F5500">
              <w:t xml:space="preserve">program </w:t>
            </w:r>
            <w:r w:rsidRPr="00D069FA">
              <w:t xml:space="preserve">or similar </w:t>
            </w:r>
            <w:r w:rsidR="00AE0C9C">
              <w:t>LGBTIQA+</w:t>
            </w:r>
            <w:r w:rsidRPr="00D069FA">
              <w:t xml:space="preserve"> inclusion training</w:t>
            </w:r>
          </w:p>
        </w:tc>
        <w:tc>
          <w:tcPr>
            <w:tcW w:w="4644" w:type="dxa"/>
          </w:tcPr>
          <w:p w14:paraId="71BC9600" w14:textId="5522983E" w:rsidR="00D069FA" w:rsidRDefault="00D069FA" w:rsidP="00D069FA">
            <w:pPr>
              <w:pStyle w:val="Body"/>
            </w:pPr>
            <w:r w:rsidRPr="00D069FA">
              <w:t>Rainbow Health Australia</w:t>
            </w:r>
            <w:r w:rsidR="00FB7F0A">
              <w:t xml:space="preserve"> and/or </w:t>
            </w:r>
            <w:r w:rsidR="00EC54CA">
              <w:t>Victorian Govern</w:t>
            </w:r>
            <w:r w:rsidR="0002647C">
              <w:t>me</w:t>
            </w:r>
            <w:r w:rsidR="00EC54CA">
              <w:t>n</w:t>
            </w:r>
            <w:r w:rsidR="0002647C">
              <w:t>t</w:t>
            </w:r>
            <w:r w:rsidR="00EC54CA">
              <w:t xml:space="preserve"> and</w:t>
            </w:r>
            <w:r w:rsidRPr="00D069FA">
              <w:t xml:space="preserve"> services reporting</w:t>
            </w:r>
          </w:p>
        </w:tc>
      </w:tr>
      <w:tr w:rsidR="00D069FA" w14:paraId="3C05E2CC" w14:textId="77777777" w:rsidTr="00D069FA">
        <w:tc>
          <w:tcPr>
            <w:tcW w:w="4644" w:type="dxa"/>
          </w:tcPr>
          <w:p w14:paraId="53A930B1" w14:textId="7E191C83" w:rsidR="00D069FA" w:rsidRPr="00D069FA" w:rsidRDefault="00D069FA" w:rsidP="00D069FA">
            <w:pPr>
              <w:pStyle w:val="Body"/>
            </w:pPr>
            <w:r w:rsidRPr="00D069FA">
              <w:t>Proportion of Victorian Government funding agreements that include criteria that address</w:t>
            </w:r>
            <w:r w:rsidR="00EC54CA">
              <w:t xml:space="preserve"> </w:t>
            </w:r>
            <w:r w:rsidR="00AE0C9C">
              <w:t>LGBTIQA+</w:t>
            </w:r>
            <w:r w:rsidRPr="00D069FA">
              <w:t xml:space="preserve"> inclusion</w:t>
            </w:r>
          </w:p>
        </w:tc>
        <w:tc>
          <w:tcPr>
            <w:tcW w:w="4644" w:type="dxa"/>
          </w:tcPr>
          <w:p w14:paraId="1CBDE4F9" w14:textId="3E718944" w:rsidR="00D069FA" w:rsidRPr="00D069FA" w:rsidRDefault="00D069FA" w:rsidP="00D069FA">
            <w:pPr>
              <w:pStyle w:val="Body"/>
            </w:pPr>
            <w:r w:rsidRPr="00D069FA">
              <w:t xml:space="preserve">Victorian Government </w:t>
            </w:r>
          </w:p>
        </w:tc>
      </w:tr>
    </w:tbl>
    <w:p w14:paraId="2D4E06E2" w14:textId="4D739E3A" w:rsidR="00D069FA" w:rsidRDefault="00D069FA" w:rsidP="00F344A2">
      <w:pPr>
        <w:pStyle w:val="Heading5"/>
      </w:pPr>
      <w:bookmarkStart w:id="96" w:name="_Toc161297320"/>
      <w:r w:rsidRPr="00D069FA">
        <w:t xml:space="preserve">Outcome </w:t>
      </w:r>
      <w:r>
        <w:t xml:space="preserve">indicator </w:t>
      </w:r>
      <w:r w:rsidRPr="00D069FA">
        <w:t>2.1.2: Improved availability of inclusive and affirming services</w:t>
      </w:r>
      <w:r>
        <w:rPr>
          <w:rStyle w:val="FootnoteReference"/>
        </w:rPr>
        <w:footnoteReference w:id="14"/>
      </w:r>
      <w:bookmarkEnd w:id="96"/>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D069FA" w:rsidRPr="00D069FA" w14:paraId="14033FBD" w14:textId="77777777" w:rsidTr="004A5CD5">
        <w:trPr>
          <w:tblHeader/>
        </w:trPr>
        <w:tc>
          <w:tcPr>
            <w:tcW w:w="4644" w:type="dxa"/>
          </w:tcPr>
          <w:p w14:paraId="302E3CF6" w14:textId="77777777" w:rsidR="00D069FA" w:rsidRPr="00D069FA" w:rsidRDefault="00D069FA">
            <w:pPr>
              <w:pStyle w:val="Tablecolhead"/>
            </w:pPr>
            <w:r w:rsidRPr="00D069FA">
              <w:t>Measure</w:t>
            </w:r>
          </w:p>
        </w:tc>
        <w:tc>
          <w:tcPr>
            <w:tcW w:w="4644" w:type="dxa"/>
          </w:tcPr>
          <w:p w14:paraId="78E5693D" w14:textId="77777777" w:rsidR="00D069FA" w:rsidRPr="00D069FA" w:rsidRDefault="00D069FA">
            <w:pPr>
              <w:pStyle w:val="Tablecolhead"/>
            </w:pPr>
            <w:r w:rsidRPr="00D069FA">
              <w:t>Data source</w:t>
            </w:r>
          </w:p>
        </w:tc>
      </w:tr>
      <w:tr w:rsidR="00D069FA" w14:paraId="0043DB6C" w14:textId="77777777" w:rsidTr="00D069FA">
        <w:tc>
          <w:tcPr>
            <w:tcW w:w="4644" w:type="dxa"/>
          </w:tcPr>
          <w:p w14:paraId="5BB0E709" w14:textId="6CA802CB" w:rsidR="00D069FA" w:rsidRPr="00D069FA" w:rsidRDefault="00D069FA" w:rsidP="00D069FA">
            <w:pPr>
              <w:pStyle w:val="Tabletext6pt"/>
            </w:pPr>
            <w:bookmarkStart w:id="97" w:name="_Hlk177720137"/>
            <w:r w:rsidRPr="00D069FA">
              <w:t xml:space="preserve">Proportion of </w:t>
            </w:r>
            <w:r w:rsidR="00AE0C9C">
              <w:t>LGBTIQA+</w:t>
            </w:r>
            <w:r w:rsidRPr="00D069FA">
              <w:t xml:space="preserve"> Victorians who report that they have access to inclusive and affirming services</w:t>
            </w:r>
            <w:r w:rsidR="00BF6F31">
              <w:t xml:space="preserve"> when requir</w:t>
            </w:r>
            <w:r w:rsidR="00C6620F">
              <w:t>ed</w:t>
            </w:r>
            <w:r w:rsidRPr="00D069FA">
              <w:t xml:space="preserve"> </w:t>
            </w:r>
          </w:p>
        </w:tc>
        <w:tc>
          <w:tcPr>
            <w:tcW w:w="4644" w:type="dxa"/>
          </w:tcPr>
          <w:p w14:paraId="2C9C3902" w14:textId="2711FA78" w:rsidR="00D069FA" w:rsidRPr="00D069FA" w:rsidRDefault="000F1AD6" w:rsidP="00D069FA">
            <w:pPr>
              <w:pStyle w:val="Tabletext6pt"/>
            </w:pPr>
            <w:r>
              <w:t>To be determined</w:t>
            </w:r>
          </w:p>
        </w:tc>
      </w:tr>
      <w:tr w:rsidR="00D069FA" w14:paraId="18F43B6A" w14:textId="77777777" w:rsidTr="00D069FA">
        <w:tc>
          <w:tcPr>
            <w:tcW w:w="4644" w:type="dxa"/>
          </w:tcPr>
          <w:p w14:paraId="46455B9B" w14:textId="3EC1C08D" w:rsidR="00D069FA" w:rsidRPr="00D069FA" w:rsidRDefault="00D069FA" w:rsidP="00D069FA">
            <w:pPr>
              <w:pStyle w:val="Tabletext6pt"/>
            </w:pPr>
            <w:r w:rsidRPr="00D069FA">
              <w:t xml:space="preserve">Proportion of </w:t>
            </w:r>
            <w:r w:rsidR="00AE0C9C">
              <w:t>LGBTIQA+</w:t>
            </w:r>
            <w:r w:rsidRPr="00D069FA">
              <w:t xml:space="preserve"> Victorians who report that they receive inclusive and affirming treatment at mainstream services</w:t>
            </w:r>
          </w:p>
        </w:tc>
        <w:tc>
          <w:tcPr>
            <w:tcW w:w="4644" w:type="dxa"/>
          </w:tcPr>
          <w:p w14:paraId="6DD82AF0" w14:textId="407A18B0" w:rsidR="00D069FA" w:rsidRPr="00D069FA" w:rsidRDefault="000F1AD6" w:rsidP="00D069FA">
            <w:pPr>
              <w:pStyle w:val="Tabletext6pt"/>
            </w:pPr>
            <w:r>
              <w:t>To be determined</w:t>
            </w:r>
          </w:p>
        </w:tc>
      </w:tr>
      <w:tr w:rsidR="00D069FA" w:rsidRPr="00D069FA" w14:paraId="7640F006" w14:textId="77777777" w:rsidTr="00D069FA">
        <w:tc>
          <w:tcPr>
            <w:tcW w:w="4644" w:type="dxa"/>
          </w:tcPr>
          <w:p w14:paraId="6C981F81" w14:textId="076862DC" w:rsidR="00D069FA" w:rsidRPr="00D069FA" w:rsidRDefault="00D069FA" w:rsidP="00D069FA">
            <w:pPr>
              <w:pStyle w:val="Tabletext6pt"/>
            </w:pPr>
            <w:r w:rsidRPr="00D069FA">
              <w:t xml:space="preserve">Proportion of </w:t>
            </w:r>
            <w:r w:rsidR="00AE0C9C">
              <w:t>LGBTIQA+</w:t>
            </w:r>
            <w:r w:rsidRPr="00D069FA">
              <w:t xml:space="preserve"> Victorians who </w:t>
            </w:r>
            <w:r w:rsidR="00ED0A01">
              <w:t xml:space="preserve">report that they have </w:t>
            </w:r>
            <w:r w:rsidRPr="00D069FA">
              <w:t xml:space="preserve">experienced discrimination </w:t>
            </w:r>
            <w:r w:rsidR="00EC54CA">
              <w:t>in the health system</w:t>
            </w:r>
            <w:r w:rsidRPr="00D069FA">
              <w:t xml:space="preserve"> in the </w:t>
            </w:r>
            <w:r w:rsidR="00060F1E">
              <w:t>p</w:t>
            </w:r>
            <w:r w:rsidR="00060F1E" w:rsidRPr="00D069FA">
              <w:t xml:space="preserve">ast </w:t>
            </w:r>
            <w:r w:rsidRPr="00D069FA">
              <w:t xml:space="preserve">12 months </w:t>
            </w:r>
          </w:p>
        </w:tc>
        <w:tc>
          <w:tcPr>
            <w:tcW w:w="4644" w:type="dxa"/>
          </w:tcPr>
          <w:p w14:paraId="22FD9B71" w14:textId="002BA906" w:rsidR="00D069FA" w:rsidRPr="00D069FA" w:rsidRDefault="00D069FA" w:rsidP="00D069FA">
            <w:pPr>
              <w:pStyle w:val="Tabletext6pt"/>
            </w:pPr>
            <w:r w:rsidRPr="00D069FA">
              <w:t>Vic</w:t>
            </w:r>
            <w:r w:rsidR="00EC54CA">
              <w:t>torian</w:t>
            </w:r>
            <w:r w:rsidRPr="00D069FA">
              <w:t xml:space="preserve"> Pop</w:t>
            </w:r>
            <w:r w:rsidR="00EC54CA">
              <w:t>ulation</w:t>
            </w:r>
            <w:r w:rsidRPr="00D069FA">
              <w:t xml:space="preserve"> Health Survey</w:t>
            </w:r>
            <w:r w:rsidR="00FB7F0A">
              <w:rPr>
                <w:rStyle w:val="FootnoteReference"/>
              </w:rPr>
              <w:footnoteReference w:id="15"/>
            </w:r>
          </w:p>
        </w:tc>
      </w:tr>
      <w:tr w:rsidR="00D069FA" w:rsidRPr="00D069FA" w14:paraId="52410D85" w14:textId="77777777" w:rsidTr="00D069FA">
        <w:tc>
          <w:tcPr>
            <w:tcW w:w="4644" w:type="dxa"/>
          </w:tcPr>
          <w:p w14:paraId="431D7216" w14:textId="4D326F00" w:rsidR="00D069FA" w:rsidRPr="00D069FA" w:rsidRDefault="00E220FA" w:rsidP="00D069FA">
            <w:pPr>
              <w:pStyle w:val="Tabletext6pt"/>
            </w:pPr>
            <w:r>
              <w:t>Proportion of</w:t>
            </w:r>
            <w:r w:rsidRPr="00D069FA">
              <w:t xml:space="preserve"> </w:t>
            </w:r>
            <w:r w:rsidR="00AE0C9C">
              <w:t>LGBTIQA+</w:t>
            </w:r>
            <w:r w:rsidR="00D069FA" w:rsidRPr="00D069FA">
              <w:t xml:space="preserve"> people </w:t>
            </w:r>
            <w:r>
              <w:t>who report a preference</w:t>
            </w:r>
            <w:r w:rsidRPr="00D069FA">
              <w:t xml:space="preserve"> </w:t>
            </w:r>
            <w:r w:rsidR="00D069FA" w:rsidRPr="00D069FA">
              <w:t xml:space="preserve">to access </w:t>
            </w:r>
            <w:r>
              <w:t xml:space="preserve">inclusive mainstream </w:t>
            </w:r>
            <w:r w:rsidR="00D069FA" w:rsidRPr="00D069FA">
              <w:t xml:space="preserve">services in the future  </w:t>
            </w:r>
          </w:p>
        </w:tc>
        <w:tc>
          <w:tcPr>
            <w:tcW w:w="4644" w:type="dxa"/>
          </w:tcPr>
          <w:p w14:paraId="5BAE8C16" w14:textId="40CD08F2" w:rsidR="00D069FA" w:rsidRPr="00D069FA" w:rsidRDefault="000F1AD6" w:rsidP="00D069FA">
            <w:pPr>
              <w:pStyle w:val="Tabletext6pt"/>
            </w:pPr>
            <w:r>
              <w:t>To be determined</w:t>
            </w:r>
          </w:p>
        </w:tc>
      </w:tr>
    </w:tbl>
    <w:p w14:paraId="01B5A2AB" w14:textId="22D9371B" w:rsidR="00D069FA" w:rsidRDefault="00D069FA" w:rsidP="00F344A2">
      <w:pPr>
        <w:pStyle w:val="Heading4"/>
      </w:pPr>
      <w:bookmarkStart w:id="98" w:name="_Toc161297321"/>
      <w:bookmarkEnd w:id="97"/>
      <w:r>
        <w:t xml:space="preserve">Outcome 2.2: </w:t>
      </w:r>
      <w:r w:rsidRPr="00D069FA">
        <w:t>Equitable</w:t>
      </w:r>
      <w:r>
        <w:t xml:space="preserve"> and effective services</w:t>
      </w:r>
      <w:bookmarkEnd w:id="98"/>
      <w:r w:rsidR="00E827B9">
        <w:t xml:space="preserve"> are provided to LGBTIQA+ people</w:t>
      </w:r>
    </w:p>
    <w:p w14:paraId="38ADC61C" w14:textId="30E466BF" w:rsidR="00D069FA" w:rsidRDefault="00D069FA" w:rsidP="00F344A2">
      <w:pPr>
        <w:pStyle w:val="Heading5"/>
      </w:pPr>
      <w:bookmarkStart w:id="99" w:name="_Toc161297322"/>
      <w:r w:rsidRPr="00393345">
        <w:t>Outcome indicator 2.2.1</w:t>
      </w:r>
      <w:r w:rsidR="00393345" w:rsidRPr="00393345">
        <w:t xml:space="preserve">: </w:t>
      </w:r>
      <w:r w:rsidR="00A31DDD">
        <w:t>Increased number of</w:t>
      </w:r>
      <w:r w:rsidR="00393345" w:rsidRPr="00393345">
        <w:t xml:space="preserve"> services designed with </w:t>
      </w:r>
      <w:r w:rsidR="00AE0C9C">
        <w:t>LGBTIQA+</w:t>
      </w:r>
      <w:r w:rsidR="00393345" w:rsidRPr="00393345">
        <w:t xml:space="preserve"> people in mind</w:t>
      </w:r>
      <w:r w:rsidR="00393345">
        <w:rPr>
          <w:rStyle w:val="FootnoteReference"/>
        </w:rPr>
        <w:footnoteReference w:id="16"/>
      </w:r>
      <w:bookmarkEnd w:id="99"/>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393345" w:rsidRPr="00D069FA" w14:paraId="6A9C982E" w14:textId="77777777" w:rsidTr="004A5CD5">
        <w:trPr>
          <w:tblHeader/>
        </w:trPr>
        <w:tc>
          <w:tcPr>
            <w:tcW w:w="4644" w:type="dxa"/>
          </w:tcPr>
          <w:p w14:paraId="27FFF598" w14:textId="77777777" w:rsidR="00393345" w:rsidRPr="00D069FA" w:rsidRDefault="00393345">
            <w:pPr>
              <w:pStyle w:val="Tablecolhead"/>
            </w:pPr>
            <w:r w:rsidRPr="00D069FA">
              <w:t>Measure</w:t>
            </w:r>
          </w:p>
        </w:tc>
        <w:tc>
          <w:tcPr>
            <w:tcW w:w="4644" w:type="dxa"/>
          </w:tcPr>
          <w:p w14:paraId="217D9A7E" w14:textId="77777777" w:rsidR="00393345" w:rsidRPr="00D069FA" w:rsidRDefault="00393345">
            <w:pPr>
              <w:pStyle w:val="Tablecolhead"/>
            </w:pPr>
            <w:r w:rsidRPr="00D069FA">
              <w:t>Data source</w:t>
            </w:r>
          </w:p>
        </w:tc>
      </w:tr>
      <w:tr w:rsidR="00393345" w:rsidRPr="00D069FA" w14:paraId="1804ADAE" w14:textId="77777777">
        <w:tc>
          <w:tcPr>
            <w:tcW w:w="4644" w:type="dxa"/>
          </w:tcPr>
          <w:p w14:paraId="148716B2" w14:textId="3C5CFDA6" w:rsidR="00393345" w:rsidRPr="00393345" w:rsidRDefault="00393345" w:rsidP="00393345">
            <w:pPr>
              <w:pStyle w:val="Tabletext6pt"/>
            </w:pPr>
            <w:r w:rsidRPr="00393345">
              <w:t xml:space="preserve">Proportion of services </w:t>
            </w:r>
            <w:r w:rsidR="00A35A9E">
              <w:t xml:space="preserve">designed </w:t>
            </w:r>
            <w:r w:rsidR="00060F1E">
              <w:t>for</w:t>
            </w:r>
            <w:r w:rsidRPr="00393345">
              <w:t xml:space="preserve"> </w:t>
            </w:r>
            <w:r w:rsidR="00AE0C9C">
              <w:t>LGBTIQA+</w:t>
            </w:r>
            <w:r w:rsidRPr="00393345">
              <w:t xml:space="preserve"> people, by service type </w:t>
            </w:r>
          </w:p>
        </w:tc>
        <w:tc>
          <w:tcPr>
            <w:tcW w:w="4644" w:type="dxa"/>
          </w:tcPr>
          <w:p w14:paraId="1D7E796B" w14:textId="1C66E976" w:rsidR="00393345" w:rsidRPr="00393345" w:rsidRDefault="000F1AD6" w:rsidP="00393345">
            <w:pPr>
              <w:pStyle w:val="Tabletext6pt"/>
            </w:pPr>
            <w:r>
              <w:t>To be determined</w:t>
            </w:r>
          </w:p>
        </w:tc>
      </w:tr>
      <w:tr w:rsidR="00393345" w:rsidRPr="00D069FA" w14:paraId="2F91E067" w14:textId="77777777">
        <w:tc>
          <w:tcPr>
            <w:tcW w:w="4644" w:type="dxa"/>
          </w:tcPr>
          <w:p w14:paraId="06879B58" w14:textId="253F9836" w:rsidR="00393345" w:rsidRPr="00393345" w:rsidRDefault="00393345" w:rsidP="00393345">
            <w:pPr>
              <w:pStyle w:val="Tabletext6pt"/>
            </w:pPr>
            <w:r w:rsidRPr="00393345">
              <w:t xml:space="preserve">Proportion of services </w:t>
            </w:r>
            <w:r w:rsidR="0002647C">
              <w:t>with</w:t>
            </w:r>
            <w:r w:rsidR="0002647C" w:rsidRPr="00393345">
              <w:t xml:space="preserve"> </w:t>
            </w:r>
            <w:r w:rsidRPr="00393345">
              <w:t xml:space="preserve">practice guidelines </w:t>
            </w:r>
            <w:r w:rsidR="0002647C">
              <w:t xml:space="preserve">that </w:t>
            </w:r>
            <w:r w:rsidRPr="00393345">
              <w:t xml:space="preserve">consider </w:t>
            </w:r>
            <w:r w:rsidR="00AE0C9C">
              <w:t>LGBTIQA+</w:t>
            </w:r>
            <w:r w:rsidRPr="00393345">
              <w:t xml:space="preserve"> people </w:t>
            </w:r>
          </w:p>
        </w:tc>
        <w:tc>
          <w:tcPr>
            <w:tcW w:w="4644" w:type="dxa"/>
          </w:tcPr>
          <w:p w14:paraId="1B5F3C1D" w14:textId="1A810F1F" w:rsidR="00393345" w:rsidRPr="00393345" w:rsidRDefault="000F1AD6" w:rsidP="00581E3C">
            <w:pPr>
              <w:pStyle w:val="Tabletext6pt"/>
            </w:pPr>
            <w:r>
              <w:t>To be determined</w:t>
            </w:r>
            <w:r w:rsidR="006013F4">
              <w:rPr>
                <w:rStyle w:val="FootnoteReference"/>
              </w:rPr>
              <w:footnoteReference w:id="17"/>
            </w:r>
            <w:r w:rsidR="004C40F8">
              <w:t xml:space="preserve"> </w:t>
            </w:r>
          </w:p>
        </w:tc>
      </w:tr>
    </w:tbl>
    <w:p w14:paraId="7F9C2745" w14:textId="1ABB3C14" w:rsidR="00393345" w:rsidRDefault="00393345" w:rsidP="00F344A2">
      <w:pPr>
        <w:pStyle w:val="Heading5"/>
      </w:pPr>
      <w:bookmarkStart w:id="100" w:name="_Toc161297323"/>
      <w:r>
        <w:t xml:space="preserve">Outcome indicator 2.2.2: Increased </w:t>
      </w:r>
      <w:r w:rsidRPr="00393345">
        <w:t>satisfaction</w:t>
      </w:r>
      <w:r>
        <w:t xml:space="preserve"> with services</w:t>
      </w:r>
      <w:r>
        <w:rPr>
          <w:rStyle w:val="FootnoteReference"/>
        </w:rPr>
        <w:footnoteReference w:id="18"/>
      </w:r>
      <w:bookmarkEnd w:id="100"/>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393345" w:rsidRPr="00D069FA" w14:paraId="767B7E60" w14:textId="77777777" w:rsidTr="004A5CD5">
        <w:trPr>
          <w:tblHeader/>
        </w:trPr>
        <w:tc>
          <w:tcPr>
            <w:tcW w:w="4644" w:type="dxa"/>
          </w:tcPr>
          <w:p w14:paraId="2A885429" w14:textId="77777777" w:rsidR="00393345" w:rsidRPr="00D069FA" w:rsidRDefault="00393345">
            <w:pPr>
              <w:pStyle w:val="Tablecolhead"/>
            </w:pPr>
            <w:r w:rsidRPr="00D069FA">
              <w:t>Measure</w:t>
            </w:r>
          </w:p>
        </w:tc>
        <w:tc>
          <w:tcPr>
            <w:tcW w:w="4644" w:type="dxa"/>
          </w:tcPr>
          <w:p w14:paraId="4B116C7B" w14:textId="77777777" w:rsidR="00393345" w:rsidRPr="00D069FA" w:rsidRDefault="00393345">
            <w:pPr>
              <w:pStyle w:val="Tablecolhead"/>
            </w:pPr>
            <w:r w:rsidRPr="00D069FA">
              <w:t>Data source</w:t>
            </w:r>
          </w:p>
        </w:tc>
      </w:tr>
      <w:tr w:rsidR="00393345" w:rsidRPr="00393345" w14:paraId="1A1FD1AB" w14:textId="77777777">
        <w:tc>
          <w:tcPr>
            <w:tcW w:w="4644" w:type="dxa"/>
          </w:tcPr>
          <w:p w14:paraId="7AAC24F4" w14:textId="483148FF" w:rsidR="00393345" w:rsidRPr="00393345" w:rsidRDefault="00393345" w:rsidP="00393345">
            <w:pPr>
              <w:pStyle w:val="Tabletext6pt"/>
            </w:pPr>
            <w:r w:rsidRPr="00393345">
              <w:t xml:space="preserve">Proportion of </w:t>
            </w:r>
            <w:r w:rsidR="00AE0C9C">
              <w:t>LGBTIQA+</w:t>
            </w:r>
            <w:r w:rsidRPr="00393345">
              <w:t xml:space="preserve"> Victorians </w:t>
            </w:r>
            <w:r w:rsidR="0002647C">
              <w:t>who</w:t>
            </w:r>
            <w:r w:rsidR="00656C2F">
              <w:t xml:space="preserve"> report </w:t>
            </w:r>
            <w:r w:rsidR="006629D2">
              <w:t>they</w:t>
            </w:r>
            <w:r w:rsidR="0002647C">
              <w:t xml:space="preserve"> </w:t>
            </w:r>
            <w:r w:rsidRPr="00393345">
              <w:t>feel services</w:t>
            </w:r>
            <w:r w:rsidR="006629D2">
              <w:t xml:space="preserve"> they have used or are referred to</w:t>
            </w:r>
            <w:r w:rsidRPr="00393345">
              <w:t xml:space="preserve"> are inclusive </w:t>
            </w:r>
          </w:p>
        </w:tc>
        <w:tc>
          <w:tcPr>
            <w:tcW w:w="4644" w:type="dxa"/>
          </w:tcPr>
          <w:p w14:paraId="39129D0D" w14:textId="0C264104" w:rsidR="00393345" w:rsidRPr="00393345" w:rsidRDefault="003A61F3" w:rsidP="00393345">
            <w:pPr>
              <w:pStyle w:val="Tabletext6pt"/>
            </w:pPr>
            <w:r>
              <w:t>To be determined</w:t>
            </w:r>
            <w:r w:rsidR="007E4307">
              <w:rPr>
                <w:rStyle w:val="FootnoteReference"/>
              </w:rPr>
              <w:footnoteReference w:id="19"/>
            </w:r>
            <w:r w:rsidR="00ED0A01">
              <w:t xml:space="preserve"> </w:t>
            </w:r>
          </w:p>
        </w:tc>
      </w:tr>
      <w:tr w:rsidR="00393345" w:rsidRPr="00393345" w14:paraId="6492DA12" w14:textId="77777777">
        <w:tc>
          <w:tcPr>
            <w:tcW w:w="4644" w:type="dxa"/>
          </w:tcPr>
          <w:p w14:paraId="51BB4DB5" w14:textId="5A42139D" w:rsidR="00393345" w:rsidRPr="00393345" w:rsidRDefault="00393345" w:rsidP="00393345">
            <w:pPr>
              <w:pStyle w:val="Tabletext6pt"/>
            </w:pPr>
            <w:r w:rsidRPr="00393345">
              <w:t xml:space="preserve">Proportion of </w:t>
            </w:r>
            <w:r w:rsidR="00AE0C9C">
              <w:t>LGBTIQA+</w:t>
            </w:r>
            <w:r w:rsidRPr="00393345">
              <w:t xml:space="preserve"> Victorians satisfied that services meet their needs </w:t>
            </w:r>
          </w:p>
        </w:tc>
        <w:tc>
          <w:tcPr>
            <w:tcW w:w="4644" w:type="dxa"/>
          </w:tcPr>
          <w:p w14:paraId="51D49CDE" w14:textId="306FB455" w:rsidR="00393345" w:rsidRPr="00393345" w:rsidRDefault="003A61F3" w:rsidP="00393345">
            <w:pPr>
              <w:pStyle w:val="Tabletext6pt"/>
            </w:pPr>
            <w:r>
              <w:t>To be determined</w:t>
            </w:r>
          </w:p>
        </w:tc>
      </w:tr>
      <w:tr w:rsidR="00393345" w:rsidRPr="00393345" w14:paraId="791B9EF3" w14:textId="77777777">
        <w:tc>
          <w:tcPr>
            <w:tcW w:w="4644" w:type="dxa"/>
          </w:tcPr>
          <w:p w14:paraId="2D5793E8" w14:textId="33F75B5B" w:rsidR="00393345" w:rsidRPr="00393345" w:rsidRDefault="00393345" w:rsidP="00393345">
            <w:pPr>
              <w:pStyle w:val="Tabletext6pt"/>
            </w:pPr>
            <w:r w:rsidRPr="00393345">
              <w:t xml:space="preserve">Proportion of </w:t>
            </w:r>
            <w:r w:rsidR="00AE0C9C">
              <w:t>LGBTIQA+</w:t>
            </w:r>
            <w:r w:rsidRPr="00393345">
              <w:t xml:space="preserve"> Victorians who have not engaged with a service due to their </w:t>
            </w:r>
            <w:r w:rsidR="00AE0C9C">
              <w:t>LGBTIQA+</w:t>
            </w:r>
            <w:r w:rsidRPr="00393345">
              <w:t xml:space="preserve"> status or identity </w:t>
            </w:r>
          </w:p>
        </w:tc>
        <w:tc>
          <w:tcPr>
            <w:tcW w:w="4644" w:type="dxa"/>
          </w:tcPr>
          <w:p w14:paraId="13D1F7C9" w14:textId="0798C154" w:rsidR="00393345" w:rsidRPr="00393345" w:rsidRDefault="003A61F3" w:rsidP="00393345">
            <w:pPr>
              <w:pStyle w:val="Tabletext6pt"/>
            </w:pPr>
            <w:r>
              <w:t>To be determined</w:t>
            </w:r>
          </w:p>
        </w:tc>
      </w:tr>
    </w:tbl>
    <w:p w14:paraId="68ECF347" w14:textId="1C5B5F30" w:rsidR="00393345" w:rsidRDefault="00393345" w:rsidP="00F344A2">
      <w:pPr>
        <w:pStyle w:val="Heading4"/>
      </w:pPr>
      <w:bookmarkStart w:id="102" w:name="_Toc161297324"/>
      <w:r>
        <w:t>Outcome 2.3: Health and wellbeing services support LGBTIQA+ people to live the life they want</w:t>
      </w:r>
      <w:bookmarkEnd w:id="102"/>
    </w:p>
    <w:p w14:paraId="4E97AF2F" w14:textId="26C6AE1C" w:rsidR="00393345" w:rsidRDefault="00393345" w:rsidP="00F344A2">
      <w:pPr>
        <w:pStyle w:val="Heading5"/>
      </w:pPr>
      <w:bookmarkStart w:id="103" w:name="_Toc161297325"/>
      <w:r w:rsidRPr="00393345">
        <w:t>Outcome indicator 2.3.1: Increased effectiveness of health and wellbeing services</w:t>
      </w:r>
      <w:bookmarkEnd w:id="103"/>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393345" w:rsidRPr="00D069FA" w14:paraId="48815C7C" w14:textId="77777777" w:rsidTr="00393345">
        <w:trPr>
          <w:tblHeader/>
        </w:trPr>
        <w:tc>
          <w:tcPr>
            <w:tcW w:w="4644" w:type="dxa"/>
          </w:tcPr>
          <w:p w14:paraId="0E5B7675" w14:textId="77777777" w:rsidR="00393345" w:rsidRPr="00D069FA" w:rsidRDefault="00393345">
            <w:pPr>
              <w:pStyle w:val="Tablecolhead"/>
            </w:pPr>
            <w:r w:rsidRPr="00D069FA">
              <w:t>Measure</w:t>
            </w:r>
          </w:p>
        </w:tc>
        <w:tc>
          <w:tcPr>
            <w:tcW w:w="4644" w:type="dxa"/>
          </w:tcPr>
          <w:p w14:paraId="65DC1E40" w14:textId="77777777" w:rsidR="00393345" w:rsidRPr="00D069FA" w:rsidRDefault="00393345">
            <w:pPr>
              <w:pStyle w:val="Tablecolhead"/>
            </w:pPr>
            <w:r w:rsidRPr="00D069FA">
              <w:t>Data source</w:t>
            </w:r>
          </w:p>
        </w:tc>
      </w:tr>
      <w:tr w:rsidR="00393345" w:rsidRPr="00D069FA" w14:paraId="162975A7" w14:textId="77777777">
        <w:tc>
          <w:tcPr>
            <w:tcW w:w="4644" w:type="dxa"/>
          </w:tcPr>
          <w:p w14:paraId="25C5D5B8" w14:textId="35F1FCF8" w:rsidR="00393345" w:rsidRPr="00393345" w:rsidRDefault="00D00DF4" w:rsidP="00393345">
            <w:pPr>
              <w:pStyle w:val="Tabletext6pt"/>
            </w:pPr>
            <w:r w:rsidRPr="00393345">
              <w:t xml:space="preserve">Proportion of </w:t>
            </w:r>
            <w:r>
              <w:t>LGBTIQA+</w:t>
            </w:r>
            <w:r w:rsidRPr="00393345">
              <w:t xml:space="preserve"> Victorians who </w:t>
            </w:r>
            <w:r>
              <w:t>accessed Victorian</w:t>
            </w:r>
            <w:r w:rsidRPr="00393345">
              <w:t xml:space="preserve"> </w:t>
            </w:r>
            <w:r>
              <w:t>public</w:t>
            </w:r>
            <w:r w:rsidRPr="00393345">
              <w:t xml:space="preserve"> health, mental health or wellbeing services in the past 12 months</w:t>
            </w:r>
            <w:r>
              <w:t xml:space="preserve"> who felt their sexual orientation or gender identity was respected </w:t>
            </w:r>
            <w:r w:rsidRPr="00393345">
              <w:t xml:space="preserve"> </w:t>
            </w:r>
          </w:p>
        </w:tc>
        <w:tc>
          <w:tcPr>
            <w:tcW w:w="4644" w:type="dxa"/>
          </w:tcPr>
          <w:p w14:paraId="31A4B110" w14:textId="6E072E13" w:rsidR="00393345" w:rsidRPr="00393345" w:rsidRDefault="003A61F3" w:rsidP="00393345">
            <w:pPr>
              <w:pStyle w:val="Tabletext6pt"/>
            </w:pPr>
            <w:r>
              <w:t>To be determined</w:t>
            </w:r>
          </w:p>
        </w:tc>
      </w:tr>
      <w:tr w:rsidR="00393345" w:rsidRPr="00D069FA" w14:paraId="0D550DC2" w14:textId="77777777">
        <w:tc>
          <w:tcPr>
            <w:tcW w:w="4644" w:type="dxa"/>
          </w:tcPr>
          <w:p w14:paraId="4F933C0B" w14:textId="144E5798" w:rsidR="00393345" w:rsidRPr="00393345" w:rsidRDefault="00393345" w:rsidP="004A5CD5">
            <w:pPr>
              <w:pStyle w:val="Tabletext6pt"/>
              <w:keepNext/>
              <w:keepLines/>
            </w:pPr>
            <w:r w:rsidRPr="00393345">
              <w:t xml:space="preserve">Proportion of </w:t>
            </w:r>
            <w:r w:rsidR="00AE0C9C">
              <w:t>LGBTIQA+</w:t>
            </w:r>
            <w:r w:rsidRPr="00393345">
              <w:t xml:space="preserve"> Victorians who believe their sexual orientation or gender identity did not negatively </w:t>
            </w:r>
            <w:r w:rsidR="0002647C">
              <w:t>affect</w:t>
            </w:r>
            <w:r w:rsidRPr="00393345">
              <w:t xml:space="preserve"> the quality of </w:t>
            </w:r>
            <w:r w:rsidR="0002647C">
              <w:t xml:space="preserve">health and wellbeing </w:t>
            </w:r>
            <w:r w:rsidRPr="00393345">
              <w:t>service</w:t>
            </w:r>
            <w:r w:rsidR="0002647C">
              <w:t>s they received</w:t>
            </w:r>
            <w:r w:rsidRPr="00393345">
              <w:t xml:space="preserve"> </w:t>
            </w:r>
            <w:r w:rsidR="0002647C">
              <w:t>in the p</w:t>
            </w:r>
            <w:r w:rsidRPr="00393345">
              <w:t xml:space="preserve">ast 12 months </w:t>
            </w:r>
          </w:p>
        </w:tc>
        <w:tc>
          <w:tcPr>
            <w:tcW w:w="4644" w:type="dxa"/>
          </w:tcPr>
          <w:p w14:paraId="0800449E" w14:textId="4CBBAF51" w:rsidR="00393345" w:rsidRPr="00393345" w:rsidRDefault="003A61F3" w:rsidP="004A5CD5">
            <w:pPr>
              <w:pStyle w:val="Tabletext6pt"/>
              <w:keepNext/>
              <w:keepLines/>
            </w:pPr>
            <w:r>
              <w:t>To be determined</w:t>
            </w:r>
          </w:p>
        </w:tc>
      </w:tr>
    </w:tbl>
    <w:p w14:paraId="2618A7E4" w14:textId="6ED53D73" w:rsidR="00393345" w:rsidRDefault="00393345" w:rsidP="00F344A2">
      <w:pPr>
        <w:pStyle w:val="Heading5"/>
      </w:pPr>
      <w:bookmarkStart w:id="104" w:name="_Toc161297326"/>
      <w:r w:rsidRPr="00393345">
        <w:t xml:space="preserve">Outcome indicator 2.3.2: Improved mental and physical health outcomes </w:t>
      </w:r>
      <w:r w:rsidR="00060F1E">
        <w:t>for</w:t>
      </w:r>
      <w:r w:rsidR="00060F1E" w:rsidRPr="00393345">
        <w:t xml:space="preserve"> </w:t>
      </w:r>
      <w:r w:rsidR="00AE0C9C">
        <w:t>LGBTIQA+</w:t>
      </w:r>
      <w:r w:rsidRPr="00393345">
        <w:t xml:space="preserve"> </w:t>
      </w:r>
      <w:r w:rsidR="00060F1E">
        <w:t>people</w:t>
      </w:r>
      <w:r>
        <w:rPr>
          <w:rStyle w:val="FootnoteReference"/>
        </w:rPr>
        <w:footnoteReference w:id="20"/>
      </w:r>
      <w:bookmarkEnd w:id="104"/>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393345" w:rsidRPr="00D069FA" w14:paraId="12B48AC3" w14:textId="77777777">
        <w:trPr>
          <w:tblHeader/>
        </w:trPr>
        <w:tc>
          <w:tcPr>
            <w:tcW w:w="4644" w:type="dxa"/>
          </w:tcPr>
          <w:p w14:paraId="4197FF4F" w14:textId="77777777" w:rsidR="00393345" w:rsidRPr="00D069FA" w:rsidRDefault="00393345">
            <w:pPr>
              <w:pStyle w:val="Tablecolhead"/>
            </w:pPr>
            <w:r w:rsidRPr="00D069FA">
              <w:t>Measure</w:t>
            </w:r>
          </w:p>
        </w:tc>
        <w:tc>
          <w:tcPr>
            <w:tcW w:w="4644" w:type="dxa"/>
          </w:tcPr>
          <w:p w14:paraId="7F2A3EB4" w14:textId="77777777" w:rsidR="00393345" w:rsidRPr="00D069FA" w:rsidRDefault="00393345">
            <w:pPr>
              <w:pStyle w:val="Tablecolhead"/>
            </w:pPr>
            <w:r w:rsidRPr="00D069FA">
              <w:t>Data source</w:t>
            </w:r>
          </w:p>
        </w:tc>
      </w:tr>
      <w:tr w:rsidR="00393345" w:rsidRPr="00393345" w14:paraId="6D1527C7" w14:textId="77777777">
        <w:tc>
          <w:tcPr>
            <w:tcW w:w="4644" w:type="dxa"/>
          </w:tcPr>
          <w:p w14:paraId="333C089F" w14:textId="099739C6" w:rsidR="00393345" w:rsidRPr="00393345" w:rsidRDefault="00393345" w:rsidP="00393345">
            <w:pPr>
              <w:pStyle w:val="Tabletext6pt"/>
            </w:pPr>
            <w:r w:rsidRPr="00393345">
              <w:t xml:space="preserve">Proportion of </w:t>
            </w:r>
            <w:r w:rsidR="00AE0C9C">
              <w:t>LGBTIQA+</w:t>
            </w:r>
            <w:r w:rsidRPr="00393345">
              <w:t xml:space="preserve"> Victorians who experience life satisfaction, compared with non-</w:t>
            </w:r>
            <w:r w:rsidR="00AE0C9C">
              <w:t>LGBTIQA+</w:t>
            </w:r>
            <w:r w:rsidRPr="00393345">
              <w:t xml:space="preserve"> Victorians</w:t>
            </w:r>
          </w:p>
        </w:tc>
        <w:tc>
          <w:tcPr>
            <w:tcW w:w="4644" w:type="dxa"/>
          </w:tcPr>
          <w:p w14:paraId="212394EE" w14:textId="05A35EFD" w:rsidR="00393345" w:rsidRPr="00393345" w:rsidRDefault="00393345" w:rsidP="00393345">
            <w:pPr>
              <w:pStyle w:val="Tabletext6pt"/>
            </w:pPr>
            <w:r w:rsidRPr="00393345">
              <w:t>Vic</w:t>
            </w:r>
            <w:r w:rsidR="0002647C">
              <w:t>torian</w:t>
            </w:r>
            <w:r w:rsidRPr="00393345">
              <w:t xml:space="preserve"> Pop</w:t>
            </w:r>
            <w:r w:rsidR="0002647C">
              <w:t>ulation</w:t>
            </w:r>
            <w:r w:rsidRPr="00393345">
              <w:t xml:space="preserve"> Health Survey</w:t>
            </w:r>
          </w:p>
        </w:tc>
      </w:tr>
      <w:tr w:rsidR="00393345" w:rsidRPr="00393345" w14:paraId="342AD51B" w14:textId="77777777">
        <w:tc>
          <w:tcPr>
            <w:tcW w:w="4644" w:type="dxa"/>
          </w:tcPr>
          <w:p w14:paraId="5FA3FBC5" w14:textId="0B947EF0" w:rsidR="00393345" w:rsidRPr="00393345" w:rsidRDefault="00393345" w:rsidP="00393345">
            <w:pPr>
              <w:pStyle w:val="Tabletext6pt"/>
            </w:pPr>
            <w:r w:rsidRPr="00393345">
              <w:t xml:space="preserve">Proportion of </w:t>
            </w:r>
            <w:r w:rsidR="00AE0C9C">
              <w:t>LGBTIQA+</w:t>
            </w:r>
            <w:r w:rsidRPr="00393345">
              <w:t xml:space="preserve"> Victorians who self-report high or very high levels of psychological distress in </w:t>
            </w:r>
            <w:r w:rsidR="0002647C">
              <w:t xml:space="preserve">the </w:t>
            </w:r>
            <w:r w:rsidRPr="00393345">
              <w:t>previous four weeks</w:t>
            </w:r>
          </w:p>
        </w:tc>
        <w:tc>
          <w:tcPr>
            <w:tcW w:w="4644" w:type="dxa"/>
          </w:tcPr>
          <w:p w14:paraId="30FEA5C9" w14:textId="57419117" w:rsidR="00393345" w:rsidRPr="00393345" w:rsidRDefault="00393345" w:rsidP="00393345">
            <w:pPr>
              <w:pStyle w:val="Tabletext6pt"/>
            </w:pPr>
            <w:r w:rsidRPr="00393345">
              <w:t xml:space="preserve">Private Lives </w:t>
            </w:r>
          </w:p>
        </w:tc>
      </w:tr>
      <w:tr w:rsidR="00393345" w:rsidRPr="00393345" w14:paraId="0AF32852" w14:textId="77777777">
        <w:tc>
          <w:tcPr>
            <w:tcW w:w="4644" w:type="dxa"/>
          </w:tcPr>
          <w:p w14:paraId="54F674F4" w14:textId="686EE8B2" w:rsidR="00393345" w:rsidRPr="00393345" w:rsidRDefault="00393345" w:rsidP="00393345">
            <w:pPr>
              <w:pStyle w:val="Tabletext6pt"/>
            </w:pPr>
            <w:r w:rsidRPr="00393345">
              <w:t xml:space="preserve">Proportion of </w:t>
            </w:r>
            <w:r w:rsidR="00AE0C9C">
              <w:t>LGBTIQA+</w:t>
            </w:r>
            <w:r w:rsidRPr="00393345">
              <w:t xml:space="preserve"> Victorians who feel that life is worthwhile, compared with non-</w:t>
            </w:r>
            <w:r w:rsidR="00AE0C9C">
              <w:t>LGBTIQA+</w:t>
            </w:r>
            <w:r w:rsidRPr="00393345">
              <w:t xml:space="preserve"> Victorians</w:t>
            </w:r>
          </w:p>
        </w:tc>
        <w:tc>
          <w:tcPr>
            <w:tcW w:w="4644" w:type="dxa"/>
          </w:tcPr>
          <w:p w14:paraId="0DF1A928" w14:textId="2CF2ED91" w:rsidR="00393345" w:rsidRPr="00393345" w:rsidRDefault="00393345" w:rsidP="00393345">
            <w:pPr>
              <w:pStyle w:val="Tabletext6pt"/>
            </w:pPr>
            <w:r w:rsidRPr="00393345">
              <w:t>Vic</w:t>
            </w:r>
            <w:r w:rsidR="00B764BA">
              <w:t>torian</w:t>
            </w:r>
            <w:r w:rsidRPr="00393345">
              <w:t xml:space="preserve"> Pop</w:t>
            </w:r>
            <w:r w:rsidR="00B764BA">
              <w:t>ulation</w:t>
            </w:r>
            <w:r w:rsidRPr="00393345">
              <w:t xml:space="preserve"> Health Survey </w:t>
            </w:r>
          </w:p>
        </w:tc>
      </w:tr>
      <w:tr w:rsidR="00393345" w:rsidRPr="00393345" w14:paraId="7EF0193E" w14:textId="77777777">
        <w:tc>
          <w:tcPr>
            <w:tcW w:w="4644" w:type="dxa"/>
          </w:tcPr>
          <w:p w14:paraId="7F689D7A" w14:textId="0E43BF4D" w:rsidR="00393345" w:rsidRPr="00393345" w:rsidRDefault="00393345" w:rsidP="00393345">
            <w:pPr>
              <w:pStyle w:val="Tabletext6pt"/>
            </w:pPr>
            <w:r w:rsidRPr="00393345">
              <w:t xml:space="preserve">Proportion of </w:t>
            </w:r>
            <w:r w:rsidR="00AE0C9C">
              <w:t>LGBTIQA+</w:t>
            </w:r>
            <w:r w:rsidRPr="00393345">
              <w:t xml:space="preserve"> Victorians who have attempted or </w:t>
            </w:r>
            <w:r w:rsidR="00C3653A">
              <w:t>died by</w:t>
            </w:r>
            <w:r w:rsidR="00C3653A" w:rsidRPr="00393345">
              <w:t xml:space="preserve"> </w:t>
            </w:r>
            <w:r w:rsidRPr="00393345">
              <w:t xml:space="preserve">suicide in the </w:t>
            </w:r>
            <w:r w:rsidR="0002647C">
              <w:t>p</w:t>
            </w:r>
            <w:r w:rsidR="0002647C" w:rsidRPr="00393345">
              <w:t xml:space="preserve">ast </w:t>
            </w:r>
            <w:r w:rsidRPr="00393345">
              <w:t>12 months</w:t>
            </w:r>
          </w:p>
        </w:tc>
        <w:tc>
          <w:tcPr>
            <w:tcW w:w="4644" w:type="dxa"/>
          </w:tcPr>
          <w:p w14:paraId="6B6E3B91" w14:textId="0967F0F5" w:rsidR="00393345" w:rsidRPr="00393345" w:rsidRDefault="00393345" w:rsidP="00393345">
            <w:pPr>
              <w:pStyle w:val="Tabletext6pt"/>
            </w:pPr>
            <w:r w:rsidRPr="00393345">
              <w:t xml:space="preserve">Private Lives </w:t>
            </w:r>
          </w:p>
        </w:tc>
      </w:tr>
      <w:tr w:rsidR="00393345" w:rsidRPr="00393345" w14:paraId="19A118A6" w14:textId="77777777">
        <w:tc>
          <w:tcPr>
            <w:tcW w:w="4644" w:type="dxa"/>
          </w:tcPr>
          <w:p w14:paraId="142491BF" w14:textId="14C34C41" w:rsidR="00393345" w:rsidRPr="00393345" w:rsidRDefault="00393345" w:rsidP="00393345">
            <w:pPr>
              <w:pStyle w:val="Tabletext6pt"/>
            </w:pPr>
            <w:r w:rsidRPr="00393345">
              <w:t xml:space="preserve">Proportion of </w:t>
            </w:r>
            <w:r w:rsidR="00AE0C9C">
              <w:t>LGBTIQA+</w:t>
            </w:r>
            <w:r w:rsidRPr="00393345">
              <w:t xml:space="preserve"> Victorians who have experienced</w:t>
            </w:r>
            <w:r w:rsidR="00DA6CA4">
              <w:t xml:space="preserve"> sui</w:t>
            </w:r>
            <w:r w:rsidR="00114F50">
              <w:t>cidal ideation</w:t>
            </w:r>
            <w:r w:rsidRPr="00393345">
              <w:t xml:space="preserve"> in the </w:t>
            </w:r>
            <w:r w:rsidR="0002647C">
              <w:t>p</w:t>
            </w:r>
            <w:r w:rsidR="0002647C" w:rsidRPr="00393345">
              <w:t xml:space="preserve">ast </w:t>
            </w:r>
            <w:r w:rsidRPr="00393345">
              <w:t>12 months</w:t>
            </w:r>
          </w:p>
        </w:tc>
        <w:tc>
          <w:tcPr>
            <w:tcW w:w="4644" w:type="dxa"/>
          </w:tcPr>
          <w:p w14:paraId="59F7FC90" w14:textId="7393930F" w:rsidR="00393345" w:rsidRPr="00393345" w:rsidRDefault="00393345" w:rsidP="00393345">
            <w:pPr>
              <w:pStyle w:val="Tabletext6pt"/>
            </w:pPr>
            <w:r w:rsidRPr="00393345">
              <w:t xml:space="preserve">Private Lives </w:t>
            </w:r>
          </w:p>
        </w:tc>
      </w:tr>
      <w:tr w:rsidR="00393345" w:rsidRPr="00393345" w14:paraId="572E8E08" w14:textId="77777777">
        <w:tc>
          <w:tcPr>
            <w:tcW w:w="4644" w:type="dxa"/>
          </w:tcPr>
          <w:p w14:paraId="5A3918E3" w14:textId="721B4439" w:rsidR="00393345" w:rsidRPr="00393345" w:rsidRDefault="00393345" w:rsidP="00393345">
            <w:pPr>
              <w:pStyle w:val="Tabletext6pt"/>
            </w:pPr>
            <w:r w:rsidRPr="00393345">
              <w:t xml:space="preserve">Proportion of </w:t>
            </w:r>
            <w:r w:rsidR="00AE0C9C">
              <w:t>LGBTIQA+</w:t>
            </w:r>
            <w:r w:rsidRPr="00393345">
              <w:t xml:space="preserve"> Victorians </w:t>
            </w:r>
            <w:r w:rsidR="00060F1E">
              <w:t>who</w:t>
            </w:r>
            <w:r w:rsidR="009D2B4B">
              <w:t xml:space="preserve"> </w:t>
            </w:r>
            <w:r w:rsidR="00231320">
              <w:t xml:space="preserve">report </w:t>
            </w:r>
            <w:r w:rsidR="00231320" w:rsidRPr="00393345">
              <w:t>alcohol</w:t>
            </w:r>
            <w:r w:rsidR="0002647C">
              <w:t>,</w:t>
            </w:r>
            <w:r w:rsidRPr="00393345">
              <w:t xml:space="preserve"> other drugs </w:t>
            </w:r>
            <w:r w:rsidR="0002647C">
              <w:t>or</w:t>
            </w:r>
            <w:r w:rsidRPr="00393345">
              <w:t xml:space="preserve"> tobacco </w:t>
            </w:r>
            <w:r w:rsidR="009D2B4B">
              <w:t xml:space="preserve">misuse </w:t>
            </w:r>
          </w:p>
        </w:tc>
        <w:tc>
          <w:tcPr>
            <w:tcW w:w="4644" w:type="dxa"/>
          </w:tcPr>
          <w:p w14:paraId="5B7CA0B8" w14:textId="7F7D9F28" w:rsidR="00393345" w:rsidRPr="00393345" w:rsidRDefault="00393345" w:rsidP="00393345">
            <w:pPr>
              <w:pStyle w:val="Tabletext6pt"/>
            </w:pPr>
            <w:r w:rsidRPr="00393345">
              <w:t xml:space="preserve">Private Lives </w:t>
            </w:r>
          </w:p>
        </w:tc>
      </w:tr>
      <w:tr w:rsidR="00393345" w:rsidRPr="00393345" w14:paraId="67E76B55" w14:textId="77777777">
        <w:tc>
          <w:tcPr>
            <w:tcW w:w="4644" w:type="dxa"/>
          </w:tcPr>
          <w:p w14:paraId="4B9956AB" w14:textId="3B39F652" w:rsidR="00393345" w:rsidRPr="00393345" w:rsidRDefault="00393345" w:rsidP="00393345">
            <w:pPr>
              <w:pStyle w:val="Tabletext6pt"/>
            </w:pPr>
            <w:r w:rsidRPr="00393345">
              <w:t xml:space="preserve">Proportion of </w:t>
            </w:r>
            <w:r w:rsidR="00AE0C9C">
              <w:t>LGBTIQA+</w:t>
            </w:r>
            <w:r w:rsidRPr="00393345">
              <w:t xml:space="preserve"> Victorians whose self-rated general health status was excellent or very good, compared with non-</w:t>
            </w:r>
            <w:r w:rsidR="00AE0C9C">
              <w:t>LGBTIQA+</w:t>
            </w:r>
            <w:r w:rsidRPr="00393345">
              <w:t xml:space="preserve"> Victorians</w:t>
            </w:r>
          </w:p>
        </w:tc>
        <w:tc>
          <w:tcPr>
            <w:tcW w:w="4644" w:type="dxa"/>
          </w:tcPr>
          <w:p w14:paraId="549EB736" w14:textId="61548FB7" w:rsidR="00393345" w:rsidRPr="00393345" w:rsidRDefault="00393345" w:rsidP="00393345">
            <w:pPr>
              <w:pStyle w:val="Tabletext6pt"/>
            </w:pPr>
            <w:r w:rsidRPr="00393345">
              <w:t>Vic</w:t>
            </w:r>
            <w:r w:rsidR="0002647C">
              <w:t>torian</w:t>
            </w:r>
            <w:r w:rsidRPr="00393345">
              <w:t xml:space="preserve"> Pop</w:t>
            </w:r>
            <w:r w:rsidR="0002647C">
              <w:t>ulation</w:t>
            </w:r>
            <w:r w:rsidRPr="00393345">
              <w:t xml:space="preserve"> Health Survey </w:t>
            </w:r>
          </w:p>
        </w:tc>
      </w:tr>
      <w:tr w:rsidR="00393345" w:rsidRPr="00393345" w14:paraId="30C95DBA" w14:textId="77777777">
        <w:tc>
          <w:tcPr>
            <w:tcW w:w="4644" w:type="dxa"/>
          </w:tcPr>
          <w:p w14:paraId="59640ED8" w14:textId="041A5798" w:rsidR="00393345" w:rsidRPr="00393345" w:rsidRDefault="00393345" w:rsidP="00393345">
            <w:pPr>
              <w:pStyle w:val="Tabletext6pt"/>
            </w:pPr>
            <w:r w:rsidRPr="00393345">
              <w:t xml:space="preserve">Proportion of </w:t>
            </w:r>
            <w:r w:rsidR="00AE0C9C">
              <w:t>LGBTIQA+</w:t>
            </w:r>
            <w:r w:rsidRPr="00393345">
              <w:t xml:space="preserve"> young people who report self-harm in the </w:t>
            </w:r>
            <w:r w:rsidR="001A618E">
              <w:t>p</w:t>
            </w:r>
            <w:r w:rsidRPr="00393345">
              <w:t>ast 12 months</w:t>
            </w:r>
          </w:p>
        </w:tc>
        <w:tc>
          <w:tcPr>
            <w:tcW w:w="4644" w:type="dxa"/>
          </w:tcPr>
          <w:p w14:paraId="6E9A4EAE" w14:textId="04EECE4C" w:rsidR="00393345" w:rsidRPr="00393345" w:rsidRDefault="00393345" w:rsidP="00393345">
            <w:pPr>
              <w:pStyle w:val="Tabletext6pt"/>
            </w:pPr>
            <w:r w:rsidRPr="00393345">
              <w:t>Writing Themselves In</w:t>
            </w:r>
            <w:r w:rsidR="00347CB4">
              <w:rPr>
                <w:rStyle w:val="FootnoteReference"/>
              </w:rPr>
              <w:footnoteReference w:id="21"/>
            </w:r>
            <w:r w:rsidRPr="00393345">
              <w:t xml:space="preserve"> </w:t>
            </w:r>
          </w:p>
        </w:tc>
      </w:tr>
    </w:tbl>
    <w:p w14:paraId="412E9CE4" w14:textId="77777777" w:rsidR="0032272D" w:rsidRDefault="0032272D" w:rsidP="00B04844">
      <w:pPr>
        <w:pStyle w:val="Body"/>
      </w:pPr>
      <w:r>
        <w:br w:type="page"/>
      </w:r>
    </w:p>
    <w:p w14:paraId="0A9F4D44" w14:textId="327CFC1F" w:rsidR="0032272D" w:rsidRPr="0032272D" w:rsidRDefault="0032272D" w:rsidP="0032272D">
      <w:pPr>
        <w:pStyle w:val="Heading2"/>
        <w:rPr>
          <w:rFonts w:eastAsia="MS Mincho"/>
        </w:rPr>
      </w:pPr>
      <w:bookmarkStart w:id="105" w:name="_Toc183769439"/>
      <w:r>
        <w:rPr>
          <w:rFonts w:eastAsia="MS Mincho"/>
        </w:rPr>
        <w:t>Domain 3: Visibility to inform decision making</w:t>
      </w:r>
      <w:bookmarkEnd w:id="105"/>
      <w:r>
        <w:rPr>
          <w:rFonts w:eastAsia="MS Mincho"/>
        </w:rPr>
        <w:t xml:space="preserve"> </w:t>
      </w:r>
    </w:p>
    <w:p w14:paraId="5EFB6CE8" w14:textId="1B324CE6" w:rsidR="00B91FC9" w:rsidRPr="000212A5" w:rsidRDefault="00B91FC9" w:rsidP="0032272D">
      <w:pPr>
        <w:pStyle w:val="Heading3"/>
      </w:pPr>
      <w:bookmarkStart w:id="106" w:name="_Toc161297328"/>
      <w:r w:rsidRPr="000212A5">
        <w:t>Logic model</w:t>
      </w:r>
      <w:r w:rsidR="00421077">
        <w:t xml:space="preserve"> overview</w:t>
      </w:r>
    </w:p>
    <w:p w14:paraId="0F03965D" w14:textId="46E51FA2" w:rsidR="00393345" w:rsidRDefault="0032272D" w:rsidP="00421077">
      <w:pPr>
        <w:pStyle w:val="Heading4"/>
      </w:pPr>
      <w:r w:rsidRPr="000212A5">
        <w:t>Problem</w:t>
      </w:r>
      <w:r>
        <w:t xml:space="preserve"> statement</w:t>
      </w:r>
      <w:bookmarkEnd w:id="106"/>
    </w:p>
    <w:p w14:paraId="0B24D195" w14:textId="3B40ECC3" w:rsidR="0032272D" w:rsidRDefault="00FF09B4" w:rsidP="0032272D">
      <w:pPr>
        <w:pStyle w:val="Body"/>
      </w:pPr>
      <w:r>
        <w:t>There is a gap in our understanding of the needs of LGBTIQA+ communities. This means w</w:t>
      </w:r>
      <w:r w:rsidR="000E57CE">
        <w:t>e</w:t>
      </w:r>
      <w:r w:rsidR="0032272D">
        <w:t xml:space="preserve"> do not understand who is using our services</w:t>
      </w:r>
      <w:r w:rsidR="000E57CE">
        <w:t>. We do not know enough about</w:t>
      </w:r>
      <w:r w:rsidR="0032272D">
        <w:t xml:space="preserve"> </w:t>
      </w:r>
      <w:r w:rsidR="000E57CE">
        <w:t>the</w:t>
      </w:r>
      <w:r w:rsidR="0032272D">
        <w:t xml:space="preserve"> gaps and problems </w:t>
      </w:r>
      <w:r w:rsidR="000E57CE">
        <w:t xml:space="preserve">with </w:t>
      </w:r>
      <w:r w:rsidR="0032272D">
        <w:t>service</w:t>
      </w:r>
      <w:r w:rsidR="004F5271">
        <w:t xml:space="preserve"> delivery</w:t>
      </w:r>
      <w:r w:rsidR="0032272D">
        <w:t xml:space="preserve">. </w:t>
      </w:r>
      <w:r w:rsidR="000E57CE">
        <w:t xml:space="preserve">In addition, data collection in services may not be </w:t>
      </w:r>
      <w:r w:rsidR="003510A7">
        <w:t>safe</w:t>
      </w:r>
      <w:r w:rsidR="00757252">
        <w:t xml:space="preserve"> and</w:t>
      </w:r>
      <w:r w:rsidR="009A3E63">
        <w:t xml:space="preserve"> potentially do not reflect how </w:t>
      </w:r>
      <w:r w:rsidR="0032272D">
        <w:t xml:space="preserve">LGBTIQA+ people </w:t>
      </w:r>
      <w:r w:rsidR="009A3E63">
        <w:t>identify</w:t>
      </w:r>
      <w:r w:rsidR="0032272D">
        <w:t>.</w:t>
      </w:r>
    </w:p>
    <w:p w14:paraId="652B7855" w14:textId="55A112C8" w:rsidR="0032272D" w:rsidRPr="000212A5" w:rsidRDefault="0032272D" w:rsidP="00421077">
      <w:pPr>
        <w:pStyle w:val="Heading4"/>
      </w:pPr>
      <w:bookmarkStart w:id="107" w:name="_Toc161297329"/>
      <w:r>
        <w:t>Objective</w:t>
      </w:r>
      <w:bookmarkEnd w:id="107"/>
    </w:p>
    <w:p w14:paraId="1B7885C4" w14:textId="5DF17C7E" w:rsidR="0032272D" w:rsidRDefault="0032272D" w:rsidP="00115FBA">
      <w:pPr>
        <w:pStyle w:val="Body"/>
      </w:pPr>
      <w:r>
        <w:t xml:space="preserve">To improve LGBTIQA+ data collection </w:t>
      </w:r>
      <w:r w:rsidR="00826D74">
        <w:t xml:space="preserve">to build evidence </w:t>
      </w:r>
      <w:r w:rsidR="000E57CE">
        <w:t>so we know</w:t>
      </w:r>
      <w:r>
        <w:t xml:space="preserve"> how LGBTIQA+ Victorians experience all parts of their lives.</w:t>
      </w:r>
    </w:p>
    <w:p w14:paraId="148AF7A7" w14:textId="2733DA0C" w:rsidR="00F27B23" w:rsidRDefault="00F27B23" w:rsidP="004A5CD5">
      <w:pPr>
        <w:pStyle w:val="Heading4"/>
      </w:pPr>
      <w:r>
        <w:t xml:space="preserve">Actions and </w:t>
      </w:r>
      <w:r w:rsidR="00421077">
        <w:t>o</w:t>
      </w:r>
      <w:r>
        <w:t>utputs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32272D" w:rsidRPr="008C4BE0" w14:paraId="63EB70DD" w14:textId="77777777" w:rsidTr="004A5CD5">
        <w:trPr>
          <w:tblHeader/>
        </w:trPr>
        <w:tc>
          <w:tcPr>
            <w:tcW w:w="4644" w:type="dxa"/>
          </w:tcPr>
          <w:p w14:paraId="490D86B9" w14:textId="3E22F1B7" w:rsidR="0032272D" w:rsidRDefault="00115FBA" w:rsidP="00F344A2">
            <w:pPr>
              <w:pStyle w:val="Tablecolhead"/>
            </w:pPr>
            <w:bookmarkStart w:id="108" w:name="_Toc161297331"/>
            <w:r>
              <w:t>A</w:t>
            </w:r>
            <w:r w:rsidR="0032272D" w:rsidRPr="008C4BE0">
              <w:t>ctions</w:t>
            </w:r>
            <w:bookmarkEnd w:id="108"/>
          </w:p>
          <w:p w14:paraId="26F633A3" w14:textId="77777777" w:rsidR="0032272D" w:rsidRPr="008C4BE0" w:rsidRDefault="0032272D">
            <w:pPr>
              <w:pStyle w:val="Body"/>
            </w:pPr>
            <w:r>
              <w:t>Early actions</w:t>
            </w:r>
          </w:p>
        </w:tc>
        <w:tc>
          <w:tcPr>
            <w:tcW w:w="4644" w:type="dxa"/>
          </w:tcPr>
          <w:p w14:paraId="4E27B22E" w14:textId="77777777" w:rsidR="0032272D" w:rsidRPr="008C4BE0" w:rsidRDefault="0032272D" w:rsidP="00F344A2">
            <w:pPr>
              <w:pStyle w:val="Tablecolhead"/>
            </w:pPr>
            <w:bookmarkStart w:id="109" w:name="_Toc161297332"/>
            <w:r w:rsidRPr="008C4BE0">
              <w:t>Outputs</w:t>
            </w:r>
            <w:bookmarkEnd w:id="109"/>
          </w:p>
        </w:tc>
      </w:tr>
      <w:tr w:rsidR="0032272D" w14:paraId="69C234DC" w14:textId="77777777">
        <w:tc>
          <w:tcPr>
            <w:tcW w:w="4644" w:type="dxa"/>
          </w:tcPr>
          <w:p w14:paraId="5A55CC8A" w14:textId="34F910E7" w:rsidR="0032272D" w:rsidRPr="008C4BE0" w:rsidRDefault="0032272D" w:rsidP="00A02DE6">
            <w:pPr>
              <w:pStyle w:val="Tablebullet1"/>
              <w:numPr>
                <w:ilvl w:val="0"/>
                <w:numId w:val="0"/>
              </w:numPr>
            </w:pPr>
            <w:r>
              <w:t xml:space="preserve">Develop an </w:t>
            </w:r>
            <w:r w:rsidR="00EB3681">
              <w:t xml:space="preserve">LGBTIQA+ strategy </w:t>
            </w:r>
            <w:r>
              <w:t xml:space="preserve">outcomes framework </w:t>
            </w:r>
            <w:r w:rsidR="003A06F5">
              <w:t xml:space="preserve">to measure impact and progress </w:t>
            </w:r>
            <w:r>
              <w:t xml:space="preserve"> </w:t>
            </w:r>
          </w:p>
        </w:tc>
        <w:tc>
          <w:tcPr>
            <w:tcW w:w="4644" w:type="dxa"/>
          </w:tcPr>
          <w:p w14:paraId="2894A672" w14:textId="2603737E" w:rsidR="0032272D" w:rsidRDefault="0032272D" w:rsidP="00F349A1">
            <w:pPr>
              <w:pStyle w:val="Tablebullet1"/>
              <w:numPr>
                <w:ilvl w:val="0"/>
                <w:numId w:val="0"/>
              </w:numPr>
            </w:pPr>
            <w:r>
              <w:t xml:space="preserve">Outcomes framework completed and </w:t>
            </w:r>
            <w:r w:rsidR="00060F1E">
              <w:t xml:space="preserve">put in place </w:t>
            </w:r>
            <w:r>
              <w:t xml:space="preserve">across </w:t>
            </w:r>
            <w:r w:rsidR="0049327A">
              <w:t>G</w:t>
            </w:r>
            <w:r>
              <w:t>ov</w:t>
            </w:r>
            <w:r w:rsidR="00287840">
              <w:t>ernment</w:t>
            </w:r>
          </w:p>
        </w:tc>
      </w:tr>
      <w:tr w:rsidR="00061A4C" w14:paraId="28FD0AE9" w14:textId="77777777">
        <w:tc>
          <w:tcPr>
            <w:tcW w:w="4644" w:type="dxa"/>
          </w:tcPr>
          <w:p w14:paraId="44AF3AEA" w14:textId="1DF19384" w:rsidR="00061A4C" w:rsidRDefault="00061A4C" w:rsidP="00A02DE6">
            <w:pPr>
              <w:pStyle w:val="Tablebullet1"/>
              <w:numPr>
                <w:ilvl w:val="0"/>
                <w:numId w:val="0"/>
              </w:numPr>
            </w:pPr>
            <w:r>
              <w:t>Support key LGBTIQA+ data and research to</w:t>
            </w:r>
            <w:r w:rsidRPr="00F03BF1">
              <w:t xml:space="preserve"> build the evidence base for effective and inclusive services</w:t>
            </w:r>
          </w:p>
        </w:tc>
        <w:tc>
          <w:tcPr>
            <w:tcW w:w="4644" w:type="dxa"/>
          </w:tcPr>
          <w:p w14:paraId="1173F7FB" w14:textId="57B4F430" w:rsidR="00061A4C" w:rsidRDefault="00061A4C" w:rsidP="00F349A1">
            <w:pPr>
              <w:pStyle w:val="Tablebullet1"/>
              <w:numPr>
                <w:ilvl w:val="0"/>
                <w:numId w:val="0"/>
              </w:numPr>
            </w:pPr>
            <w:r>
              <w:t>At least one LGBTIQA+ data and research project funded each year</w:t>
            </w:r>
          </w:p>
        </w:tc>
      </w:tr>
      <w:tr w:rsidR="00061A4C" w14:paraId="3E031F29" w14:textId="77777777">
        <w:tc>
          <w:tcPr>
            <w:tcW w:w="4644" w:type="dxa"/>
          </w:tcPr>
          <w:p w14:paraId="5A72C6C5" w14:textId="05406753" w:rsidR="00061A4C" w:rsidRPr="008C4BE0" w:rsidRDefault="00061A4C" w:rsidP="00A02DE6">
            <w:pPr>
              <w:pStyle w:val="Tablebullet1"/>
              <w:numPr>
                <w:ilvl w:val="0"/>
                <w:numId w:val="0"/>
              </w:numPr>
            </w:pPr>
            <w:r w:rsidRPr="00E33DEB">
              <w:t xml:space="preserve">Improve Victorian Government </w:t>
            </w:r>
            <w:r>
              <w:t xml:space="preserve">data standards </w:t>
            </w:r>
            <w:r w:rsidRPr="00E33DEB">
              <w:t>and support resources, including for funded services</w:t>
            </w:r>
            <w:r>
              <w:t xml:space="preserve"> </w:t>
            </w:r>
          </w:p>
        </w:tc>
        <w:tc>
          <w:tcPr>
            <w:tcW w:w="4644" w:type="dxa"/>
          </w:tcPr>
          <w:p w14:paraId="00404E29" w14:textId="12C885CA" w:rsidR="00061A4C" w:rsidRDefault="00061A4C" w:rsidP="00F349A1">
            <w:pPr>
              <w:pStyle w:val="Tablebullet1"/>
              <w:numPr>
                <w:ilvl w:val="0"/>
                <w:numId w:val="0"/>
              </w:numPr>
            </w:pPr>
            <w:r>
              <w:t>Best practice standards and guidelines for data collection</w:t>
            </w:r>
            <w:r w:rsidDel="00060F1E">
              <w:t xml:space="preserve"> </w:t>
            </w:r>
            <w:r>
              <w:t xml:space="preserve">published across all government departments and services </w:t>
            </w:r>
          </w:p>
        </w:tc>
      </w:tr>
      <w:tr w:rsidR="00061A4C" w14:paraId="7A57E703" w14:textId="77777777">
        <w:tc>
          <w:tcPr>
            <w:tcW w:w="4644" w:type="dxa"/>
          </w:tcPr>
          <w:p w14:paraId="5F3A065B" w14:textId="114374E0" w:rsidR="00061A4C" w:rsidRPr="008C4BE0" w:rsidRDefault="00061A4C" w:rsidP="00A02DE6">
            <w:pPr>
              <w:pStyle w:val="Tablebullet1"/>
              <w:numPr>
                <w:ilvl w:val="0"/>
                <w:numId w:val="0"/>
              </w:numPr>
            </w:pPr>
            <w:r>
              <w:t xml:space="preserve">Support tools and training for VPS senior leaders to create LGBTIQA+ inclusive workplaces </w:t>
            </w:r>
          </w:p>
        </w:tc>
        <w:tc>
          <w:tcPr>
            <w:tcW w:w="4644" w:type="dxa"/>
          </w:tcPr>
          <w:p w14:paraId="5012BFE0" w14:textId="63E7798F" w:rsidR="00061A4C" w:rsidRDefault="00061A4C" w:rsidP="00F349A1">
            <w:pPr>
              <w:pStyle w:val="Tablebullet1"/>
              <w:numPr>
                <w:ilvl w:val="0"/>
                <w:numId w:val="0"/>
              </w:numPr>
            </w:pPr>
            <w:r>
              <w:t>All VPS people managers have access to LGBTIQA+ inclusive resources</w:t>
            </w:r>
          </w:p>
        </w:tc>
      </w:tr>
      <w:tr w:rsidR="00061A4C" w:rsidRPr="008C4BE0" w14:paraId="5F5A5A5D" w14:textId="77777777">
        <w:tblPrEx>
          <w:tblBorders>
            <w:top w:val="single" w:sz="4" w:space="0" w:color="auto"/>
            <w:left w:val="single" w:sz="4" w:space="0" w:color="auto"/>
            <w:bottom w:val="single" w:sz="4" w:space="0" w:color="auto"/>
            <w:right w:val="single" w:sz="4" w:space="0" w:color="auto"/>
            <w:insideV w:val="single" w:sz="4" w:space="0" w:color="auto"/>
          </w:tblBorders>
        </w:tblPrEx>
        <w:trPr>
          <w:tblHeader/>
        </w:trPr>
        <w:tc>
          <w:tcPr>
            <w:tcW w:w="4644" w:type="dxa"/>
            <w:tcBorders>
              <w:top w:val="nil"/>
              <w:left w:val="nil"/>
              <w:bottom w:val="nil"/>
              <w:right w:val="nil"/>
            </w:tcBorders>
          </w:tcPr>
          <w:p w14:paraId="4D851818" w14:textId="380565FB" w:rsidR="00061A4C" w:rsidRPr="008C4BE0" w:rsidRDefault="00061A4C" w:rsidP="00061A4C">
            <w:pPr>
              <w:pStyle w:val="Tablecolhead"/>
            </w:pPr>
            <w:bookmarkStart w:id="110" w:name="_Toc161297333"/>
            <w:r>
              <w:t>A</w:t>
            </w:r>
            <w:r w:rsidRPr="008C4BE0">
              <w:t>ctions</w:t>
            </w:r>
            <w:bookmarkEnd w:id="110"/>
          </w:p>
          <w:p w14:paraId="05FA41B7" w14:textId="77777777" w:rsidR="00061A4C" w:rsidRPr="008C4BE0" w:rsidRDefault="00061A4C" w:rsidP="00061A4C">
            <w:pPr>
              <w:pStyle w:val="Body"/>
            </w:pPr>
            <w:r>
              <w:t>Within 10 years</w:t>
            </w:r>
          </w:p>
        </w:tc>
        <w:tc>
          <w:tcPr>
            <w:tcW w:w="4644" w:type="dxa"/>
            <w:tcBorders>
              <w:top w:val="nil"/>
              <w:left w:val="nil"/>
              <w:bottom w:val="nil"/>
              <w:right w:val="nil"/>
            </w:tcBorders>
          </w:tcPr>
          <w:p w14:paraId="6CB7B9A8" w14:textId="77777777" w:rsidR="00061A4C" w:rsidRPr="008C4BE0" w:rsidRDefault="00061A4C" w:rsidP="00061A4C">
            <w:pPr>
              <w:pStyle w:val="Tablecolhead"/>
            </w:pPr>
            <w:bookmarkStart w:id="111" w:name="_Toc161297334"/>
            <w:r w:rsidRPr="008C4BE0">
              <w:t>Outputs</w:t>
            </w:r>
            <w:bookmarkEnd w:id="111"/>
          </w:p>
        </w:tc>
      </w:tr>
      <w:tr w:rsidR="00061A4C" w:rsidRPr="008A71FE" w14:paraId="3CD7217B"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tcBorders>
              <w:top w:val="nil"/>
              <w:left w:val="nil"/>
              <w:bottom w:val="single" w:sz="4" w:space="0" w:color="auto"/>
              <w:right w:val="nil"/>
            </w:tcBorders>
          </w:tcPr>
          <w:p w14:paraId="2849970D" w14:textId="78AED494" w:rsidR="00061A4C" w:rsidRPr="008A71FE" w:rsidRDefault="00061A4C" w:rsidP="00AD0007">
            <w:pPr>
              <w:pStyle w:val="Tablebullet1"/>
              <w:numPr>
                <w:ilvl w:val="0"/>
                <w:numId w:val="0"/>
              </w:numPr>
            </w:pPr>
            <w:r>
              <w:t>Support data collection across government to be inclusive and appropriate</w:t>
            </w:r>
          </w:p>
        </w:tc>
        <w:tc>
          <w:tcPr>
            <w:tcW w:w="4644" w:type="dxa"/>
            <w:tcBorders>
              <w:top w:val="nil"/>
              <w:left w:val="nil"/>
              <w:bottom w:val="single" w:sz="4" w:space="0" w:color="auto"/>
              <w:right w:val="nil"/>
            </w:tcBorders>
          </w:tcPr>
          <w:p w14:paraId="2A348B77" w14:textId="0FE298A4" w:rsidR="00061A4C" w:rsidRPr="008A71FE" w:rsidRDefault="00061A4C" w:rsidP="00AD0007">
            <w:pPr>
              <w:pStyle w:val="Tablebullet1"/>
              <w:numPr>
                <w:ilvl w:val="0"/>
                <w:numId w:val="0"/>
              </w:numPr>
            </w:pPr>
            <w:r>
              <w:t>Best practice data collection standards in place in all government departments</w:t>
            </w:r>
          </w:p>
        </w:tc>
      </w:tr>
      <w:tr w:rsidR="00061A4C" w:rsidRPr="008A71FE" w14:paraId="49208FE3"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tcBorders>
              <w:top w:val="single" w:sz="4" w:space="0" w:color="auto"/>
              <w:left w:val="nil"/>
              <w:bottom w:val="single" w:sz="4" w:space="0" w:color="auto"/>
              <w:right w:val="nil"/>
            </w:tcBorders>
          </w:tcPr>
          <w:p w14:paraId="242C4FF1" w14:textId="75A25FFF" w:rsidR="00061A4C" w:rsidRPr="008A71FE" w:rsidRDefault="00061A4C" w:rsidP="00AD0007">
            <w:pPr>
              <w:pStyle w:val="Tablebullet1"/>
              <w:numPr>
                <w:ilvl w:val="0"/>
                <w:numId w:val="0"/>
              </w:numPr>
            </w:pPr>
            <w:r>
              <w:t>Increase diverse LGBTIQA+ representation on Victorian Government boards</w:t>
            </w:r>
          </w:p>
        </w:tc>
        <w:tc>
          <w:tcPr>
            <w:tcW w:w="4644" w:type="dxa"/>
            <w:tcBorders>
              <w:top w:val="single" w:sz="4" w:space="0" w:color="auto"/>
              <w:left w:val="nil"/>
              <w:bottom w:val="single" w:sz="4" w:space="0" w:color="auto"/>
              <w:right w:val="nil"/>
            </w:tcBorders>
          </w:tcPr>
          <w:p w14:paraId="53038560" w14:textId="663B26B7" w:rsidR="00061A4C" w:rsidRPr="008A71FE" w:rsidRDefault="00061A4C" w:rsidP="00AD0007">
            <w:pPr>
              <w:pStyle w:val="Tablebullet1"/>
              <w:numPr>
                <w:ilvl w:val="0"/>
                <w:numId w:val="0"/>
              </w:numPr>
            </w:pPr>
            <w:r>
              <w:t>All Victorian Government boards specify requirements for LGBTIQA+ representation</w:t>
            </w:r>
          </w:p>
        </w:tc>
      </w:tr>
      <w:tr w:rsidR="00061A4C" w:rsidRPr="008A71FE" w14:paraId="74010E0E"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tcBorders>
              <w:top w:val="single" w:sz="4" w:space="0" w:color="auto"/>
              <w:left w:val="nil"/>
              <w:bottom w:val="single" w:sz="4" w:space="0" w:color="auto"/>
              <w:right w:val="nil"/>
            </w:tcBorders>
          </w:tcPr>
          <w:p w14:paraId="013CD368" w14:textId="4C47D5AD" w:rsidR="00061A4C" w:rsidRPr="008A71FE" w:rsidRDefault="00061A4C" w:rsidP="00AD0007">
            <w:pPr>
              <w:pStyle w:val="Tablebullet1"/>
              <w:numPr>
                <w:ilvl w:val="0"/>
                <w:numId w:val="0"/>
              </w:numPr>
            </w:pPr>
            <w:r>
              <w:t xml:space="preserve">Ongoing support for LGBTIQA+ communities’ voice to government, such as the LGBTIQA+ Taskforce and other advisory groups </w:t>
            </w:r>
          </w:p>
        </w:tc>
        <w:tc>
          <w:tcPr>
            <w:tcW w:w="4644" w:type="dxa"/>
            <w:tcBorders>
              <w:top w:val="single" w:sz="4" w:space="0" w:color="auto"/>
              <w:left w:val="nil"/>
              <w:bottom w:val="single" w:sz="4" w:space="0" w:color="auto"/>
              <w:right w:val="nil"/>
            </w:tcBorders>
          </w:tcPr>
          <w:p w14:paraId="1586EB64" w14:textId="7ADD2A61" w:rsidR="00061A4C" w:rsidRPr="008A71FE" w:rsidRDefault="00061A4C" w:rsidP="00AD0007">
            <w:pPr>
              <w:pStyle w:val="Tablebullet1"/>
              <w:numPr>
                <w:ilvl w:val="0"/>
                <w:numId w:val="0"/>
              </w:numPr>
            </w:pPr>
            <w:r>
              <w:t>Continue all key advisory groups and create new ones</w:t>
            </w:r>
          </w:p>
        </w:tc>
      </w:tr>
      <w:tr w:rsidR="00061A4C" w:rsidRPr="008A71FE" w14:paraId="4E529FE5"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tcBorders>
              <w:top w:val="single" w:sz="4" w:space="0" w:color="auto"/>
              <w:left w:val="nil"/>
              <w:bottom w:val="single" w:sz="4" w:space="0" w:color="auto"/>
              <w:right w:val="nil"/>
            </w:tcBorders>
          </w:tcPr>
          <w:p w14:paraId="47CC41BF" w14:textId="0649293A" w:rsidR="00061A4C" w:rsidRPr="00B94010" w:rsidRDefault="00061A4C" w:rsidP="00AD0007">
            <w:pPr>
              <w:pStyle w:val="Tablebullet1"/>
              <w:numPr>
                <w:ilvl w:val="0"/>
                <w:numId w:val="0"/>
              </w:numPr>
            </w:pPr>
            <w:r>
              <w:t xml:space="preserve">Continue the work of the Commissioner for LGBTIQA+ Communities as a crucial role in advocating for </w:t>
            </w:r>
            <w:r w:rsidRPr="005417CF">
              <w:t xml:space="preserve">improved LGBTIQA+ outcomes </w:t>
            </w:r>
            <w:r>
              <w:t xml:space="preserve">across government </w:t>
            </w:r>
          </w:p>
        </w:tc>
        <w:tc>
          <w:tcPr>
            <w:tcW w:w="4644" w:type="dxa"/>
            <w:tcBorders>
              <w:top w:val="single" w:sz="4" w:space="0" w:color="auto"/>
              <w:left w:val="nil"/>
              <w:bottom w:val="single" w:sz="4" w:space="0" w:color="auto"/>
              <w:right w:val="nil"/>
            </w:tcBorders>
          </w:tcPr>
          <w:p w14:paraId="02032943" w14:textId="0304A274" w:rsidR="00061A4C" w:rsidRDefault="00061A4C" w:rsidP="00AD0007">
            <w:pPr>
              <w:pStyle w:val="Tablebullet1"/>
              <w:numPr>
                <w:ilvl w:val="0"/>
                <w:numId w:val="0"/>
              </w:numPr>
            </w:pPr>
            <w:r>
              <w:t xml:space="preserve">Commissioner’s role is sustained, and Commissioner meets with all other relevant state Commissioners </w:t>
            </w:r>
          </w:p>
        </w:tc>
      </w:tr>
    </w:tbl>
    <w:p w14:paraId="1DDCF01D" w14:textId="53C58419" w:rsidR="007C3ED0" w:rsidRPr="000212A5" w:rsidRDefault="00F27B23" w:rsidP="004A5CD5">
      <w:pPr>
        <w:pStyle w:val="Heading4"/>
      </w:pPr>
      <w:bookmarkStart w:id="112" w:name="_Toc161297336"/>
      <w:r>
        <w:t>I</w:t>
      </w:r>
      <w:r w:rsidR="007C3ED0">
        <w:t>ndicators</w:t>
      </w:r>
      <w:bookmarkEnd w:id="112"/>
    </w:p>
    <w:p w14:paraId="68B8C170" w14:textId="63D8FC0D" w:rsidR="007C3ED0" w:rsidRPr="00287840" w:rsidRDefault="007C3ED0" w:rsidP="005A199F">
      <w:pPr>
        <w:pStyle w:val="Bullet1"/>
        <w:numPr>
          <w:ilvl w:val="0"/>
          <w:numId w:val="0"/>
        </w:numPr>
      </w:pPr>
      <w:r w:rsidRPr="00287840">
        <w:t xml:space="preserve">Improved data collection standards </w:t>
      </w:r>
      <w:r w:rsidR="00060F1E">
        <w:t>for government and government-funded services</w:t>
      </w:r>
      <w:r w:rsidR="00D87F0A">
        <w:t xml:space="preserve"> (3.1.1)</w:t>
      </w:r>
    </w:p>
    <w:p w14:paraId="160A1103" w14:textId="164A7C9B" w:rsidR="007C3ED0" w:rsidRPr="00287840" w:rsidRDefault="007C3ED0" w:rsidP="005A199F">
      <w:pPr>
        <w:pStyle w:val="Bullet1"/>
        <w:numPr>
          <w:ilvl w:val="0"/>
          <w:numId w:val="0"/>
        </w:numPr>
      </w:pPr>
      <w:r w:rsidRPr="00287840">
        <w:t xml:space="preserve">Improved </w:t>
      </w:r>
      <w:r w:rsidR="00060F1E">
        <w:t>participation in</w:t>
      </w:r>
      <w:r w:rsidRPr="00287840">
        <w:t xml:space="preserve"> data collection by LGBTIQA+ Victorians</w:t>
      </w:r>
      <w:r w:rsidR="00653969">
        <w:t xml:space="preserve"> (3.1.2)</w:t>
      </w:r>
    </w:p>
    <w:p w14:paraId="535A4BDA" w14:textId="6CBE155D" w:rsidR="007C3ED0" w:rsidRPr="00287840" w:rsidRDefault="007C3ED0" w:rsidP="005A199F">
      <w:pPr>
        <w:pStyle w:val="Bullet1"/>
        <w:numPr>
          <w:ilvl w:val="0"/>
          <w:numId w:val="0"/>
        </w:numPr>
      </w:pPr>
      <w:r w:rsidRPr="00287840">
        <w:t>Improved evidence base for effective and inclusive services</w:t>
      </w:r>
      <w:r w:rsidR="00AA64DF">
        <w:t xml:space="preserve"> (3.1.3)</w:t>
      </w:r>
    </w:p>
    <w:p w14:paraId="0325833E" w14:textId="429B16C8" w:rsidR="007C3ED0" w:rsidRPr="00287840" w:rsidRDefault="007C3ED0" w:rsidP="005A199F">
      <w:pPr>
        <w:pStyle w:val="Bullet1"/>
        <w:numPr>
          <w:ilvl w:val="0"/>
          <w:numId w:val="0"/>
        </w:numPr>
      </w:pPr>
      <w:r w:rsidRPr="00287840">
        <w:t>Increased sharing of data</w:t>
      </w:r>
      <w:r w:rsidR="00060F1E">
        <w:t xml:space="preserve"> between agencies</w:t>
      </w:r>
      <w:r w:rsidR="00346CF2">
        <w:t xml:space="preserve"> </w:t>
      </w:r>
      <w:r w:rsidR="00346CF2" w:rsidRPr="00346CF2">
        <w:t>about LGBTIQA+ Victorians</w:t>
      </w:r>
      <w:r w:rsidR="00346CF2">
        <w:t xml:space="preserve"> (3.2.1)</w:t>
      </w:r>
    </w:p>
    <w:p w14:paraId="5C75F7B2" w14:textId="52C5D3A4" w:rsidR="007C3ED0" w:rsidRPr="00287840" w:rsidRDefault="007C3ED0" w:rsidP="005A199F">
      <w:pPr>
        <w:pStyle w:val="Bullet1"/>
        <w:numPr>
          <w:ilvl w:val="0"/>
          <w:numId w:val="0"/>
        </w:numPr>
      </w:pPr>
      <w:r w:rsidRPr="00287840">
        <w:t xml:space="preserve">Increased LGBTIQA+ representation in </w:t>
      </w:r>
      <w:r w:rsidR="00060F1E">
        <w:t>government</w:t>
      </w:r>
      <w:r w:rsidR="00060F1E" w:rsidRPr="00287840">
        <w:t xml:space="preserve"> </w:t>
      </w:r>
      <w:r w:rsidRPr="00287840">
        <w:t>decision making</w:t>
      </w:r>
      <w:r w:rsidR="00BA31D3">
        <w:t xml:space="preserve"> (3.2.2)</w:t>
      </w:r>
    </w:p>
    <w:p w14:paraId="01F10DEE" w14:textId="7F6162FE" w:rsidR="007C3ED0" w:rsidRPr="00287840" w:rsidRDefault="00060F1E" w:rsidP="005A199F">
      <w:pPr>
        <w:pStyle w:val="Bullet1"/>
        <w:numPr>
          <w:ilvl w:val="0"/>
          <w:numId w:val="0"/>
        </w:numPr>
      </w:pPr>
      <w:r>
        <w:t>More</w:t>
      </w:r>
      <w:r w:rsidR="007C3ED0" w:rsidRPr="00287840">
        <w:t xml:space="preserve"> </w:t>
      </w:r>
      <w:r w:rsidR="001E5D6B">
        <w:t xml:space="preserve">policy and </w:t>
      </w:r>
      <w:r w:rsidR="007C3ED0" w:rsidRPr="00287840">
        <w:t xml:space="preserve">data collection resources designed with LGBTIQA+ </w:t>
      </w:r>
      <w:r w:rsidR="0032667F">
        <w:t>people</w:t>
      </w:r>
      <w:r w:rsidR="0032667F" w:rsidRPr="00287840">
        <w:t xml:space="preserve"> </w:t>
      </w:r>
      <w:r w:rsidR="007C3ED0" w:rsidRPr="00287840">
        <w:t>in mind</w:t>
      </w:r>
      <w:r w:rsidR="00EA377F">
        <w:t xml:space="preserve"> (3.2.3)</w:t>
      </w:r>
    </w:p>
    <w:p w14:paraId="03AAB9BD" w14:textId="368C5F5C" w:rsidR="007C3ED0" w:rsidRDefault="00022A20" w:rsidP="004A5CD5">
      <w:pPr>
        <w:pStyle w:val="Heading4"/>
      </w:pPr>
      <w:bookmarkStart w:id="113" w:name="_Toc161297337"/>
      <w:r w:rsidRPr="000212A5">
        <w:t>O</w:t>
      </w:r>
      <w:r w:rsidR="007C3ED0" w:rsidRPr="000212A5">
        <w:t>utcomes</w:t>
      </w:r>
      <w:bookmarkEnd w:id="113"/>
    </w:p>
    <w:p w14:paraId="416C0803" w14:textId="3B02FFF2" w:rsidR="007C3ED0" w:rsidRPr="006101FE" w:rsidRDefault="007C3ED0" w:rsidP="007C3ED0">
      <w:pPr>
        <w:pStyle w:val="Body"/>
        <w:rPr>
          <w:b/>
          <w:bCs/>
        </w:rPr>
      </w:pPr>
      <w:r w:rsidRPr="006101FE">
        <w:rPr>
          <w:b/>
          <w:bCs/>
        </w:rPr>
        <w:t>Short</w:t>
      </w:r>
      <w:r w:rsidR="00207CAB" w:rsidRPr="006101FE">
        <w:rPr>
          <w:b/>
          <w:bCs/>
        </w:rPr>
        <w:t>-</w:t>
      </w:r>
      <w:r w:rsidRPr="006101FE">
        <w:rPr>
          <w:b/>
          <w:bCs/>
        </w:rPr>
        <w:t>term</w:t>
      </w:r>
    </w:p>
    <w:p w14:paraId="1C4512FB" w14:textId="370A894A" w:rsidR="007C3ED0" w:rsidRPr="00287840" w:rsidRDefault="007C3ED0" w:rsidP="003977C9">
      <w:pPr>
        <w:pStyle w:val="Bullet1"/>
        <w:numPr>
          <w:ilvl w:val="0"/>
          <w:numId w:val="0"/>
        </w:numPr>
      </w:pPr>
      <w:r w:rsidRPr="00287840">
        <w:t>Data collection</w:t>
      </w:r>
      <w:r w:rsidR="005B2884">
        <w:t xml:space="preserve"> about LGBTIQA+ people is appropriate and effective for</w:t>
      </w:r>
      <w:r w:rsidRPr="00287840">
        <w:t xml:space="preserve"> </w:t>
      </w:r>
      <w:r w:rsidR="00287840">
        <w:t>build</w:t>
      </w:r>
      <w:r w:rsidR="005B2884">
        <w:t>ing</w:t>
      </w:r>
      <w:r w:rsidR="00287840">
        <w:t xml:space="preserve"> </w:t>
      </w:r>
      <w:r w:rsidR="005B2884">
        <w:t>an</w:t>
      </w:r>
      <w:r w:rsidR="00287840">
        <w:t xml:space="preserve"> </w:t>
      </w:r>
      <w:r w:rsidRPr="00287840">
        <w:t>evidence base (3.1)</w:t>
      </w:r>
    </w:p>
    <w:p w14:paraId="21A32174" w14:textId="7DA328B3" w:rsidR="007C3ED0" w:rsidRPr="00287840" w:rsidRDefault="007C3ED0" w:rsidP="003977C9">
      <w:pPr>
        <w:pStyle w:val="Bullet1"/>
        <w:numPr>
          <w:ilvl w:val="0"/>
          <w:numId w:val="0"/>
        </w:numPr>
      </w:pPr>
      <w:r w:rsidRPr="00287840">
        <w:t>Decision</w:t>
      </w:r>
      <w:r w:rsidR="0095369C">
        <w:t xml:space="preserve"> making</w:t>
      </w:r>
      <w:r w:rsidR="001A7D8A">
        <w:t xml:space="preserve"> affecting LGBTIQA+ people is</w:t>
      </w:r>
      <w:r w:rsidRPr="00287840">
        <w:t xml:space="preserve"> evidence</w:t>
      </w:r>
      <w:r w:rsidR="001A7D8A">
        <w:t>-based</w:t>
      </w:r>
      <w:r w:rsidRPr="00287840">
        <w:t xml:space="preserve"> (3.2)</w:t>
      </w:r>
    </w:p>
    <w:p w14:paraId="0E07A4E6" w14:textId="77777777" w:rsidR="004F400F" w:rsidRPr="007C3ED0" w:rsidRDefault="004F400F" w:rsidP="004F400F">
      <w:pPr>
        <w:pStyle w:val="Heading4"/>
      </w:pPr>
      <w:bookmarkStart w:id="114" w:name="_Toc161297338"/>
      <w:r>
        <w:t>Domain 3 outcome</w:t>
      </w:r>
    </w:p>
    <w:p w14:paraId="564DC792" w14:textId="77777777" w:rsidR="004F400F" w:rsidRDefault="004F400F" w:rsidP="004F400F">
      <w:pPr>
        <w:pStyle w:val="Body"/>
      </w:pPr>
      <w:r>
        <w:t>Policies and services designed with LGBTIQA+ needs in mind.</w:t>
      </w:r>
    </w:p>
    <w:p w14:paraId="7C6CDE1F" w14:textId="0B6FD1E3" w:rsidR="007C3ED0" w:rsidRDefault="007C3ED0" w:rsidP="00F344A2">
      <w:pPr>
        <w:pStyle w:val="Heading4"/>
      </w:pPr>
      <w:r>
        <w:t>Sign of impact</w:t>
      </w:r>
      <w:bookmarkEnd w:id="114"/>
    </w:p>
    <w:p w14:paraId="4F2FC0B2" w14:textId="16A35199" w:rsidR="007C3ED0" w:rsidRDefault="007C3ED0" w:rsidP="00B04844">
      <w:pPr>
        <w:pStyle w:val="Body"/>
      </w:pPr>
      <w:r w:rsidRPr="007C3ED0">
        <w:t xml:space="preserve">Increase in </w:t>
      </w:r>
      <w:r w:rsidR="00AE0C9C">
        <w:t>LGBTIQA+</w:t>
      </w:r>
      <w:r w:rsidRPr="007C3ED0">
        <w:t xml:space="preserve"> inclusive data collection across all Victorian Government initiatives, programs and services (</w:t>
      </w:r>
      <w:r w:rsidR="00287840">
        <w:t>a</w:t>
      </w:r>
      <w:r w:rsidR="00287840" w:rsidRPr="007C3ED0">
        <w:t xml:space="preserve">s </w:t>
      </w:r>
      <w:r w:rsidRPr="007C3ED0">
        <w:t xml:space="preserve">measured </w:t>
      </w:r>
      <w:r w:rsidR="00287840">
        <w:t>in</w:t>
      </w:r>
      <w:r w:rsidR="00287840" w:rsidRPr="007C3ED0">
        <w:t xml:space="preserve"> </w:t>
      </w:r>
      <w:r w:rsidRPr="007C3ED0">
        <w:t>outcome indicator 3.1.1)</w:t>
      </w:r>
      <w:r w:rsidR="00305660">
        <w:t>.</w:t>
      </w:r>
    </w:p>
    <w:p w14:paraId="227A32BC" w14:textId="11217610" w:rsidR="00585B09" w:rsidRDefault="007F4BC6" w:rsidP="00F344A2">
      <w:pPr>
        <w:pStyle w:val="Heading3"/>
      </w:pPr>
      <w:r>
        <w:t>O</w:t>
      </w:r>
      <w:r w:rsidR="00585B09" w:rsidRPr="00876E56">
        <w:t>utcomes</w:t>
      </w:r>
      <w:r w:rsidR="00585B09">
        <w:t>, indicators and measures</w:t>
      </w:r>
      <w:r w:rsidR="00585B09" w:rsidRPr="00B354B2">
        <w:t xml:space="preserve"> </w:t>
      </w:r>
    </w:p>
    <w:p w14:paraId="045F6C87" w14:textId="0DB4C014" w:rsidR="007C3ED0" w:rsidRDefault="00585B09" w:rsidP="00F344A2">
      <w:pPr>
        <w:pStyle w:val="Heading4"/>
      </w:pPr>
      <w:bookmarkStart w:id="115" w:name="_Toc161297340"/>
      <w:r w:rsidRPr="00585B09">
        <w:t>Outcome 3.1: Data collection</w:t>
      </w:r>
      <w:r w:rsidR="005D6A3A">
        <w:t xml:space="preserve"> about LGBTIQA+ people is appropriate and effective for</w:t>
      </w:r>
      <w:r w:rsidRPr="00585B09">
        <w:t xml:space="preserve"> </w:t>
      </w:r>
      <w:r w:rsidR="00B25421">
        <w:t>build</w:t>
      </w:r>
      <w:r w:rsidR="005D6A3A">
        <w:t>ing</w:t>
      </w:r>
      <w:r w:rsidR="00B25421">
        <w:t xml:space="preserve"> </w:t>
      </w:r>
      <w:r w:rsidR="005D6A3A">
        <w:t>an</w:t>
      </w:r>
      <w:r w:rsidR="00B25421">
        <w:t xml:space="preserve"> </w:t>
      </w:r>
      <w:r w:rsidRPr="00585B09">
        <w:t>evidence base</w:t>
      </w:r>
      <w:bookmarkEnd w:id="115"/>
    </w:p>
    <w:p w14:paraId="7140ACE7" w14:textId="6F8EED2F" w:rsidR="00585B09" w:rsidRDefault="00585B09" w:rsidP="00F344A2">
      <w:pPr>
        <w:pStyle w:val="Heading5"/>
      </w:pPr>
      <w:bookmarkStart w:id="116" w:name="_Toc161297341"/>
      <w:r w:rsidRPr="00585B09">
        <w:t xml:space="preserve">Outcome indicator 3.1.1: Improved data collection standards </w:t>
      </w:r>
      <w:r w:rsidR="00D87F0A">
        <w:t>for</w:t>
      </w:r>
      <w:r w:rsidR="00D87F0A" w:rsidRPr="00585B09">
        <w:t xml:space="preserve"> </w:t>
      </w:r>
      <w:r w:rsidRPr="00585B09">
        <w:t xml:space="preserve">government and </w:t>
      </w:r>
      <w:r w:rsidR="00287840" w:rsidRPr="00585B09">
        <w:t>government</w:t>
      </w:r>
      <w:r w:rsidR="00287840">
        <w:t>-</w:t>
      </w:r>
      <w:r w:rsidRPr="00585B09">
        <w:t>funded services</w:t>
      </w:r>
      <w:r>
        <w:rPr>
          <w:rStyle w:val="FootnoteReference"/>
        </w:rPr>
        <w:footnoteReference w:id="22"/>
      </w:r>
      <w:bookmarkEnd w:id="116"/>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585B09" w:rsidRPr="00D069FA" w14:paraId="3535A31A" w14:textId="77777777">
        <w:trPr>
          <w:tblHeader/>
        </w:trPr>
        <w:tc>
          <w:tcPr>
            <w:tcW w:w="4644" w:type="dxa"/>
          </w:tcPr>
          <w:p w14:paraId="372FFA1B" w14:textId="77777777" w:rsidR="00585B09" w:rsidRPr="00D069FA" w:rsidRDefault="00585B09">
            <w:pPr>
              <w:pStyle w:val="Tablecolhead"/>
            </w:pPr>
            <w:r w:rsidRPr="00D069FA">
              <w:t>Measure</w:t>
            </w:r>
          </w:p>
        </w:tc>
        <w:tc>
          <w:tcPr>
            <w:tcW w:w="4644" w:type="dxa"/>
          </w:tcPr>
          <w:p w14:paraId="469AA195" w14:textId="77777777" w:rsidR="00585B09" w:rsidRPr="00D069FA" w:rsidRDefault="00585B09">
            <w:pPr>
              <w:pStyle w:val="Tablecolhead"/>
            </w:pPr>
            <w:r w:rsidRPr="00D069FA">
              <w:t>Data source</w:t>
            </w:r>
          </w:p>
        </w:tc>
      </w:tr>
      <w:tr w:rsidR="00585B09" w:rsidRPr="00393345" w14:paraId="7DE66D26" w14:textId="77777777">
        <w:tc>
          <w:tcPr>
            <w:tcW w:w="4644" w:type="dxa"/>
          </w:tcPr>
          <w:p w14:paraId="65BEEB58" w14:textId="55C31C8C" w:rsidR="00585B09" w:rsidRPr="00585B09" w:rsidRDefault="00585B09" w:rsidP="00585B09">
            <w:pPr>
              <w:pStyle w:val="Tabletext6pt"/>
            </w:pPr>
            <w:r w:rsidRPr="00585B09">
              <w:t xml:space="preserve">Proportion of Victorian Government departments and agencies </w:t>
            </w:r>
            <w:r w:rsidR="00287840">
              <w:t>using</w:t>
            </w:r>
            <w:r w:rsidRPr="00585B09">
              <w:t xml:space="preserve"> Victorian Government </w:t>
            </w:r>
            <w:r w:rsidR="00AE0C9C">
              <w:t>LGBTIQA+</w:t>
            </w:r>
            <w:r w:rsidRPr="00585B09">
              <w:t xml:space="preserve"> data standards</w:t>
            </w:r>
          </w:p>
        </w:tc>
        <w:tc>
          <w:tcPr>
            <w:tcW w:w="4644" w:type="dxa"/>
          </w:tcPr>
          <w:p w14:paraId="68577312" w14:textId="7B59F024" w:rsidR="00585B09" w:rsidRPr="00585B09" w:rsidRDefault="00585B09" w:rsidP="00585B09">
            <w:pPr>
              <w:pStyle w:val="Tabletext6pt"/>
            </w:pPr>
            <w:r w:rsidRPr="00585B09">
              <w:t xml:space="preserve">Victorian Government </w:t>
            </w:r>
          </w:p>
        </w:tc>
      </w:tr>
      <w:tr w:rsidR="00585B09" w:rsidRPr="00393345" w14:paraId="704F6A3E" w14:textId="77777777">
        <w:tc>
          <w:tcPr>
            <w:tcW w:w="4644" w:type="dxa"/>
          </w:tcPr>
          <w:p w14:paraId="0BF6556D" w14:textId="493072B1" w:rsidR="00585B09" w:rsidRPr="00585B09" w:rsidRDefault="00585B09" w:rsidP="00585B09">
            <w:pPr>
              <w:pStyle w:val="Tabletext6pt"/>
            </w:pPr>
            <w:r w:rsidRPr="00585B09">
              <w:t xml:space="preserve">Proportion of sampled VPS datasets </w:t>
            </w:r>
            <w:r w:rsidR="00287840">
              <w:t>using</w:t>
            </w:r>
            <w:r w:rsidRPr="00585B09">
              <w:t xml:space="preserve"> Vic</w:t>
            </w:r>
            <w:r w:rsidR="00287840">
              <w:t>torian</w:t>
            </w:r>
            <w:r w:rsidRPr="00585B09">
              <w:t xml:space="preserve"> </w:t>
            </w:r>
            <w:r w:rsidR="00287840">
              <w:t>Government</w:t>
            </w:r>
            <w:r w:rsidR="00287840" w:rsidRPr="00585B09">
              <w:t xml:space="preserve"> </w:t>
            </w:r>
            <w:r w:rsidR="00AE0C9C">
              <w:t>LGBTIQA+</w:t>
            </w:r>
            <w:r w:rsidRPr="00585B09">
              <w:t xml:space="preserve"> data standards</w:t>
            </w:r>
          </w:p>
        </w:tc>
        <w:tc>
          <w:tcPr>
            <w:tcW w:w="4644" w:type="dxa"/>
          </w:tcPr>
          <w:p w14:paraId="0437EB6D" w14:textId="784A62AA" w:rsidR="00585B09" w:rsidRPr="00585B09" w:rsidRDefault="00585B09" w:rsidP="00585B09">
            <w:pPr>
              <w:pStyle w:val="Tabletext6pt"/>
            </w:pPr>
            <w:r w:rsidRPr="00585B09">
              <w:t xml:space="preserve">Victorian Government </w:t>
            </w:r>
          </w:p>
        </w:tc>
      </w:tr>
      <w:tr w:rsidR="00585B09" w:rsidRPr="00393345" w14:paraId="6E192715" w14:textId="77777777">
        <w:tc>
          <w:tcPr>
            <w:tcW w:w="4644" w:type="dxa"/>
          </w:tcPr>
          <w:p w14:paraId="1C5A11BA" w14:textId="62ACC62B" w:rsidR="00585B09" w:rsidRPr="00585B09" w:rsidRDefault="00585B09" w:rsidP="00585B09">
            <w:pPr>
              <w:pStyle w:val="Tabletext6pt"/>
            </w:pPr>
            <w:r w:rsidRPr="00585B09">
              <w:t>Proportion of sampled g</w:t>
            </w:r>
            <w:r w:rsidR="00287840">
              <w:t>overnment-</w:t>
            </w:r>
            <w:r w:rsidRPr="00585B09">
              <w:t xml:space="preserve">funded services using Victorian Government </w:t>
            </w:r>
            <w:r w:rsidR="00AE0C9C">
              <w:t>LGBTIQA+</w:t>
            </w:r>
            <w:r w:rsidRPr="00585B09">
              <w:t xml:space="preserve"> data standards</w:t>
            </w:r>
          </w:p>
        </w:tc>
        <w:tc>
          <w:tcPr>
            <w:tcW w:w="4644" w:type="dxa"/>
          </w:tcPr>
          <w:p w14:paraId="4666BACD" w14:textId="5E58B38E" w:rsidR="00585B09" w:rsidRPr="00585B09" w:rsidRDefault="00585B09" w:rsidP="00585B09">
            <w:pPr>
              <w:pStyle w:val="Tabletext6pt"/>
            </w:pPr>
            <w:r w:rsidRPr="00585B09">
              <w:t xml:space="preserve">Victorian Government </w:t>
            </w:r>
          </w:p>
        </w:tc>
      </w:tr>
      <w:tr w:rsidR="00585B09" w:rsidRPr="00393345" w14:paraId="39C14ECF" w14:textId="77777777">
        <w:tc>
          <w:tcPr>
            <w:tcW w:w="4644" w:type="dxa"/>
          </w:tcPr>
          <w:p w14:paraId="4903E889" w14:textId="5E8CB1DA" w:rsidR="00585B09" w:rsidRPr="00585B09" w:rsidRDefault="00585B09" w:rsidP="00585B09">
            <w:pPr>
              <w:pStyle w:val="Tabletext6pt"/>
            </w:pPr>
            <w:r w:rsidRPr="00585B09">
              <w:t xml:space="preserve">Proportion of VPS staff who have </w:t>
            </w:r>
            <w:r w:rsidR="003D6FA5">
              <w:t>done</w:t>
            </w:r>
            <w:r w:rsidR="003D6FA5" w:rsidRPr="00585B09">
              <w:t xml:space="preserve"> </w:t>
            </w:r>
            <w:r w:rsidR="00AE0C9C">
              <w:t>LGBTIQA+</w:t>
            </w:r>
            <w:r w:rsidRPr="00585B09">
              <w:t xml:space="preserve"> data training</w:t>
            </w:r>
            <w:r w:rsidR="00287840">
              <w:t xml:space="preserve"> and</w:t>
            </w:r>
            <w:r w:rsidR="00287840" w:rsidRPr="00585B09">
              <w:t xml:space="preserve"> who</w:t>
            </w:r>
            <w:r w:rsidR="00287840">
              <w:t xml:space="preserve"> feel they understand</w:t>
            </w:r>
            <w:r w:rsidRPr="00585B09">
              <w:t xml:space="preserve"> safe, inclusive and appropriate </w:t>
            </w:r>
            <w:r w:rsidR="00AE0C9C">
              <w:t>LGBTIQA+</w:t>
            </w:r>
            <w:r w:rsidRPr="00585B09">
              <w:t xml:space="preserve"> data collection</w:t>
            </w:r>
          </w:p>
        </w:tc>
        <w:tc>
          <w:tcPr>
            <w:tcW w:w="4644" w:type="dxa"/>
          </w:tcPr>
          <w:p w14:paraId="35FCAE8E" w14:textId="7747B0F0" w:rsidR="00585B09" w:rsidRPr="00585B09" w:rsidRDefault="00585B09" w:rsidP="00585B09">
            <w:pPr>
              <w:pStyle w:val="Tabletext6pt"/>
            </w:pPr>
            <w:r w:rsidRPr="00585B09">
              <w:t xml:space="preserve">Victorian Government </w:t>
            </w:r>
          </w:p>
        </w:tc>
      </w:tr>
    </w:tbl>
    <w:p w14:paraId="177C285F" w14:textId="24B1BA1D" w:rsidR="00585B09" w:rsidRDefault="00585B09" w:rsidP="00F344A2">
      <w:pPr>
        <w:pStyle w:val="Heading5"/>
      </w:pPr>
      <w:bookmarkStart w:id="117" w:name="_Toc161297342"/>
      <w:r>
        <w:t xml:space="preserve">Outcome indicator 3.1.2: Improved </w:t>
      </w:r>
      <w:r w:rsidR="00653969">
        <w:t xml:space="preserve">participation in </w:t>
      </w:r>
      <w:r>
        <w:t>data collection by LGBTIQA+ Victorians</w:t>
      </w:r>
      <w:bookmarkEnd w:id="117"/>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585B09" w:rsidRPr="00D069FA" w14:paraId="6CF93C0D" w14:textId="77777777">
        <w:trPr>
          <w:tblHeader/>
        </w:trPr>
        <w:tc>
          <w:tcPr>
            <w:tcW w:w="4644" w:type="dxa"/>
          </w:tcPr>
          <w:p w14:paraId="117305BE" w14:textId="77777777" w:rsidR="00585B09" w:rsidRPr="00D069FA" w:rsidRDefault="00585B09">
            <w:pPr>
              <w:pStyle w:val="Tablecolhead"/>
            </w:pPr>
            <w:r w:rsidRPr="00D069FA">
              <w:t>Measure</w:t>
            </w:r>
          </w:p>
        </w:tc>
        <w:tc>
          <w:tcPr>
            <w:tcW w:w="4644" w:type="dxa"/>
          </w:tcPr>
          <w:p w14:paraId="04AFF290" w14:textId="77777777" w:rsidR="00585B09" w:rsidRPr="00D069FA" w:rsidRDefault="00585B09">
            <w:pPr>
              <w:pStyle w:val="Tablecolhead"/>
            </w:pPr>
            <w:r w:rsidRPr="00D069FA">
              <w:t>Data source</w:t>
            </w:r>
          </w:p>
        </w:tc>
      </w:tr>
      <w:tr w:rsidR="00585B09" w:rsidRPr="00585B09" w14:paraId="6B48D031" w14:textId="77777777">
        <w:tc>
          <w:tcPr>
            <w:tcW w:w="4644" w:type="dxa"/>
          </w:tcPr>
          <w:p w14:paraId="3081B257" w14:textId="21C55CB4" w:rsidR="00585B09" w:rsidRPr="00585B09" w:rsidRDefault="00585B09" w:rsidP="00585B09">
            <w:pPr>
              <w:pStyle w:val="Tabletext6pt"/>
            </w:pPr>
            <w:r w:rsidRPr="00C33CB2">
              <w:t>Rate of non-response across all Vic</w:t>
            </w:r>
            <w:r w:rsidR="00287840">
              <w:t>torian</w:t>
            </w:r>
            <w:r w:rsidRPr="00C33CB2">
              <w:t xml:space="preserve"> </w:t>
            </w:r>
            <w:r w:rsidR="00287840" w:rsidRPr="00C33CB2">
              <w:t>Gov</w:t>
            </w:r>
            <w:r w:rsidR="00287840">
              <w:t>ernment</w:t>
            </w:r>
            <w:r w:rsidR="00287840" w:rsidRPr="00C33CB2">
              <w:t xml:space="preserve"> </w:t>
            </w:r>
            <w:r w:rsidRPr="00C33CB2">
              <w:t xml:space="preserve">datasets for </w:t>
            </w:r>
            <w:r w:rsidR="00FA2004" w:rsidRPr="00FA2004">
              <w:t xml:space="preserve">sexual orientation, gender identity or sex characteristics </w:t>
            </w:r>
          </w:p>
        </w:tc>
        <w:tc>
          <w:tcPr>
            <w:tcW w:w="4644" w:type="dxa"/>
          </w:tcPr>
          <w:p w14:paraId="7AA37191" w14:textId="102CCADE" w:rsidR="00585B09" w:rsidRPr="00585B09" w:rsidRDefault="00585B09" w:rsidP="00585B09">
            <w:pPr>
              <w:pStyle w:val="Tabletext6pt"/>
            </w:pPr>
            <w:r w:rsidRPr="00C33CB2">
              <w:t xml:space="preserve">Victorian Government </w:t>
            </w:r>
          </w:p>
        </w:tc>
      </w:tr>
      <w:tr w:rsidR="00585B09" w:rsidRPr="00585B09" w14:paraId="034D9160" w14:textId="77777777">
        <w:tc>
          <w:tcPr>
            <w:tcW w:w="4644" w:type="dxa"/>
          </w:tcPr>
          <w:p w14:paraId="6367E60E" w14:textId="5D0028DB" w:rsidR="00585B09" w:rsidRPr="00585B09" w:rsidRDefault="00585B09" w:rsidP="00585B09">
            <w:pPr>
              <w:pStyle w:val="Tabletext6pt"/>
            </w:pPr>
            <w:r w:rsidRPr="00C33CB2">
              <w:t xml:space="preserve">Proportion of </w:t>
            </w:r>
            <w:r w:rsidR="00AE0C9C">
              <w:t>LGBTIQA+</w:t>
            </w:r>
            <w:r w:rsidRPr="00C33CB2">
              <w:t xml:space="preserve"> Victorians comfortable identifying their </w:t>
            </w:r>
            <w:r w:rsidR="00AE0C9C">
              <w:t>LGBTIQA+</w:t>
            </w:r>
            <w:r w:rsidRPr="00C33CB2">
              <w:t xml:space="preserve"> status </w:t>
            </w:r>
            <w:r w:rsidR="00287840">
              <w:t xml:space="preserve">during </w:t>
            </w:r>
            <w:r w:rsidR="003A5DEF">
              <w:t xml:space="preserve">government </w:t>
            </w:r>
            <w:r w:rsidR="006237C6">
              <w:t xml:space="preserve">or services </w:t>
            </w:r>
            <w:r w:rsidR="00287840">
              <w:t>data collection</w:t>
            </w:r>
            <w:r w:rsidRPr="00C33CB2">
              <w:t xml:space="preserve"> </w:t>
            </w:r>
          </w:p>
        </w:tc>
        <w:tc>
          <w:tcPr>
            <w:tcW w:w="4644" w:type="dxa"/>
          </w:tcPr>
          <w:p w14:paraId="23F18379" w14:textId="5EF14258" w:rsidR="00585B09" w:rsidRPr="00585B09" w:rsidRDefault="003A61F3" w:rsidP="00585B09">
            <w:pPr>
              <w:pStyle w:val="Tabletext6pt"/>
            </w:pPr>
            <w:r>
              <w:t xml:space="preserve">To be determined </w:t>
            </w:r>
          </w:p>
        </w:tc>
      </w:tr>
    </w:tbl>
    <w:p w14:paraId="3A98825F" w14:textId="793551E7" w:rsidR="00585B09" w:rsidRDefault="00585B09" w:rsidP="00F344A2">
      <w:pPr>
        <w:pStyle w:val="Heading5"/>
      </w:pPr>
      <w:bookmarkStart w:id="118" w:name="_Toc161297343"/>
      <w:r w:rsidRPr="00585B09">
        <w:t>Outcome indicator 3.1.3: Improved evidence base for effective and inclusive services</w:t>
      </w:r>
      <w:bookmarkEnd w:id="118"/>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585B09" w:rsidRPr="00D069FA" w14:paraId="073FD083" w14:textId="77777777">
        <w:trPr>
          <w:tblHeader/>
        </w:trPr>
        <w:tc>
          <w:tcPr>
            <w:tcW w:w="4644" w:type="dxa"/>
          </w:tcPr>
          <w:p w14:paraId="708E169B" w14:textId="77777777" w:rsidR="00585B09" w:rsidRPr="00D069FA" w:rsidRDefault="00585B09">
            <w:pPr>
              <w:pStyle w:val="Tablecolhead"/>
            </w:pPr>
            <w:r w:rsidRPr="00D069FA">
              <w:t>Measure</w:t>
            </w:r>
          </w:p>
        </w:tc>
        <w:tc>
          <w:tcPr>
            <w:tcW w:w="4644" w:type="dxa"/>
          </w:tcPr>
          <w:p w14:paraId="16063584" w14:textId="77777777" w:rsidR="00585B09" w:rsidRPr="00D069FA" w:rsidRDefault="00585B09">
            <w:pPr>
              <w:pStyle w:val="Tablecolhead"/>
            </w:pPr>
            <w:r w:rsidRPr="00D069FA">
              <w:t>Data source</w:t>
            </w:r>
          </w:p>
        </w:tc>
      </w:tr>
      <w:tr w:rsidR="00585B09" w:rsidRPr="00585B09" w14:paraId="302FD017" w14:textId="77777777">
        <w:tc>
          <w:tcPr>
            <w:tcW w:w="4644" w:type="dxa"/>
          </w:tcPr>
          <w:p w14:paraId="362EF6F9" w14:textId="06078485" w:rsidR="00585B09" w:rsidRPr="00585B09" w:rsidRDefault="00585B09" w:rsidP="00585B09">
            <w:pPr>
              <w:pStyle w:val="Tabletext6pt"/>
            </w:pPr>
            <w:r w:rsidRPr="00C33CB2">
              <w:t xml:space="preserve">Increased availability of research, evidence collection and publication to inform </w:t>
            </w:r>
            <w:r w:rsidR="00AE0C9C">
              <w:t>LGBTIQA+</w:t>
            </w:r>
            <w:r w:rsidRPr="00C33CB2">
              <w:t xml:space="preserve"> policy responses</w:t>
            </w:r>
          </w:p>
        </w:tc>
        <w:tc>
          <w:tcPr>
            <w:tcW w:w="4644" w:type="dxa"/>
          </w:tcPr>
          <w:p w14:paraId="42C58FF0" w14:textId="00483F47" w:rsidR="00585B09" w:rsidRPr="00585B09" w:rsidRDefault="00585B09" w:rsidP="00585B09">
            <w:pPr>
              <w:pStyle w:val="Tabletext6pt"/>
            </w:pPr>
            <w:r w:rsidRPr="00C33CB2">
              <w:t xml:space="preserve">Victorian Government </w:t>
            </w:r>
          </w:p>
        </w:tc>
      </w:tr>
      <w:tr w:rsidR="00585B09" w:rsidRPr="00585B09" w14:paraId="1104F863" w14:textId="77777777">
        <w:tc>
          <w:tcPr>
            <w:tcW w:w="4644" w:type="dxa"/>
          </w:tcPr>
          <w:p w14:paraId="354EDD65" w14:textId="774E368B" w:rsidR="00585B09" w:rsidRPr="00585B09" w:rsidRDefault="00585B09" w:rsidP="00585B09">
            <w:pPr>
              <w:pStyle w:val="Tabletext6pt"/>
            </w:pPr>
            <w:r w:rsidRPr="00C33CB2">
              <w:t xml:space="preserve">Proportion of sampled VPS datasets that collect </w:t>
            </w:r>
            <w:r w:rsidR="00AE0C9C">
              <w:t>LGBTIQA+</w:t>
            </w:r>
            <w:r w:rsidRPr="00C33CB2">
              <w:t xml:space="preserve"> </w:t>
            </w:r>
            <w:r w:rsidR="00287840">
              <w:t xml:space="preserve">demographic </w:t>
            </w:r>
            <w:r w:rsidRPr="00C33CB2">
              <w:t>data</w:t>
            </w:r>
            <w:r w:rsidR="00442209">
              <w:t xml:space="preserve"> that include data points for sex</w:t>
            </w:r>
            <w:r w:rsidR="00884881">
              <w:t xml:space="preserve">, </w:t>
            </w:r>
            <w:r w:rsidR="00B13CEE">
              <w:t>gender, sexuality</w:t>
            </w:r>
            <w:r w:rsidR="00C70AE5">
              <w:t xml:space="preserve"> and sex characteristics</w:t>
            </w:r>
            <w:r w:rsidR="00884881">
              <w:t>, where valuable</w:t>
            </w:r>
            <w:r w:rsidRPr="00C33CB2">
              <w:t xml:space="preserve"> </w:t>
            </w:r>
          </w:p>
        </w:tc>
        <w:tc>
          <w:tcPr>
            <w:tcW w:w="4644" w:type="dxa"/>
          </w:tcPr>
          <w:p w14:paraId="2D9039C5" w14:textId="18AB98BB" w:rsidR="00585B09" w:rsidRPr="00585B09" w:rsidRDefault="00585B09" w:rsidP="00585B09">
            <w:pPr>
              <w:pStyle w:val="Tabletext6pt"/>
            </w:pPr>
            <w:r w:rsidRPr="00C33CB2">
              <w:t xml:space="preserve">Victorian Government </w:t>
            </w:r>
          </w:p>
        </w:tc>
      </w:tr>
    </w:tbl>
    <w:p w14:paraId="7D4C3B5B" w14:textId="105B1633" w:rsidR="00585B09" w:rsidRDefault="00585B09" w:rsidP="00F344A2">
      <w:pPr>
        <w:pStyle w:val="Heading4"/>
      </w:pPr>
      <w:bookmarkStart w:id="119" w:name="_Toc161297344"/>
      <w:r w:rsidRPr="00585B09">
        <w:t xml:space="preserve">Outcome 3.2: </w:t>
      </w:r>
      <w:r w:rsidR="003E4D64">
        <w:t>D</w:t>
      </w:r>
      <w:r w:rsidR="00287840">
        <w:t>ecision making</w:t>
      </w:r>
      <w:bookmarkEnd w:id="119"/>
      <w:r w:rsidR="00287840">
        <w:t xml:space="preserve"> </w:t>
      </w:r>
      <w:r w:rsidR="00F652DF" w:rsidRPr="00F652DF">
        <w:t>affecting LGBTIQA+ people is evidence-based</w:t>
      </w:r>
    </w:p>
    <w:p w14:paraId="03E9CA8D" w14:textId="68375662" w:rsidR="00585B09" w:rsidRDefault="00585B09" w:rsidP="00F344A2">
      <w:pPr>
        <w:pStyle w:val="Heading5"/>
      </w:pPr>
      <w:bookmarkStart w:id="120" w:name="_Toc161297345"/>
      <w:r w:rsidRPr="00585B09">
        <w:t xml:space="preserve">Outcome indicator 3.2.1: Increased interagency </w:t>
      </w:r>
      <w:r w:rsidR="00287840">
        <w:t xml:space="preserve">data sharing </w:t>
      </w:r>
      <w:r w:rsidR="00171A9B">
        <w:t>about</w:t>
      </w:r>
      <w:r w:rsidR="00287840">
        <w:t xml:space="preserve"> </w:t>
      </w:r>
      <w:r w:rsidR="00AE0C9C">
        <w:t>LGBTIQA+</w:t>
      </w:r>
      <w:r w:rsidRPr="00585B09">
        <w:t xml:space="preserve"> </w:t>
      </w:r>
      <w:r w:rsidR="0032431F">
        <w:t>Victorians</w:t>
      </w:r>
      <w:r w:rsidR="00C70F0C">
        <w:t xml:space="preserve"> </w:t>
      </w:r>
      <w:bookmarkEnd w:id="120"/>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585B09" w:rsidRPr="00D069FA" w14:paraId="3759FE8C" w14:textId="77777777">
        <w:trPr>
          <w:tblHeader/>
        </w:trPr>
        <w:tc>
          <w:tcPr>
            <w:tcW w:w="4644" w:type="dxa"/>
          </w:tcPr>
          <w:p w14:paraId="2BB8CA13" w14:textId="77777777" w:rsidR="00585B09" w:rsidRPr="00D069FA" w:rsidRDefault="00585B09">
            <w:pPr>
              <w:pStyle w:val="Tablecolhead"/>
            </w:pPr>
            <w:r w:rsidRPr="00D069FA">
              <w:t>Measure</w:t>
            </w:r>
          </w:p>
        </w:tc>
        <w:tc>
          <w:tcPr>
            <w:tcW w:w="4644" w:type="dxa"/>
          </w:tcPr>
          <w:p w14:paraId="6B2CF904" w14:textId="77777777" w:rsidR="00585B09" w:rsidRPr="00D069FA" w:rsidRDefault="00585B09">
            <w:pPr>
              <w:pStyle w:val="Tablecolhead"/>
            </w:pPr>
            <w:r w:rsidRPr="00D069FA">
              <w:t>Data source</w:t>
            </w:r>
          </w:p>
        </w:tc>
      </w:tr>
      <w:tr w:rsidR="00585B09" w:rsidRPr="00585B09" w14:paraId="75C36949" w14:textId="77777777">
        <w:tc>
          <w:tcPr>
            <w:tcW w:w="4644" w:type="dxa"/>
          </w:tcPr>
          <w:p w14:paraId="12871083" w14:textId="14C6DAC1" w:rsidR="00585B09" w:rsidRPr="00585B09" w:rsidRDefault="00585B09" w:rsidP="00585B09">
            <w:pPr>
              <w:pStyle w:val="Tabletext6pt"/>
            </w:pPr>
            <w:r w:rsidRPr="00C33CB2">
              <w:t xml:space="preserve">Number of Victorian Government data platforms that draw on interagency </w:t>
            </w:r>
            <w:r w:rsidR="00AE0C9C">
              <w:t>LGBTIQA+</w:t>
            </w:r>
            <w:r w:rsidRPr="00C33CB2">
              <w:t xml:space="preserve"> data</w:t>
            </w:r>
            <w:r w:rsidR="00DC52BA">
              <w:rPr>
                <w:rStyle w:val="FootnoteReference"/>
              </w:rPr>
              <w:footnoteReference w:id="23"/>
            </w:r>
          </w:p>
        </w:tc>
        <w:tc>
          <w:tcPr>
            <w:tcW w:w="4644" w:type="dxa"/>
          </w:tcPr>
          <w:p w14:paraId="62912849" w14:textId="7182CC89" w:rsidR="00585B09" w:rsidRPr="00585B09" w:rsidRDefault="00585B09" w:rsidP="00585B09">
            <w:pPr>
              <w:pStyle w:val="Tabletext6pt"/>
            </w:pPr>
            <w:r w:rsidRPr="00C33CB2">
              <w:t xml:space="preserve">Victorian Government </w:t>
            </w:r>
          </w:p>
        </w:tc>
      </w:tr>
    </w:tbl>
    <w:p w14:paraId="25E4C70F" w14:textId="1E873AE9" w:rsidR="00585B09" w:rsidRDefault="00585B09" w:rsidP="00F344A2">
      <w:pPr>
        <w:pStyle w:val="Heading5"/>
      </w:pPr>
      <w:bookmarkStart w:id="121" w:name="_Toc161297346"/>
      <w:r w:rsidRPr="00585B09">
        <w:t xml:space="preserve">Outcome indicator 3.2.2: Increased </w:t>
      </w:r>
      <w:r w:rsidR="00AE0C9C">
        <w:t>LGBTIQA+</w:t>
      </w:r>
      <w:r w:rsidRPr="00585B09">
        <w:t xml:space="preserve"> representation in government decision making</w:t>
      </w:r>
      <w:r>
        <w:rPr>
          <w:rStyle w:val="FootnoteReference"/>
        </w:rPr>
        <w:footnoteReference w:id="24"/>
      </w:r>
      <w:bookmarkEnd w:id="121"/>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585B09" w:rsidRPr="00D069FA" w14:paraId="5D9CF00E" w14:textId="77777777">
        <w:trPr>
          <w:tblHeader/>
        </w:trPr>
        <w:tc>
          <w:tcPr>
            <w:tcW w:w="4644" w:type="dxa"/>
          </w:tcPr>
          <w:p w14:paraId="662535A9" w14:textId="77777777" w:rsidR="00585B09" w:rsidRPr="00D069FA" w:rsidRDefault="00585B09">
            <w:pPr>
              <w:pStyle w:val="Tablecolhead"/>
            </w:pPr>
            <w:r w:rsidRPr="00D069FA">
              <w:t>Measure</w:t>
            </w:r>
          </w:p>
        </w:tc>
        <w:tc>
          <w:tcPr>
            <w:tcW w:w="4644" w:type="dxa"/>
          </w:tcPr>
          <w:p w14:paraId="3C888D2E" w14:textId="77777777" w:rsidR="00585B09" w:rsidRPr="00D069FA" w:rsidRDefault="00585B09">
            <w:pPr>
              <w:pStyle w:val="Tablecolhead"/>
            </w:pPr>
            <w:r w:rsidRPr="00D069FA">
              <w:t>Data source</w:t>
            </w:r>
          </w:p>
        </w:tc>
      </w:tr>
      <w:tr w:rsidR="00585B09" w:rsidRPr="00585B09" w14:paraId="270BE514" w14:textId="77777777">
        <w:tc>
          <w:tcPr>
            <w:tcW w:w="4644" w:type="dxa"/>
          </w:tcPr>
          <w:p w14:paraId="68B23AD3" w14:textId="48F0FF83" w:rsidR="00585B09" w:rsidRPr="00585B09" w:rsidRDefault="00585B09" w:rsidP="00585B09">
            <w:pPr>
              <w:pStyle w:val="Tabletext6pt"/>
            </w:pPr>
            <w:r w:rsidRPr="00585B09">
              <w:t xml:space="preserve">Proportion of </w:t>
            </w:r>
            <w:r w:rsidR="00AE0C9C">
              <w:t>LGBTIQA+</w:t>
            </w:r>
            <w:r w:rsidRPr="00585B09">
              <w:t xml:space="preserve"> members on Vic</w:t>
            </w:r>
            <w:r w:rsidR="00287840">
              <w:t>torian</w:t>
            </w:r>
            <w:r w:rsidRPr="00585B09">
              <w:t xml:space="preserve"> </w:t>
            </w:r>
            <w:r w:rsidR="00287840">
              <w:t>Government</w:t>
            </w:r>
            <w:r w:rsidR="00287840" w:rsidRPr="00585B09">
              <w:t xml:space="preserve"> </w:t>
            </w:r>
            <w:r w:rsidR="00287840">
              <w:t>b</w:t>
            </w:r>
            <w:r w:rsidR="00287840" w:rsidRPr="00585B09">
              <w:t>oards</w:t>
            </w:r>
          </w:p>
        </w:tc>
        <w:tc>
          <w:tcPr>
            <w:tcW w:w="4644" w:type="dxa"/>
          </w:tcPr>
          <w:p w14:paraId="1887A684" w14:textId="779B2FB3" w:rsidR="00585B09" w:rsidRPr="00585B09" w:rsidRDefault="00585B09" w:rsidP="00585B09">
            <w:pPr>
              <w:pStyle w:val="Tabletext6pt"/>
            </w:pPr>
            <w:r w:rsidRPr="00585B09">
              <w:t xml:space="preserve">Victorian Government </w:t>
            </w:r>
          </w:p>
        </w:tc>
      </w:tr>
      <w:tr w:rsidR="00585B09" w:rsidRPr="00585B09" w14:paraId="5D5CA851" w14:textId="77777777">
        <w:tc>
          <w:tcPr>
            <w:tcW w:w="4644" w:type="dxa"/>
          </w:tcPr>
          <w:p w14:paraId="3D6FB592" w14:textId="602DE0F2" w:rsidR="00585B09" w:rsidRPr="00585B09" w:rsidRDefault="00287840" w:rsidP="00585B09">
            <w:pPr>
              <w:pStyle w:val="Tabletext6pt"/>
            </w:pPr>
            <w:r>
              <w:t>Proportion of</w:t>
            </w:r>
            <w:r w:rsidR="00585B09" w:rsidRPr="00585B09">
              <w:t xml:space="preserve"> </w:t>
            </w:r>
            <w:r w:rsidR="00AE0C9C">
              <w:t>LGBTIQA+</w:t>
            </w:r>
            <w:r w:rsidR="00585B09" w:rsidRPr="00585B09">
              <w:t xml:space="preserve"> Victorians </w:t>
            </w:r>
            <w:r>
              <w:t>who</w:t>
            </w:r>
            <w:r w:rsidRPr="00585B09">
              <w:t xml:space="preserve"> </w:t>
            </w:r>
            <w:r w:rsidR="00585B09" w:rsidRPr="00585B09">
              <w:t xml:space="preserve">feel </w:t>
            </w:r>
            <w:r>
              <w:t>they</w:t>
            </w:r>
            <w:r w:rsidR="00585B09" w:rsidRPr="00585B09">
              <w:t xml:space="preserve"> have a real say on issues important to them</w:t>
            </w:r>
          </w:p>
        </w:tc>
        <w:tc>
          <w:tcPr>
            <w:tcW w:w="4644" w:type="dxa"/>
          </w:tcPr>
          <w:p w14:paraId="019572AB" w14:textId="5B1B8DA3" w:rsidR="00585B09" w:rsidRPr="00585B09" w:rsidRDefault="00585B09" w:rsidP="00585B09">
            <w:pPr>
              <w:pStyle w:val="Tabletext6pt"/>
            </w:pPr>
            <w:r w:rsidRPr="00585B09">
              <w:t>Vic</w:t>
            </w:r>
            <w:r w:rsidR="00287840">
              <w:t>torian</w:t>
            </w:r>
            <w:r w:rsidRPr="00585B09">
              <w:t xml:space="preserve"> Pop</w:t>
            </w:r>
            <w:r w:rsidR="00287840">
              <w:t>ulation</w:t>
            </w:r>
            <w:r w:rsidRPr="00585B09">
              <w:t xml:space="preserve"> Health </w:t>
            </w:r>
            <w:r w:rsidR="00287840">
              <w:t xml:space="preserve">Survey </w:t>
            </w:r>
          </w:p>
        </w:tc>
      </w:tr>
      <w:tr w:rsidR="00585B09" w:rsidRPr="00585B09" w14:paraId="459B8D3E" w14:textId="77777777">
        <w:tc>
          <w:tcPr>
            <w:tcW w:w="4644" w:type="dxa"/>
          </w:tcPr>
          <w:p w14:paraId="67464A37" w14:textId="550684D8" w:rsidR="00585B09" w:rsidRPr="00585B09" w:rsidRDefault="00287840" w:rsidP="00585B09">
            <w:pPr>
              <w:pStyle w:val="Tabletext6pt"/>
            </w:pPr>
            <w:r>
              <w:t>N</w:t>
            </w:r>
            <w:r w:rsidR="00585B09" w:rsidRPr="00585B09">
              <w:t>umber of policies, programs</w:t>
            </w:r>
            <w:r>
              <w:t>,</w:t>
            </w:r>
            <w:r w:rsidR="00585B09" w:rsidRPr="00585B09">
              <w:t xml:space="preserve"> strategies and plans </w:t>
            </w:r>
            <w:r>
              <w:t xml:space="preserve">sent to </w:t>
            </w:r>
            <w:r w:rsidR="00585B09" w:rsidRPr="00585B09">
              <w:t xml:space="preserve">the </w:t>
            </w:r>
            <w:r w:rsidR="00AE0C9C">
              <w:t>LGBTIQA+</w:t>
            </w:r>
            <w:r w:rsidR="00585B09" w:rsidRPr="00585B09">
              <w:t xml:space="preserve"> Taskforce and the Justice and Health and Wellbeing Working Groups </w:t>
            </w:r>
            <w:r>
              <w:t>for consultation</w:t>
            </w:r>
            <w:r w:rsidR="00CA497B">
              <w:t xml:space="preserve"> each year</w:t>
            </w:r>
          </w:p>
        </w:tc>
        <w:tc>
          <w:tcPr>
            <w:tcW w:w="4644" w:type="dxa"/>
          </w:tcPr>
          <w:p w14:paraId="0E9A0417" w14:textId="053659C5" w:rsidR="00585B09" w:rsidRPr="00585B09" w:rsidRDefault="00585B09" w:rsidP="00585B09">
            <w:pPr>
              <w:pStyle w:val="Tabletext6pt"/>
            </w:pPr>
            <w:r w:rsidRPr="00585B09">
              <w:t xml:space="preserve">Victorian Government </w:t>
            </w:r>
          </w:p>
        </w:tc>
      </w:tr>
    </w:tbl>
    <w:p w14:paraId="2B496751" w14:textId="3076FFF2" w:rsidR="00585B09" w:rsidRDefault="00585B09" w:rsidP="00F344A2">
      <w:pPr>
        <w:pStyle w:val="Heading5"/>
      </w:pPr>
      <w:bookmarkStart w:id="122" w:name="_Toc161297347"/>
      <w:r w:rsidRPr="00585B09">
        <w:t xml:space="preserve">Outcome indicator 3.2.3: </w:t>
      </w:r>
      <w:r w:rsidR="003D6FA5">
        <w:t>More</w:t>
      </w:r>
      <w:r w:rsidRPr="00585B09">
        <w:t xml:space="preserve"> policy </w:t>
      </w:r>
      <w:r w:rsidR="00EA377F">
        <w:t xml:space="preserve">and data collection resources </w:t>
      </w:r>
      <w:r w:rsidRPr="00585B09">
        <w:t xml:space="preserve">designed with </w:t>
      </w:r>
      <w:r w:rsidR="00AE0C9C">
        <w:t>LGBTIQA+</w:t>
      </w:r>
      <w:r w:rsidRPr="00585B09">
        <w:t xml:space="preserve"> </w:t>
      </w:r>
      <w:r w:rsidR="003D6FA5">
        <w:t>people</w:t>
      </w:r>
      <w:r w:rsidR="003D6FA5" w:rsidRPr="00585B09">
        <w:t xml:space="preserve"> </w:t>
      </w:r>
      <w:r w:rsidRPr="00585B09">
        <w:t>in mind</w:t>
      </w:r>
      <w:r>
        <w:rPr>
          <w:rStyle w:val="FootnoteReference"/>
        </w:rPr>
        <w:footnoteReference w:id="25"/>
      </w:r>
      <w:bookmarkEnd w:id="122"/>
      <w:r w:rsidRPr="00585B09">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585B09" w:rsidRPr="00D069FA" w14:paraId="530079BA" w14:textId="77777777">
        <w:trPr>
          <w:tblHeader/>
        </w:trPr>
        <w:tc>
          <w:tcPr>
            <w:tcW w:w="4644" w:type="dxa"/>
          </w:tcPr>
          <w:p w14:paraId="1AEA3A77" w14:textId="77777777" w:rsidR="00585B09" w:rsidRPr="00D069FA" w:rsidRDefault="00585B09">
            <w:pPr>
              <w:pStyle w:val="Tablecolhead"/>
            </w:pPr>
            <w:r w:rsidRPr="00D069FA">
              <w:t>Measure</w:t>
            </w:r>
          </w:p>
        </w:tc>
        <w:tc>
          <w:tcPr>
            <w:tcW w:w="4644" w:type="dxa"/>
          </w:tcPr>
          <w:p w14:paraId="26D1A054" w14:textId="77777777" w:rsidR="00585B09" w:rsidRPr="00D069FA" w:rsidRDefault="00585B09">
            <w:pPr>
              <w:pStyle w:val="Tablecolhead"/>
            </w:pPr>
            <w:r w:rsidRPr="00D069FA">
              <w:t>Data source</w:t>
            </w:r>
          </w:p>
        </w:tc>
      </w:tr>
      <w:tr w:rsidR="00585B09" w:rsidRPr="00585B09" w14:paraId="40F18824" w14:textId="77777777">
        <w:tc>
          <w:tcPr>
            <w:tcW w:w="4644" w:type="dxa"/>
          </w:tcPr>
          <w:p w14:paraId="544AABC9" w14:textId="4D898BDA" w:rsidR="00585B09" w:rsidRPr="00585B09" w:rsidRDefault="00585B09" w:rsidP="00585B09">
            <w:pPr>
              <w:pStyle w:val="Tabletext6pt"/>
            </w:pPr>
            <w:r w:rsidRPr="00585B09">
              <w:t xml:space="preserve">Proportion of </w:t>
            </w:r>
            <w:r w:rsidR="00287840">
              <w:t>Victorian</w:t>
            </w:r>
            <w:r w:rsidR="00287840" w:rsidRPr="00585B09">
              <w:t xml:space="preserve"> </w:t>
            </w:r>
            <w:r w:rsidR="00287840">
              <w:t>Government</w:t>
            </w:r>
            <w:r w:rsidR="00287840" w:rsidRPr="00585B09">
              <w:t xml:space="preserve"> </w:t>
            </w:r>
            <w:r w:rsidRPr="00585B09">
              <w:t>department</w:t>
            </w:r>
            <w:r w:rsidR="00287840">
              <w:t>s</w:t>
            </w:r>
            <w:r w:rsidRPr="00585B09">
              <w:t xml:space="preserve"> or statutory bodies </w:t>
            </w:r>
            <w:r w:rsidR="00287840">
              <w:t>with</w:t>
            </w:r>
            <w:r w:rsidRPr="00585B09">
              <w:t xml:space="preserve"> diversity action plans or similar </w:t>
            </w:r>
            <w:r w:rsidR="00287840">
              <w:t>that</w:t>
            </w:r>
            <w:r w:rsidRPr="00585B09">
              <w:t xml:space="preserve"> are on track with delivery</w:t>
            </w:r>
          </w:p>
        </w:tc>
        <w:tc>
          <w:tcPr>
            <w:tcW w:w="4644" w:type="dxa"/>
          </w:tcPr>
          <w:p w14:paraId="4FAD2858" w14:textId="20AC0B81" w:rsidR="00585B09" w:rsidRPr="00585B09" w:rsidRDefault="00585B09" w:rsidP="00585B09">
            <w:pPr>
              <w:pStyle w:val="Tabletext6pt"/>
            </w:pPr>
            <w:r w:rsidRPr="00585B09">
              <w:t>Victorian Government</w:t>
            </w:r>
          </w:p>
        </w:tc>
      </w:tr>
      <w:tr w:rsidR="00585B09" w:rsidRPr="00585B09" w14:paraId="0CF7627D" w14:textId="77777777" w:rsidTr="00585B09">
        <w:trPr>
          <w:trHeight w:val="61"/>
        </w:trPr>
        <w:tc>
          <w:tcPr>
            <w:tcW w:w="4644" w:type="dxa"/>
          </w:tcPr>
          <w:p w14:paraId="0D00B48F" w14:textId="30C710D9" w:rsidR="00585B09" w:rsidRPr="00585B09" w:rsidRDefault="00585B09" w:rsidP="00585B09">
            <w:pPr>
              <w:pStyle w:val="Tabletext6pt"/>
            </w:pPr>
            <w:r w:rsidRPr="00585B09">
              <w:t xml:space="preserve">Proportion of relevant </w:t>
            </w:r>
            <w:r w:rsidR="00287840">
              <w:t>Victorian</w:t>
            </w:r>
            <w:r w:rsidR="00287840" w:rsidRPr="00585B09">
              <w:t xml:space="preserve"> </w:t>
            </w:r>
            <w:r w:rsidR="00287840">
              <w:t>Government</w:t>
            </w:r>
            <w:r w:rsidR="00287840" w:rsidRPr="00585B09">
              <w:t xml:space="preserve"> </w:t>
            </w:r>
            <w:r w:rsidRPr="00585B09">
              <w:t xml:space="preserve">outcomes frameworks that include measures relating to </w:t>
            </w:r>
            <w:r w:rsidR="00AE0C9C">
              <w:t>LGBTIQA+</w:t>
            </w:r>
            <w:r w:rsidRPr="00585B09">
              <w:t xml:space="preserve"> communities</w:t>
            </w:r>
          </w:p>
        </w:tc>
        <w:tc>
          <w:tcPr>
            <w:tcW w:w="4644" w:type="dxa"/>
          </w:tcPr>
          <w:p w14:paraId="6F1B7F81" w14:textId="1A28835D" w:rsidR="00585B09" w:rsidRPr="00585B09" w:rsidRDefault="00585B09" w:rsidP="00585B09">
            <w:pPr>
              <w:pStyle w:val="Tabletext6pt"/>
            </w:pPr>
            <w:r w:rsidRPr="00585B09">
              <w:t>Victorian Government</w:t>
            </w:r>
          </w:p>
        </w:tc>
      </w:tr>
    </w:tbl>
    <w:p w14:paraId="416709B3" w14:textId="441F7AEA" w:rsidR="00585B09" w:rsidRDefault="00585B09" w:rsidP="00585B09">
      <w:pPr>
        <w:pStyle w:val="Body"/>
      </w:pPr>
    </w:p>
    <w:p w14:paraId="06BB28F5" w14:textId="77777777" w:rsidR="00585B09" w:rsidRDefault="00585B09" w:rsidP="00B04844">
      <w:pPr>
        <w:pStyle w:val="Body"/>
      </w:pPr>
      <w:r>
        <w:br w:type="page"/>
      </w:r>
    </w:p>
    <w:p w14:paraId="09CACCCD" w14:textId="5FDE28D3" w:rsidR="00585B09" w:rsidRDefault="00585B09" w:rsidP="00585B09">
      <w:pPr>
        <w:pStyle w:val="Heading2"/>
      </w:pPr>
      <w:bookmarkStart w:id="123" w:name="_Toc183769440"/>
      <w:r>
        <w:t>Domain 4: Safe, strong and sustainable communities</w:t>
      </w:r>
      <w:bookmarkEnd w:id="123"/>
      <w:r>
        <w:t xml:space="preserve"> </w:t>
      </w:r>
    </w:p>
    <w:p w14:paraId="243C5772" w14:textId="3A7D821C" w:rsidR="00795CC2" w:rsidRPr="00795CC2" w:rsidRDefault="00795CC2" w:rsidP="00F344A2">
      <w:pPr>
        <w:pStyle w:val="Heading3"/>
      </w:pPr>
      <w:r>
        <w:t>Logic model</w:t>
      </w:r>
      <w:r w:rsidR="00421077">
        <w:t xml:space="preserve"> overview </w:t>
      </w:r>
    </w:p>
    <w:p w14:paraId="54ADB8ED" w14:textId="05DC9CFC" w:rsidR="00585B09" w:rsidRDefault="00585B09" w:rsidP="00421077">
      <w:pPr>
        <w:pStyle w:val="Heading4"/>
      </w:pPr>
      <w:bookmarkStart w:id="124" w:name="_Toc161297349"/>
      <w:r>
        <w:t xml:space="preserve">Problem </w:t>
      </w:r>
      <w:r w:rsidRPr="000212A5">
        <w:t>statement</w:t>
      </w:r>
      <w:bookmarkEnd w:id="124"/>
    </w:p>
    <w:p w14:paraId="0D3B8410" w14:textId="5BDD6046" w:rsidR="00585B09" w:rsidRDefault="00585B09" w:rsidP="00585B09">
      <w:pPr>
        <w:pStyle w:val="Body"/>
      </w:pPr>
      <w:r>
        <w:t xml:space="preserve">Discrimination, stigma and abuse </w:t>
      </w:r>
      <w:r w:rsidR="00287840">
        <w:t xml:space="preserve">of </w:t>
      </w:r>
      <w:r>
        <w:t xml:space="preserve">LGBTIQA+ </w:t>
      </w:r>
      <w:r w:rsidR="007E5426">
        <w:t>people</w:t>
      </w:r>
      <w:r>
        <w:t xml:space="preserve"> </w:t>
      </w:r>
      <w:r w:rsidR="00231320">
        <w:t>are</w:t>
      </w:r>
      <w:r w:rsidR="009F3C8B">
        <w:t xml:space="preserve"> wrong</w:t>
      </w:r>
      <w:r w:rsidR="00231320">
        <w:t xml:space="preserve">, but they </w:t>
      </w:r>
      <w:r w:rsidR="003D6FA5">
        <w:t>still happen</w:t>
      </w:r>
      <w:r w:rsidR="007E5426">
        <w:t xml:space="preserve">. </w:t>
      </w:r>
      <w:r w:rsidR="00231320">
        <w:t xml:space="preserve">They </w:t>
      </w:r>
      <w:r>
        <w:t xml:space="preserve">lead to poorer health </w:t>
      </w:r>
      <w:r w:rsidR="007E5426">
        <w:t xml:space="preserve">and mental health </w:t>
      </w:r>
      <w:r>
        <w:t>and wellbeing outcomes</w:t>
      </w:r>
      <w:r w:rsidR="007E5426">
        <w:t xml:space="preserve"> for LGBTIQA+ people. </w:t>
      </w:r>
      <w:r>
        <w:t>LGBT</w:t>
      </w:r>
      <w:r w:rsidR="00473699">
        <w:t xml:space="preserve">IQA+ people </w:t>
      </w:r>
      <w:r w:rsidR="002C5C86">
        <w:t xml:space="preserve">need </w:t>
      </w:r>
      <w:r w:rsidR="007E5426">
        <w:t xml:space="preserve">to feel </w:t>
      </w:r>
      <w:r w:rsidR="002C5C86">
        <w:t>bonds, friendships and allyships</w:t>
      </w:r>
      <w:r w:rsidR="007E5426">
        <w:t xml:space="preserve"> within the broader community</w:t>
      </w:r>
      <w:r w:rsidR="002C5C86">
        <w:t>.</w:t>
      </w:r>
      <w:r w:rsidR="00106765">
        <w:t xml:space="preserve"> Without this, LGBTIQA+ people can feel isolated, lonely and excluded. </w:t>
      </w:r>
    </w:p>
    <w:p w14:paraId="06E740F4" w14:textId="61B649AD" w:rsidR="00473699" w:rsidRPr="000212A5" w:rsidRDefault="00473699" w:rsidP="00421077">
      <w:pPr>
        <w:pStyle w:val="Heading4"/>
      </w:pPr>
      <w:bookmarkStart w:id="125" w:name="_Toc161297350"/>
      <w:r w:rsidRPr="00473699">
        <w:t>Objective</w:t>
      </w:r>
      <w:bookmarkEnd w:id="125"/>
    </w:p>
    <w:p w14:paraId="3D228C50" w14:textId="18178BA3" w:rsidR="00473699" w:rsidRDefault="00473699" w:rsidP="00F344A2">
      <w:pPr>
        <w:pStyle w:val="Body"/>
      </w:pPr>
      <w:r>
        <w:t>To drive understanding, visibility and acceptance by promoting representations and celebrations of LGBTIQA+ communities</w:t>
      </w:r>
      <w:r w:rsidR="002200FE">
        <w:t>.</w:t>
      </w:r>
      <w:r>
        <w:t xml:space="preserve"> </w:t>
      </w:r>
    </w:p>
    <w:p w14:paraId="76F4F22C" w14:textId="75151F1D" w:rsidR="00F27B23" w:rsidRPr="00473699" w:rsidRDefault="00F27B23" w:rsidP="004A5CD5">
      <w:pPr>
        <w:pStyle w:val="Heading4"/>
      </w:pPr>
      <w:r>
        <w:t xml:space="preserve">Actions and </w:t>
      </w:r>
      <w:r w:rsidR="00421077">
        <w:t>o</w:t>
      </w:r>
      <w:r>
        <w:t xml:space="preserve">utputs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473699" w:rsidRPr="008C4BE0" w14:paraId="574FC4DA" w14:textId="77777777" w:rsidTr="004A5CD5">
        <w:trPr>
          <w:tblHeader/>
        </w:trPr>
        <w:tc>
          <w:tcPr>
            <w:tcW w:w="4644" w:type="dxa"/>
          </w:tcPr>
          <w:p w14:paraId="606A927C" w14:textId="7CEC2A8B" w:rsidR="00473699" w:rsidRDefault="00266B64" w:rsidP="00F344A2">
            <w:pPr>
              <w:pStyle w:val="Tablecolhead"/>
            </w:pPr>
            <w:bookmarkStart w:id="126" w:name="_Toc161297352"/>
            <w:r>
              <w:t>A</w:t>
            </w:r>
            <w:r w:rsidR="00473699" w:rsidRPr="008C4BE0">
              <w:t>ctions</w:t>
            </w:r>
            <w:bookmarkEnd w:id="126"/>
          </w:p>
          <w:p w14:paraId="73827DE7" w14:textId="77777777" w:rsidR="00473699" w:rsidRPr="008C4BE0" w:rsidRDefault="00473699">
            <w:pPr>
              <w:pStyle w:val="Body"/>
            </w:pPr>
            <w:r>
              <w:t>Early actions</w:t>
            </w:r>
          </w:p>
        </w:tc>
        <w:tc>
          <w:tcPr>
            <w:tcW w:w="4644" w:type="dxa"/>
          </w:tcPr>
          <w:p w14:paraId="70250578" w14:textId="77777777" w:rsidR="00473699" w:rsidRPr="008C4BE0" w:rsidRDefault="00473699" w:rsidP="00F344A2">
            <w:pPr>
              <w:pStyle w:val="Tablecolhead"/>
            </w:pPr>
            <w:bookmarkStart w:id="127" w:name="_Toc161297353"/>
            <w:r w:rsidRPr="008C4BE0">
              <w:t>Outputs</w:t>
            </w:r>
            <w:bookmarkEnd w:id="127"/>
          </w:p>
        </w:tc>
      </w:tr>
      <w:tr w:rsidR="004124E9" w14:paraId="0D95CC53" w14:textId="77777777">
        <w:tc>
          <w:tcPr>
            <w:tcW w:w="4644" w:type="dxa"/>
          </w:tcPr>
          <w:p w14:paraId="572DCBF5" w14:textId="5E49A454" w:rsidR="004124E9" w:rsidRDefault="004124E9" w:rsidP="00C217B4">
            <w:pPr>
              <w:pStyle w:val="Tablebullet1"/>
              <w:numPr>
                <w:ilvl w:val="0"/>
                <w:numId w:val="0"/>
              </w:numPr>
            </w:pPr>
            <w:r>
              <w:t xml:space="preserve">Deliver a state-wide awareness raising campaign </w:t>
            </w:r>
            <w:r w:rsidRPr="004D5BC6">
              <w:t>to celebrate and raise awareness of LGBTIQA+ experiences, including diverse communities</w:t>
            </w:r>
          </w:p>
        </w:tc>
        <w:tc>
          <w:tcPr>
            <w:tcW w:w="4644" w:type="dxa"/>
          </w:tcPr>
          <w:p w14:paraId="12F64A87" w14:textId="4A321909" w:rsidR="004124E9" w:rsidRDefault="004124E9" w:rsidP="00C217B4">
            <w:pPr>
              <w:pStyle w:val="Tablebullet1"/>
              <w:numPr>
                <w:ilvl w:val="0"/>
                <w:numId w:val="0"/>
              </w:numPr>
            </w:pPr>
            <w:r>
              <w:t xml:space="preserve">LGBTIQA+ campaign delivered in Victoria </w:t>
            </w:r>
          </w:p>
        </w:tc>
      </w:tr>
      <w:tr w:rsidR="004124E9" w14:paraId="1F370960" w14:textId="77777777">
        <w:tc>
          <w:tcPr>
            <w:tcW w:w="4644" w:type="dxa"/>
          </w:tcPr>
          <w:p w14:paraId="05EFAAD9" w14:textId="24642D99" w:rsidR="004124E9" w:rsidRDefault="004124E9" w:rsidP="00C217B4">
            <w:pPr>
              <w:pStyle w:val="Tablebullet1"/>
              <w:numPr>
                <w:ilvl w:val="0"/>
                <w:numId w:val="0"/>
              </w:numPr>
            </w:pPr>
            <w:r w:rsidRPr="004B571A">
              <w:t>Support LGBTIQA+ events to celebrate LGBTIQA+ diversity and increase community connections</w:t>
            </w:r>
          </w:p>
        </w:tc>
        <w:tc>
          <w:tcPr>
            <w:tcW w:w="4644" w:type="dxa"/>
          </w:tcPr>
          <w:p w14:paraId="5679F19D" w14:textId="32360A9E" w:rsidR="004124E9" w:rsidRDefault="004124E9" w:rsidP="00C217B4">
            <w:pPr>
              <w:pStyle w:val="Tablebullet1"/>
              <w:numPr>
                <w:ilvl w:val="0"/>
                <w:numId w:val="0"/>
              </w:numPr>
            </w:pPr>
            <w:r>
              <w:t>Community-led events delivered across Victoria each year</w:t>
            </w:r>
          </w:p>
        </w:tc>
      </w:tr>
      <w:tr w:rsidR="004124E9" w14:paraId="4F8CCFFB" w14:textId="77777777">
        <w:tc>
          <w:tcPr>
            <w:tcW w:w="4644" w:type="dxa"/>
          </w:tcPr>
          <w:p w14:paraId="2A3FCD91" w14:textId="5D96D1A8" w:rsidR="004124E9" w:rsidRPr="008C4BE0" w:rsidRDefault="004124E9" w:rsidP="00C217B4">
            <w:pPr>
              <w:pStyle w:val="Tablebullet1"/>
              <w:numPr>
                <w:ilvl w:val="0"/>
                <w:numId w:val="0"/>
              </w:numPr>
            </w:pPr>
            <w:r>
              <w:t>Increase LGBTIQA+ employment opportunities in government-funded major transport infrastructure initiatives and projects</w:t>
            </w:r>
          </w:p>
        </w:tc>
        <w:tc>
          <w:tcPr>
            <w:tcW w:w="4644" w:type="dxa"/>
          </w:tcPr>
          <w:p w14:paraId="6CBDFC81" w14:textId="0B313DA2" w:rsidR="004124E9" w:rsidRDefault="00287602" w:rsidP="00C217B4">
            <w:pPr>
              <w:pStyle w:val="Tablebullet1"/>
              <w:numPr>
                <w:ilvl w:val="0"/>
                <w:numId w:val="0"/>
              </w:numPr>
            </w:pPr>
            <w:r>
              <w:t>Majo</w:t>
            </w:r>
            <w:r w:rsidR="00AE06D3">
              <w:t>rity</w:t>
            </w:r>
            <w:r w:rsidR="004124E9">
              <w:t xml:space="preserve"> of Department of Transport LGBTIQA+ Inclusion Action Plan is completed</w:t>
            </w:r>
          </w:p>
        </w:tc>
      </w:tr>
      <w:tr w:rsidR="004124E9" w14:paraId="3F14E498" w14:textId="77777777" w:rsidTr="00BE0154">
        <w:tc>
          <w:tcPr>
            <w:tcW w:w="4644" w:type="dxa"/>
            <w:tcBorders>
              <w:bottom w:val="single" w:sz="4" w:space="0" w:color="auto"/>
            </w:tcBorders>
          </w:tcPr>
          <w:p w14:paraId="6813B868" w14:textId="1A622F5D" w:rsidR="004124E9" w:rsidRPr="008C4BE0" w:rsidRDefault="004124E9" w:rsidP="00C217B4">
            <w:pPr>
              <w:pStyle w:val="Tablebullet1"/>
              <w:numPr>
                <w:ilvl w:val="0"/>
                <w:numId w:val="0"/>
              </w:numPr>
            </w:pPr>
            <w:r>
              <w:t xml:space="preserve">Drive a centralised approach to support LGBTIQA+ VPS employees through the Victorian Public Sector Commission </w:t>
            </w:r>
          </w:p>
        </w:tc>
        <w:tc>
          <w:tcPr>
            <w:tcW w:w="4644" w:type="dxa"/>
            <w:tcBorders>
              <w:bottom w:val="single" w:sz="4" w:space="0" w:color="auto"/>
            </w:tcBorders>
          </w:tcPr>
          <w:p w14:paraId="57966105" w14:textId="43BFD5E1" w:rsidR="004124E9" w:rsidRDefault="004124E9" w:rsidP="00C217B4">
            <w:pPr>
              <w:pStyle w:val="Tablebullet1"/>
              <w:numPr>
                <w:ilvl w:val="0"/>
                <w:numId w:val="0"/>
              </w:numPr>
            </w:pPr>
            <w:r>
              <w:t>Interdepartmental processes and practices for LGBTIQA+ VPS employees</w:t>
            </w:r>
          </w:p>
        </w:tc>
      </w:tr>
      <w:tr w:rsidR="004124E9" w14:paraId="0B32F299" w14:textId="77777777" w:rsidTr="00BE0154">
        <w:tc>
          <w:tcPr>
            <w:tcW w:w="4644" w:type="dxa"/>
            <w:tcBorders>
              <w:top w:val="single" w:sz="4" w:space="0" w:color="auto"/>
              <w:bottom w:val="single" w:sz="4" w:space="0" w:color="auto"/>
            </w:tcBorders>
          </w:tcPr>
          <w:p w14:paraId="1F9264A7" w14:textId="50ED9107" w:rsidR="004124E9" w:rsidRPr="008C4BE0" w:rsidRDefault="004124E9" w:rsidP="00C217B4">
            <w:pPr>
              <w:pStyle w:val="Tablebullet1"/>
              <w:numPr>
                <w:ilvl w:val="0"/>
                <w:numId w:val="0"/>
              </w:numPr>
            </w:pPr>
            <w:r>
              <w:t>Review VPS workforce inclusion policies to identify improvements</w:t>
            </w:r>
          </w:p>
        </w:tc>
        <w:tc>
          <w:tcPr>
            <w:tcW w:w="4644" w:type="dxa"/>
            <w:tcBorders>
              <w:top w:val="single" w:sz="4" w:space="0" w:color="auto"/>
              <w:bottom w:val="single" w:sz="4" w:space="0" w:color="auto"/>
            </w:tcBorders>
          </w:tcPr>
          <w:p w14:paraId="4E2C0E71" w14:textId="090503C8" w:rsidR="004124E9" w:rsidRDefault="004124E9" w:rsidP="00C217B4">
            <w:pPr>
              <w:pStyle w:val="Tablebullet1"/>
              <w:numPr>
                <w:ilvl w:val="0"/>
                <w:numId w:val="0"/>
              </w:numPr>
            </w:pPr>
            <w:r>
              <w:t>Evaluation report of current LGBTIQA+ VPS workforce inclusion policies, with improvement recommendations</w:t>
            </w:r>
          </w:p>
        </w:tc>
      </w:tr>
      <w:tr w:rsidR="004124E9" w:rsidRPr="008C4BE0" w14:paraId="286A04BE" w14:textId="77777777">
        <w:tc>
          <w:tcPr>
            <w:tcW w:w="4644" w:type="dxa"/>
          </w:tcPr>
          <w:p w14:paraId="50C6DD4C" w14:textId="19619EC5" w:rsidR="004124E9" w:rsidRDefault="004124E9" w:rsidP="004124E9">
            <w:pPr>
              <w:pStyle w:val="Tablecolhead"/>
            </w:pPr>
            <w:bookmarkStart w:id="128" w:name="_Toc161297354"/>
            <w:r>
              <w:t>A</w:t>
            </w:r>
            <w:r w:rsidRPr="008C4BE0">
              <w:t>ctions</w:t>
            </w:r>
            <w:bookmarkEnd w:id="128"/>
          </w:p>
          <w:p w14:paraId="78248792" w14:textId="041AEDCC" w:rsidR="004124E9" w:rsidRPr="008C4BE0" w:rsidRDefault="004124E9" w:rsidP="004124E9">
            <w:pPr>
              <w:pStyle w:val="Body"/>
            </w:pPr>
            <w:r>
              <w:t>Within 10 years</w:t>
            </w:r>
          </w:p>
        </w:tc>
        <w:tc>
          <w:tcPr>
            <w:tcW w:w="4644" w:type="dxa"/>
          </w:tcPr>
          <w:p w14:paraId="2C71E4FA" w14:textId="77777777" w:rsidR="004124E9" w:rsidRPr="008C4BE0" w:rsidRDefault="004124E9" w:rsidP="004124E9">
            <w:pPr>
              <w:pStyle w:val="Tablecolhead"/>
            </w:pPr>
            <w:bookmarkStart w:id="129" w:name="_Toc161297355"/>
            <w:r w:rsidRPr="008C4BE0">
              <w:t>Outputs</w:t>
            </w:r>
            <w:bookmarkEnd w:id="129"/>
          </w:p>
        </w:tc>
      </w:tr>
      <w:tr w:rsidR="004124E9" w14:paraId="4EF956DD" w14:textId="77777777">
        <w:tc>
          <w:tcPr>
            <w:tcW w:w="4644" w:type="dxa"/>
          </w:tcPr>
          <w:p w14:paraId="09027367" w14:textId="3CD39506" w:rsidR="004124E9" w:rsidRDefault="004124E9" w:rsidP="005E5F68">
            <w:pPr>
              <w:pStyle w:val="Tablebullet1"/>
              <w:numPr>
                <w:ilvl w:val="0"/>
                <w:numId w:val="0"/>
              </w:numPr>
            </w:pPr>
            <w:r>
              <w:t>Develop a plan to ensure LGBTIQA+ inclusion is embedded in the design of safer public spaces</w:t>
            </w:r>
          </w:p>
        </w:tc>
        <w:tc>
          <w:tcPr>
            <w:tcW w:w="4644" w:type="dxa"/>
          </w:tcPr>
          <w:p w14:paraId="3E11E134" w14:textId="1C08D628" w:rsidR="004124E9" w:rsidRDefault="004124E9" w:rsidP="005E5F68">
            <w:pPr>
              <w:pStyle w:val="Tablebullet1"/>
              <w:numPr>
                <w:ilvl w:val="0"/>
                <w:numId w:val="0"/>
              </w:numPr>
            </w:pPr>
            <w:r>
              <w:t>Victorian Government public space design processes include mandatory consideration of LGBTIQA+ Victorians</w:t>
            </w:r>
          </w:p>
        </w:tc>
      </w:tr>
      <w:tr w:rsidR="004124E9" w14:paraId="76F750AB" w14:textId="77777777">
        <w:tc>
          <w:tcPr>
            <w:tcW w:w="4644" w:type="dxa"/>
          </w:tcPr>
          <w:p w14:paraId="695F9506" w14:textId="0C95752E" w:rsidR="004124E9" w:rsidRPr="008C4BE0" w:rsidRDefault="004124E9" w:rsidP="005E5F68">
            <w:pPr>
              <w:pStyle w:val="Tablebullet1"/>
              <w:numPr>
                <w:ilvl w:val="0"/>
                <w:numId w:val="0"/>
              </w:numPr>
            </w:pPr>
            <w:r>
              <w:t>Continue to support the capacity of professional and community sports to be LGBTIQA+ inclusive</w:t>
            </w:r>
          </w:p>
        </w:tc>
        <w:tc>
          <w:tcPr>
            <w:tcW w:w="4644" w:type="dxa"/>
          </w:tcPr>
          <w:p w14:paraId="12E504D6" w14:textId="0602F386" w:rsidR="004124E9" w:rsidRDefault="004124E9" w:rsidP="005E5F68">
            <w:pPr>
              <w:pStyle w:val="Tablebullet1"/>
              <w:numPr>
                <w:ilvl w:val="0"/>
                <w:numId w:val="0"/>
              </w:numPr>
            </w:pPr>
            <w:r>
              <w:t xml:space="preserve">Programs, policies and initiatives to build capacity of sporting organisations to support LGBTIQA+ inclusion </w:t>
            </w:r>
          </w:p>
        </w:tc>
      </w:tr>
      <w:tr w:rsidR="004124E9" w14:paraId="6C2CE151" w14:textId="77777777" w:rsidTr="00BE0154">
        <w:tc>
          <w:tcPr>
            <w:tcW w:w="4644" w:type="dxa"/>
            <w:tcBorders>
              <w:top w:val="single" w:sz="4" w:space="0" w:color="auto"/>
              <w:bottom w:val="single" w:sz="4" w:space="0" w:color="auto"/>
            </w:tcBorders>
          </w:tcPr>
          <w:p w14:paraId="5A3B1583" w14:textId="6A2F5DB9" w:rsidR="004124E9" w:rsidRPr="008C4BE0" w:rsidRDefault="004124E9" w:rsidP="005E5F68">
            <w:pPr>
              <w:pStyle w:val="Tablebullet1"/>
              <w:numPr>
                <w:ilvl w:val="0"/>
                <w:numId w:val="0"/>
              </w:numPr>
            </w:pPr>
            <w:r>
              <w:t>Continue our commitment to improve LGBTIQA+ inclusion in government policies, programs and services</w:t>
            </w:r>
          </w:p>
        </w:tc>
        <w:tc>
          <w:tcPr>
            <w:tcW w:w="4644" w:type="dxa"/>
            <w:tcBorders>
              <w:top w:val="single" w:sz="4" w:space="0" w:color="auto"/>
              <w:bottom w:val="single" w:sz="4" w:space="0" w:color="auto"/>
            </w:tcBorders>
          </w:tcPr>
          <w:p w14:paraId="27B52A84" w14:textId="75C0DAC5" w:rsidR="004124E9" w:rsidRDefault="004124E9" w:rsidP="005E5F68">
            <w:pPr>
              <w:pStyle w:val="Tablebullet1"/>
              <w:numPr>
                <w:ilvl w:val="0"/>
                <w:numId w:val="0"/>
              </w:numPr>
            </w:pPr>
            <w:r>
              <w:t>Continued demand for the Equality portfolio to inform policies, programs and services</w:t>
            </w:r>
          </w:p>
        </w:tc>
      </w:tr>
    </w:tbl>
    <w:p w14:paraId="59E0B0DC" w14:textId="47D2F1F3" w:rsidR="00BE0154" w:rsidRPr="000212A5" w:rsidRDefault="00F27B23" w:rsidP="004A5CD5">
      <w:pPr>
        <w:pStyle w:val="Heading4"/>
      </w:pPr>
      <w:bookmarkStart w:id="130" w:name="_Toc161297357"/>
      <w:r>
        <w:t>I</w:t>
      </w:r>
      <w:r w:rsidR="00BE0154">
        <w:t>ndicators</w:t>
      </w:r>
      <w:bookmarkEnd w:id="130"/>
    </w:p>
    <w:p w14:paraId="48FAFB0D" w14:textId="77777777" w:rsidR="007D20C8" w:rsidRDefault="007D20C8" w:rsidP="00BE0154">
      <w:pPr>
        <w:pStyle w:val="Bullet1"/>
      </w:pPr>
      <w:r>
        <w:t>D</w:t>
      </w:r>
      <w:r w:rsidRPr="007B0DF8">
        <w:t>ecreased rates of family and intimate partner violence</w:t>
      </w:r>
      <w:r>
        <w:t xml:space="preserve"> experienced by LGBTIQA+ Victorians (4.1.1)</w:t>
      </w:r>
    </w:p>
    <w:p w14:paraId="27F760D8" w14:textId="72D7C10B" w:rsidR="00BE0154" w:rsidRDefault="00BE0154" w:rsidP="00BE0154">
      <w:pPr>
        <w:pStyle w:val="Bullet1"/>
      </w:pPr>
      <w:r w:rsidRPr="00BE0154">
        <w:t xml:space="preserve">Decreased rates of harassment, physical abuse and </w:t>
      </w:r>
      <w:r w:rsidR="002071AA">
        <w:t>hate speech</w:t>
      </w:r>
      <w:r w:rsidR="002071AA" w:rsidRPr="00BE0154">
        <w:t xml:space="preserve"> </w:t>
      </w:r>
      <w:r w:rsidR="002071AA">
        <w:t>(4.</w:t>
      </w:r>
      <w:r w:rsidR="003E4497">
        <w:t>1.2)</w:t>
      </w:r>
    </w:p>
    <w:p w14:paraId="1944066B" w14:textId="31246F98" w:rsidR="004F5563" w:rsidRDefault="004F5563" w:rsidP="00BE0154">
      <w:pPr>
        <w:pStyle w:val="Bullet1"/>
      </w:pPr>
      <w:r>
        <w:t xml:space="preserve">Decreased rates of </w:t>
      </w:r>
      <w:r w:rsidR="003D494E">
        <w:t>discrimination (4.1.3)</w:t>
      </w:r>
    </w:p>
    <w:p w14:paraId="7FC4E3DB" w14:textId="5D54A0BE" w:rsidR="006A287D" w:rsidRPr="00BE0154" w:rsidRDefault="006A287D" w:rsidP="00BE0154">
      <w:pPr>
        <w:pStyle w:val="Bullet1"/>
      </w:pPr>
      <w:r w:rsidRPr="006A287D">
        <w:t>Increased support for LGBTIQA+ Victorians experiencing harassment, physical abuse, hate speech and discrimination</w:t>
      </w:r>
      <w:r>
        <w:t xml:space="preserve"> (4.1.4) </w:t>
      </w:r>
    </w:p>
    <w:p w14:paraId="49749661" w14:textId="2815CAE0" w:rsidR="00165CAA" w:rsidRDefault="00BE0154" w:rsidP="00BE0154">
      <w:pPr>
        <w:pStyle w:val="Bullet1"/>
      </w:pPr>
      <w:r w:rsidRPr="00BE0154">
        <w:t xml:space="preserve">Increased sense of safety </w:t>
      </w:r>
      <w:r w:rsidR="00165CAA">
        <w:t>(</w:t>
      </w:r>
      <w:r w:rsidR="00A46C0D">
        <w:t>4.2.1)</w:t>
      </w:r>
    </w:p>
    <w:p w14:paraId="44C15557" w14:textId="0C145990" w:rsidR="002A463D" w:rsidRDefault="00165CAA" w:rsidP="00BE0154">
      <w:pPr>
        <w:pStyle w:val="Bullet1"/>
      </w:pPr>
      <w:r>
        <w:t xml:space="preserve">Increased </w:t>
      </w:r>
      <w:r w:rsidR="00431531">
        <w:t xml:space="preserve">safety </w:t>
      </w:r>
      <w:r w:rsidR="00BE0154" w:rsidRPr="00BE0154">
        <w:t>and inclusivity in public spaces</w:t>
      </w:r>
      <w:r w:rsidR="002A463D">
        <w:t xml:space="preserve"> (4.2.2)</w:t>
      </w:r>
    </w:p>
    <w:p w14:paraId="087011EC" w14:textId="03BC966C" w:rsidR="00563EA8" w:rsidRDefault="002A463D" w:rsidP="00BE0154">
      <w:pPr>
        <w:pStyle w:val="Bullet1"/>
      </w:pPr>
      <w:r>
        <w:t xml:space="preserve">Increased </w:t>
      </w:r>
      <w:r w:rsidR="00D3153F">
        <w:t>safety and inclusivity in</w:t>
      </w:r>
      <w:r w:rsidR="00BE0154" w:rsidRPr="00BE0154">
        <w:t xml:space="preserve"> workplaces </w:t>
      </w:r>
      <w:r w:rsidR="00563EA8">
        <w:t>(4.2.3)</w:t>
      </w:r>
    </w:p>
    <w:p w14:paraId="3CA7E642" w14:textId="74E36E0B" w:rsidR="00BE0154" w:rsidRPr="00BE0154" w:rsidRDefault="007C6679" w:rsidP="00BE0154">
      <w:pPr>
        <w:pStyle w:val="Bullet1"/>
      </w:pPr>
      <w:r>
        <w:t>Increased safety and inclusivity in</w:t>
      </w:r>
      <w:r w:rsidR="00BE0154" w:rsidRPr="00BE0154">
        <w:t xml:space="preserve"> schools</w:t>
      </w:r>
      <w:r w:rsidR="00A46C0D">
        <w:t xml:space="preserve"> (</w:t>
      </w:r>
      <w:r w:rsidR="00FB6852">
        <w:t>4.2.4)</w:t>
      </w:r>
    </w:p>
    <w:p w14:paraId="521BF090" w14:textId="3D984E64" w:rsidR="00FB6852" w:rsidRDefault="00BE0154" w:rsidP="00BE0154">
      <w:pPr>
        <w:pStyle w:val="Bullet1"/>
      </w:pPr>
      <w:r w:rsidRPr="00BE0154">
        <w:t>Increased employment and</w:t>
      </w:r>
      <w:r w:rsidR="00FB6852">
        <w:t xml:space="preserve"> economic security (</w:t>
      </w:r>
      <w:r w:rsidR="003D0442">
        <w:t>4.2.5)</w:t>
      </w:r>
    </w:p>
    <w:p w14:paraId="0BFFCAFB" w14:textId="0DA506C8" w:rsidR="00BE0154" w:rsidRPr="00BE0154" w:rsidRDefault="00FB6852" w:rsidP="00BE0154">
      <w:pPr>
        <w:pStyle w:val="Bullet1"/>
      </w:pPr>
      <w:r>
        <w:t>Increased</w:t>
      </w:r>
      <w:r w:rsidR="00BE0154" w:rsidRPr="00BE0154">
        <w:t xml:space="preserve"> housing security</w:t>
      </w:r>
      <w:r w:rsidR="003D0442">
        <w:t xml:space="preserve"> (4.2.6)</w:t>
      </w:r>
    </w:p>
    <w:p w14:paraId="4A170530" w14:textId="345B03EB" w:rsidR="00BE0154" w:rsidRPr="00BE0154" w:rsidRDefault="00BE0154" w:rsidP="00BE0154">
      <w:pPr>
        <w:pStyle w:val="Bullet1"/>
      </w:pPr>
      <w:r w:rsidRPr="00BE0154">
        <w:t>Enhanced public education to increase awareness about diverse LGBTIQA+ communities and needs</w:t>
      </w:r>
      <w:r w:rsidR="00B45F44">
        <w:t xml:space="preserve"> (4.3.1)</w:t>
      </w:r>
    </w:p>
    <w:p w14:paraId="024F73BB" w14:textId="241A9335" w:rsidR="00207B31" w:rsidRPr="00BE0154" w:rsidRDefault="00207B31" w:rsidP="00207B31">
      <w:pPr>
        <w:pStyle w:val="Bullet1"/>
      </w:pPr>
      <w:r w:rsidRPr="00BE0154">
        <w:t>Increased social inclusion</w:t>
      </w:r>
      <w:r>
        <w:t xml:space="preserve"> (4.3.2)</w:t>
      </w:r>
    </w:p>
    <w:p w14:paraId="6047BD87" w14:textId="6FA8E33C" w:rsidR="00BE0154" w:rsidRDefault="00BE0154" w:rsidP="00BE0154">
      <w:pPr>
        <w:pStyle w:val="Bullet1"/>
      </w:pPr>
      <w:r w:rsidRPr="00BE0154">
        <w:t>Increased public representation and celebration of LGBTIQA+ communities</w:t>
      </w:r>
      <w:r w:rsidR="00207B31">
        <w:t xml:space="preserve"> (4.3.3)</w:t>
      </w:r>
    </w:p>
    <w:p w14:paraId="6A549C55" w14:textId="087E7A9E" w:rsidR="00207B31" w:rsidRPr="00BE0154" w:rsidRDefault="00A656D1" w:rsidP="00BE0154">
      <w:pPr>
        <w:pStyle w:val="Bullet1"/>
      </w:pPr>
      <w:r w:rsidRPr="00AE0C9C">
        <w:t>Increased support from non-</w:t>
      </w:r>
      <w:r>
        <w:t>LGBTIQA+</w:t>
      </w:r>
      <w:r w:rsidRPr="00AE0C9C">
        <w:t xml:space="preserve"> communities</w:t>
      </w:r>
      <w:r>
        <w:t xml:space="preserve"> (4.3.4)</w:t>
      </w:r>
    </w:p>
    <w:p w14:paraId="31860F0E" w14:textId="0A9FB621" w:rsidR="00BE0154" w:rsidRPr="000212A5" w:rsidRDefault="00022A20" w:rsidP="004A5CD5">
      <w:pPr>
        <w:pStyle w:val="Heading4"/>
      </w:pPr>
      <w:bookmarkStart w:id="131" w:name="_Toc161297358"/>
      <w:r w:rsidRPr="000212A5">
        <w:t>O</w:t>
      </w:r>
      <w:r w:rsidR="00BE0154" w:rsidRPr="000212A5">
        <w:t>utcomes</w:t>
      </w:r>
      <w:bookmarkEnd w:id="131"/>
    </w:p>
    <w:p w14:paraId="065E9814" w14:textId="5B05B40F" w:rsidR="00BE0154" w:rsidRPr="00F344A2" w:rsidRDefault="00BE0154" w:rsidP="00BE0154">
      <w:pPr>
        <w:pStyle w:val="Body"/>
        <w:rPr>
          <w:b/>
          <w:bCs/>
        </w:rPr>
      </w:pPr>
      <w:r w:rsidRPr="00F344A2">
        <w:rPr>
          <w:b/>
          <w:bCs/>
        </w:rPr>
        <w:t>Long</w:t>
      </w:r>
      <w:r w:rsidR="00C14D48" w:rsidRPr="00F344A2">
        <w:rPr>
          <w:b/>
          <w:bCs/>
        </w:rPr>
        <w:t>-</w:t>
      </w:r>
      <w:r w:rsidRPr="00F344A2">
        <w:rPr>
          <w:b/>
          <w:bCs/>
        </w:rPr>
        <w:t xml:space="preserve">term </w:t>
      </w:r>
    </w:p>
    <w:p w14:paraId="765243A6" w14:textId="04D97B92" w:rsidR="00BE0154" w:rsidRPr="00BE0154" w:rsidRDefault="002C5C86" w:rsidP="00B43C51">
      <w:pPr>
        <w:pStyle w:val="Bullet1"/>
        <w:numPr>
          <w:ilvl w:val="0"/>
          <w:numId w:val="0"/>
        </w:numPr>
      </w:pPr>
      <w:r>
        <w:t>LGBTIQA+ people are f</w:t>
      </w:r>
      <w:r w:rsidRPr="00BE0154">
        <w:t xml:space="preserve">ree </w:t>
      </w:r>
      <w:r w:rsidR="00BE0154" w:rsidRPr="00BE0154">
        <w:t>from harassment, physical abuse, hate speech and discrimination (4.1)</w:t>
      </w:r>
    </w:p>
    <w:p w14:paraId="0C57701A" w14:textId="39FA0A7E" w:rsidR="00BE0154" w:rsidRPr="00BE0154" w:rsidRDefault="002C5C86" w:rsidP="00B43C51">
      <w:pPr>
        <w:pStyle w:val="Bullet1"/>
        <w:numPr>
          <w:ilvl w:val="0"/>
          <w:numId w:val="0"/>
        </w:numPr>
      </w:pPr>
      <w:r>
        <w:t xml:space="preserve">LGBTIQA+ people are safe </w:t>
      </w:r>
      <w:r w:rsidR="00BE0154" w:rsidRPr="00BE0154">
        <w:t xml:space="preserve">and secure </w:t>
      </w:r>
      <w:r w:rsidR="007E32CD">
        <w:t xml:space="preserve">in their everyday lives </w:t>
      </w:r>
      <w:r w:rsidR="00BE0154" w:rsidRPr="00BE0154">
        <w:t>(4.2)</w:t>
      </w:r>
    </w:p>
    <w:p w14:paraId="3DE24F49" w14:textId="4AFB165C" w:rsidR="00BE0154" w:rsidRDefault="00BE0154" w:rsidP="00B43C51">
      <w:pPr>
        <w:pStyle w:val="Bullet1"/>
        <w:numPr>
          <w:ilvl w:val="0"/>
          <w:numId w:val="0"/>
        </w:numPr>
      </w:pPr>
      <w:r w:rsidRPr="00BE0154">
        <w:t xml:space="preserve">Victoria’s communities are welcoming and inclusive </w:t>
      </w:r>
      <w:r w:rsidR="00CA363D">
        <w:t xml:space="preserve">for LGBTIQA+ people </w:t>
      </w:r>
      <w:r w:rsidRPr="00BE0154">
        <w:t>(4.3)</w:t>
      </w:r>
    </w:p>
    <w:p w14:paraId="18909E51" w14:textId="77777777" w:rsidR="004F400F" w:rsidRDefault="004F400F" w:rsidP="004F400F">
      <w:pPr>
        <w:pStyle w:val="Heading4"/>
      </w:pPr>
      <w:bookmarkStart w:id="132" w:name="_Toc161297359"/>
      <w:r>
        <w:t>Domain 4 outcome</w:t>
      </w:r>
    </w:p>
    <w:p w14:paraId="7F163B67" w14:textId="77777777" w:rsidR="004F400F" w:rsidRDefault="004F400F" w:rsidP="004F400F">
      <w:pPr>
        <w:pStyle w:val="Body"/>
      </w:pPr>
      <w:r>
        <w:t>LGBTIQA+ Victorians feel safe and valued as part of the Victorian community. They are proudly part of the Victorian community.</w:t>
      </w:r>
    </w:p>
    <w:p w14:paraId="25B178E5" w14:textId="74B0C0BE" w:rsidR="00BE0154" w:rsidRDefault="00BE0154" w:rsidP="00F344A2">
      <w:pPr>
        <w:pStyle w:val="Heading4"/>
      </w:pPr>
      <w:r>
        <w:t>Sign of impact</w:t>
      </w:r>
      <w:bookmarkEnd w:id="132"/>
    </w:p>
    <w:p w14:paraId="5900174E" w14:textId="3ACFEAC5" w:rsidR="00BE0154" w:rsidRDefault="003D6FA5" w:rsidP="00BE0154">
      <w:pPr>
        <w:pStyle w:val="Body"/>
      </w:pPr>
      <w:r>
        <w:t xml:space="preserve">The proportion of </w:t>
      </w:r>
      <w:r w:rsidR="00AE0C9C">
        <w:t>LGBTIQA+</w:t>
      </w:r>
      <w:r w:rsidR="00BE0154" w:rsidRPr="00BE0154">
        <w:t xml:space="preserve"> </w:t>
      </w:r>
      <w:r>
        <w:t>Victorians who</w:t>
      </w:r>
      <w:r w:rsidR="00BE0154" w:rsidRPr="00BE0154">
        <w:t xml:space="preserve"> feel</w:t>
      </w:r>
      <w:r w:rsidR="002C5C86">
        <w:t xml:space="preserve"> </w:t>
      </w:r>
      <w:r w:rsidR="00BE0154" w:rsidRPr="00BE0154">
        <w:t>valued by society increas</w:t>
      </w:r>
      <w:r w:rsidR="002C5C86">
        <w:t>es</w:t>
      </w:r>
      <w:r w:rsidR="00BE0154" w:rsidRPr="00BE0154">
        <w:t xml:space="preserve"> from 41.4</w:t>
      </w:r>
      <w:r w:rsidR="006A15E5">
        <w:t>%</w:t>
      </w:r>
      <w:r w:rsidR="002C3810">
        <w:t>.</w:t>
      </w:r>
      <w:r w:rsidR="003E5EF4">
        <w:rPr>
          <w:rStyle w:val="FootnoteReference"/>
        </w:rPr>
        <w:footnoteReference w:id="26"/>
      </w:r>
    </w:p>
    <w:p w14:paraId="729706FF" w14:textId="1E08C13F" w:rsidR="00BE0154" w:rsidRDefault="003A5676" w:rsidP="000212A5">
      <w:pPr>
        <w:pStyle w:val="Heading3"/>
      </w:pPr>
      <w:r w:rsidRPr="000212A5">
        <w:t>O</w:t>
      </w:r>
      <w:r w:rsidR="00BE0154" w:rsidRPr="000212A5">
        <w:t>utcomes</w:t>
      </w:r>
      <w:r w:rsidR="00BE0154">
        <w:t>, indicators and measures</w:t>
      </w:r>
    </w:p>
    <w:p w14:paraId="1E48398C" w14:textId="069B0531" w:rsidR="00BE0154" w:rsidRDefault="00BE0154" w:rsidP="00F344A2">
      <w:pPr>
        <w:pStyle w:val="Heading4"/>
      </w:pPr>
      <w:bookmarkStart w:id="133" w:name="_Toc161297361"/>
      <w:r>
        <w:t xml:space="preserve">Outcome </w:t>
      </w:r>
      <w:r w:rsidR="007B0DF8">
        <w:t xml:space="preserve">4.1: </w:t>
      </w:r>
      <w:r w:rsidR="00FD5F4B" w:rsidRPr="00FD5F4B">
        <w:t xml:space="preserve">LGBTIQA+ people are </w:t>
      </w:r>
      <w:r w:rsidR="00FD5F4B">
        <w:t>f</w:t>
      </w:r>
      <w:r w:rsidR="007B0DF8">
        <w:t>ree from harassment, abuse, hate speech and discrimination</w:t>
      </w:r>
      <w:bookmarkEnd w:id="133"/>
    </w:p>
    <w:p w14:paraId="4C8900A6" w14:textId="1AB9C893" w:rsidR="007B0DF8" w:rsidRPr="007B0DF8" w:rsidRDefault="007B0DF8" w:rsidP="00F344A2">
      <w:pPr>
        <w:pStyle w:val="Heading5"/>
      </w:pPr>
      <w:bookmarkStart w:id="134" w:name="_Toc161297362"/>
      <w:r w:rsidRPr="007B0DF8">
        <w:t xml:space="preserve">Outcome indicator 4.1.1: </w:t>
      </w:r>
      <w:r w:rsidR="00BA7EFC">
        <w:t>D</w:t>
      </w:r>
      <w:r w:rsidR="006A15E5" w:rsidRPr="007B0DF8">
        <w:t xml:space="preserve">ecreased </w:t>
      </w:r>
      <w:r w:rsidRPr="007B0DF8">
        <w:t>rates of family and intimate partner violence</w:t>
      </w:r>
      <w:r w:rsidR="00BA7EFC">
        <w:t xml:space="preserve"> experienced by LGBTIQA+ Victorians</w:t>
      </w:r>
      <w:r>
        <w:rPr>
          <w:rStyle w:val="FootnoteReference"/>
        </w:rPr>
        <w:footnoteReference w:id="27"/>
      </w:r>
      <w:bookmarkEnd w:id="134"/>
      <w:r w:rsidRPr="007B0DF8">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7B0DF8" w:rsidRPr="00D069FA" w14:paraId="0BC56FBE" w14:textId="77777777">
        <w:trPr>
          <w:tblHeader/>
        </w:trPr>
        <w:tc>
          <w:tcPr>
            <w:tcW w:w="4644" w:type="dxa"/>
          </w:tcPr>
          <w:p w14:paraId="4DA49388" w14:textId="77777777" w:rsidR="007B0DF8" w:rsidRPr="00D069FA" w:rsidRDefault="007B0DF8">
            <w:pPr>
              <w:pStyle w:val="Tablecolhead"/>
            </w:pPr>
            <w:r w:rsidRPr="00D069FA">
              <w:t>Measure</w:t>
            </w:r>
          </w:p>
        </w:tc>
        <w:tc>
          <w:tcPr>
            <w:tcW w:w="4644" w:type="dxa"/>
          </w:tcPr>
          <w:p w14:paraId="3DBCB701" w14:textId="77777777" w:rsidR="007B0DF8" w:rsidRPr="00D069FA" w:rsidRDefault="007B0DF8">
            <w:pPr>
              <w:pStyle w:val="Tablecolhead"/>
            </w:pPr>
            <w:r w:rsidRPr="00D069FA">
              <w:t>Data source</w:t>
            </w:r>
          </w:p>
        </w:tc>
      </w:tr>
      <w:tr w:rsidR="007B0DF8" w:rsidRPr="00585B09" w14:paraId="5C895497" w14:textId="77777777">
        <w:tc>
          <w:tcPr>
            <w:tcW w:w="4644" w:type="dxa"/>
          </w:tcPr>
          <w:p w14:paraId="305C7F5A" w14:textId="7C0216FE" w:rsidR="007B0DF8" w:rsidRPr="007B0DF8" w:rsidRDefault="007B0DF8" w:rsidP="007B0DF8">
            <w:pPr>
              <w:pStyle w:val="Tabletext6pt"/>
            </w:pPr>
            <w:r w:rsidRPr="007B0DF8">
              <w:t xml:space="preserve">Proportion of </w:t>
            </w:r>
            <w:r w:rsidR="00AE0C9C">
              <w:t>LGBTIQA+</w:t>
            </w:r>
            <w:r w:rsidRPr="007B0DF8">
              <w:t xml:space="preserve"> Victorians who experienced family violence in the </w:t>
            </w:r>
            <w:r w:rsidR="006A15E5">
              <w:t>p</w:t>
            </w:r>
            <w:r w:rsidR="006A15E5" w:rsidRPr="007B0DF8">
              <w:t xml:space="preserve">ast </w:t>
            </w:r>
            <w:r w:rsidR="006A15E5">
              <w:t>2</w:t>
            </w:r>
            <w:r w:rsidR="006A15E5" w:rsidRPr="007B0DF8">
              <w:t xml:space="preserve"> </w:t>
            </w:r>
            <w:r w:rsidRPr="007B0DF8">
              <w:t>years</w:t>
            </w:r>
          </w:p>
        </w:tc>
        <w:tc>
          <w:tcPr>
            <w:tcW w:w="4644" w:type="dxa"/>
          </w:tcPr>
          <w:p w14:paraId="678E636E" w14:textId="348DAA0E" w:rsidR="007B0DF8" w:rsidRPr="007B0DF8" w:rsidRDefault="007B0DF8" w:rsidP="007B0DF8">
            <w:pPr>
              <w:pStyle w:val="Tabletext6pt"/>
            </w:pPr>
            <w:r w:rsidRPr="007B0DF8">
              <w:t>Vic</w:t>
            </w:r>
            <w:r w:rsidR="006A15E5">
              <w:t>torian</w:t>
            </w:r>
            <w:r w:rsidRPr="007B0DF8">
              <w:t xml:space="preserve"> Pop</w:t>
            </w:r>
            <w:r w:rsidR="006A15E5">
              <w:t>ulation</w:t>
            </w:r>
            <w:r w:rsidRPr="007B0DF8">
              <w:t xml:space="preserve"> Health Survey</w:t>
            </w:r>
            <w:r w:rsidR="00D80B99">
              <w:rPr>
                <w:rStyle w:val="FootnoteReference"/>
              </w:rPr>
              <w:footnoteReference w:id="28"/>
            </w:r>
          </w:p>
        </w:tc>
      </w:tr>
      <w:tr w:rsidR="007B0DF8" w:rsidRPr="00585B09" w14:paraId="28D378B2" w14:textId="77777777">
        <w:trPr>
          <w:trHeight w:val="61"/>
        </w:trPr>
        <w:tc>
          <w:tcPr>
            <w:tcW w:w="4644" w:type="dxa"/>
          </w:tcPr>
          <w:p w14:paraId="1B7F18B2" w14:textId="691D12CB" w:rsidR="007B0DF8" w:rsidRPr="007B0DF8" w:rsidRDefault="007B0DF8" w:rsidP="007B0DF8">
            <w:pPr>
              <w:pStyle w:val="Tabletext6pt"/>
            </w:pPr>
            <w:r w:rsidRPr="007B0DF8">
              <w:t xml:space="preserve">Proportion of </w:t>
            </w:r>
            <w:r w:rsidR="00AE0C9C">
              <w:t>LGBTIQA+</w:t>
            </w:r>
            <w:r w:rsidRPr="007B0DF8">
              <w:t xml:space="preserve"> Victorians </w:t>
            </w:r>
            <w:r w:rsidR="003D6FA5">
              <w:t xml:space="preserve">experiencing family violence </w:t>
            </w:r>
            <w:r w:rsidR="006A15E5">
              <w:t>who</w:t>
            </w:r>
            <w:r w:rsidR="006A15E5" w:rsidRPr="007B0DF8">
              <w:t xml:space="preserve"> </w:t>
            </w:r>
            <w:r w:rsidRPr="007B0DF8">
              <w:t xml:space="preserve">seek help from services </w:t>
            </w:r>
          </w:p>
        </w:tc>
        <w:tc>
          <w:tcPr>
            <w:tcW w:w="4644" w:type="dxa"/>
          </w:tcPr>
          <w:p w14:paraId="75E33775" w14:textId="2561D2D6" w:rsidR="007B0DF8" w:rsidRPr="007B0DF8" w:rsidRDefault="006A15E5" w:rsidP="007B0DF8">
            <w:pPr>
              <w:pStyle w:val="Tabletext6pt"/>
            </w:pPr>
            <w:r w:rsidRPr="007B0DF8">
              <w:t>Vic</w:t>
            </w:r>
            <w:r>
              <w:t>torian</w:t>
            </w:r>
            <w:r w:rsidRPr="007B0DF8">
              <w:t xml:space="preserve"> Pop</w:t>
            </w:r>
            <w:r>
              <w:t>ulation</w:t>
            </w:r>
            <w:r w:rsidRPr="007B0DF8">
              <w:t xml:space="preserve"> </w:t>
            </w:r>
            <w:r w:rsidR="007B0DF8" w:rsidRPr="007B0DF8">
              <w:t xml:space="preserve">Health Survey </w:t>
            </w:r>
          </w:p>
        </w:tc>
      </w:tr>
    </w:tbl>
    <w:p w14:paraId="363201DC" w14:textId="2D386D5A" w:rsidR="007B0DF8" w:rsidRDefault="007B0DF8" w:rsidP="00F344A2">
      <w:pPr>
        <w:pStyle w:val="Heading5"/>
      </w:pPr>
      <w:bookmarkStart w:id="135" w:name="_Toc161297363"/>
      <w:r>
        <w:t xml:space="preserve">Outcome indicator 4.1.2: </w:t>
      </w:r>
      <w:r w:rsidRPr="007B0DF8">
        <w:t>Decreased</w:t>
      </w:r>
      <w:r>
        <w:t xml:space="preserve"> rates of harassment, physical abuse and hate speech</w:t>
      </w:r>
      <w:r>
        <w:rPr>
          <w:rStyle w:val="FootnoteReference"/>
        </w:rPr>
        <w:footnoteReference w:id="29"/>
      </w:r>
      <w:bookmarkEnd w:id="135"/>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7B0DF8" w:rsidRPr="00D069FA" w14:paraId="70218208" w14:textId="77777777">
        <w:trPr>
          <w:tblHeader/>
        </w:trPr>
        <w:tc>
          <w:tcPr>
            <w:tcW w:w="4644" w:type="dxa"/>
          </w:tcPr>
          <w:p w14:paraId="189A2D81" w14:textId="77777777" w:rsidR="007B0DF8" w:rsidRPr="00D069FA" w:rsidRDefault="007B0DF8">
            <w:pPr>
              <w:pStyle w:val="Tablecolhead"/>
            </w:pPr>
            <w:r w:rsidRPr="00D069FA">
              <w:t>Measure</w:t>
            </w:r>
          </w:p>
        </w:tc>
        <w:tc>
          <w:tcPr>
            <w:tcW w:w="4644" w:type="dxa"/>
          </w:tcPr>
          <w:p w14:paraId="6DD06E39" w14:textId="77777777" w:rsidR="007B0DF8" w:rsidRPr="00D069FA" w:rsidRDefault="007B0DF8">
            <w:pPr>
              <w:pStyle w:val="Tablecolhead"/>
            </w:pPr>
            <w:r w:rsidRPr="00D069FA">
              <w:t>Data source</w:t>
            </w:r>
          </w:p>
        </w:tc>
      </w:tr>
      <w:tr w:rsidR="007B0DF8" w:rsidRPr="007B0DF8" w14:paraId="11115B11" w14:textId="77777777">
        <w:tc>
          <w:tcPr>
            <w:tcW w:w="4644" w:type="dxa"/>
          </w:tcPr>
          <w:p w14:paraId="50865A60" w14:textId="6120B57C" w:rsidR="007B0DF8" w:rsidRPr="007B0DF8" w:rsidRDefault="007B0DF8" w:rsidP="007B0DF8">
            <w:pPr>
              <w:pStyle w:val="Tabletext6pt"/>
            </w:pPr>
            <w:r w:rsidRPr="007B0DF8">
              <w:t xml:space="preserve">Proportion of </w:t>
            </w:r>
            <w:r w:rsidR="00AE0C9C">
              <w:t>LGBTIQA+</w:t>
            </w:r>
            <w:r w:rsidRPr="007B0DF8">
              <w:t xml:space="preserve"> Victorians who experienced harassment or offensive gestures in the </w:t>
            </w:r>
            <w:r w:rsidR="006A15E5">
              <w:t>p</w:t>
            </w:r>
            <w:r w:rsidR="006A15E5" w:rsidRPr="007B0DF8">
              <w:t xml:space="preserve">ast </w:t>
            </w:r>
            <w:r w:rsidRPr="007B0DF8">
              <w:t xml:space="preserve">12 months </w:t>
            </w:r>
          </w:p>
        </w:tc>
        <w:tc>
          <w:tcPr>
            <w:tcW w:w="4644" w:type="dxa"/>
          </w:tcPr>
          <w:p w14:paraId="4D45FD40" w14:textId="5F5B0219" w:rsidR="007B0DF8" w:rsidRPr="007B0DF8" w:rsidRDefault="007B0DF8" w:rsidP="007B0DF8">
            <w:pPr>
              <w:pStyle w:val="Tabletext6pt"/>
            </w:pPr>
            <w:r w:rsidRPr="007B0DF8">
              <w:t xml:space="preserve">Private Lives </w:t>
            </w:r>
          </w:p>
        </w:tc>
      </w:tr>
      <w:tr w:rsidR="007B0DF8" w:rsidRPr="007B0DF8" w14:paraId="39BB08B0" w14:textId="77777777">
        <w:trPr>
          <w:trHeight w:val="61"/>
        </w:trPr>
        <w:tc>
          <w:tcPr>
            <w:tcW w:w="4644" w:type="dxa"/>
          </w:tcPr>
          <w:p w14:paraId="61DF5458" w14:textId="6CE14C22" w:rsidR="007B0DF8" w:rsidRPr="007B0DF8" w:rsidRDefault="007B0DF8" w:rsidP="007B0DF8">
            <w:pPr>
              <w:pStyle w:val="Tabletext6pt"/>
            </w:pPr>
            <w:r w:rsidRPr="007B0DF8">
              <w:t xml:space="preserve">Proportion of </w:t>
            </w:r>
            <w:r w:rsidR="00AE0C9C">
              <w:t>LGBTIQA+</w:t>
            </w:r>
            <w:r w:rsidRPr="007B0DF8">
              <w:t xml:space="preserve"> Victorians who suffered a physical attack or assault with a weapon in the </w:t>
            </w:r>
            <w:r w:rsidR="006A15E5">
              <w:t>p</w:t>
            </w:r>
            <w:r w:rsidR="006A15E5" w:rsidRPr="007B0DF8">
              <w:t xml:space="preserve">ast </w:t>
            </w:r>
            <w:r w:rsidRPr="007B0DF8">
              <w:t xml:space="preserve">12 months </w:t>
            </w:r>
          </w:p>
        </w:tc>
        <w:tc>
          <w:tcPr>
            <w:tcW w:w="4644" w:type="dxa"/>
          </w:tcPr>
          <w:p w14:paraId="4FB3A483" w14:textId="416C71DE" w:rsidR="007B0DF8" w:rsidRPr="007B0DF8" w:rsidRDefault="007B0DF8" w:rsidP="007B0DF8">
            <w:pPr>
              <w:pStyle w:val="Tabletext6pt"/>
            </w:pPr>
            <w:r w:rsidRPr="007B0DF8">
              <w:t xml:space="preserve">Private Lives </w:t>
            </w:r>
          </w:p>
        </w:tc>
      </w:tr>
      <w:tr w:rsidR="007B0DF8" w:rsidRPr="007B0DF8" w14:paraId="25AE8043" w14:textId="77777777">
        <w:trPr>
          <w:trHeight w:val="61"/>
        </w:trPr>
        <w:tc>
          <w:tcPr>
            <w:tcW w:w="4644" w:type="dxa"/>
          </w:tcPr>
          <w:p w14:paraId="51B84680" w14:textId="4D6F9442" w:rsidR="007B0DF8" w:rsidRPr="007B0DF8" w:rsidRDefault="007B0DF8" w:rsidP="007B0DF8">
            <w:pPr>
              <w:pStyle w:val="Tabletext6pt"/>
            </w:pPr>
            <w:r w:rsidRPr="007B0DF8">
              <w:t xml:space="preserve">Proportion of </w:t>
            </w:r>
            <w:r w:rsidR="00AE0C9C">
              <w:t>LGBTIQA+</w:t>
            </w:r>
            <w:r w:rsidRPr="007B0DF8">
              <w:t xml:space="preserve"> Victorians who experienced sexual assault in the </w:t>
            </w:r>
            <w:r w:rsidR="006A15E5">
              <w:t>p</w:t>
            </w:r>
            <w:r w:rsidR="006A15E5" w:rsidRPr="007B0DF8">
              <w:t xml:space="preserve">ast </w:t>
            </w:r>
            <w:r w:rsidRPr="007B0DF8">
              <w:t xml:space="preserve">12 months  </w:t>
            </w:r>
          </w:p>
        </w:tc>
        <w:tc>
          <w:tcPr>
            <w:tcW w:w="4644" w:type="dxa"/>
          </w:tcPr>
          <w:p w14:paraId="2575724B" w14:textId="785923FE" w:rsidR="007B0DF8" w:rsidRPr="007B0DF8" w:rsidRDefault="007B0DF8" w:rsidP="007B0DF8">
            <w:pPr>
              <w:pStyle w:val="Tabletext6pt"/>
            </w:pPr>
            <w:r w:rsidRPr="007B0DF8">
              <w:t xml:space="preserve">Private Lives </w:t>
            </w:r>
          </w:p>
        </w:tc>
      </w:tr>
      <w:tr w:rsidR="007B0DF8" w:rsidRPr="007B0DF8" w14:paraId="1D44BE67" w14:textId="77777777">
        <w:trPr>
          <w:trHeight w:val="61"/>
        </w:trPr>
        <w:tc>
          <w:tcPr>
            <w:tcW w:w="4644" w:type="dxa"/>
          </w:tcPr>
          <w:p w14:paraId="30497ECD" w14:textId="58F8081A" w:rsidR="007B0DF8" w:rsidRPr="007B0DF8" w:rsidRDefault="007B0DF8" w:rsidP="007B0DF8">
            <w:pPr>
              <w:pStyle w:val="Tabletext6pt"/>
            </w:pPr>
            <w:r w:rsidRPr="007B0DF8">
              <w:t xml:space="preserve">Proportion of </w:t>
            </w:r>
            <w:r w:rsidR="00AE0C9C">
              <w:t>LGBTIQA+</w:t>
            </w:r>
            <w:r w:rsidRPr="007B0DF8">
              <w:t xml:space="preserve"> Victorians who experienced verbal abuse in the </w:t>
            </w:r>
            <w:r w:rsidR="006A15E5">
              <w:t>p</w:t>
            </w:r>
            <w:r w:rsidR="006A15E5" w:rsidRPr="007B0DF8">
              <w:t xml:space="preserve">ast </w:t>
            </w:r>
            <w:r w:rsidRPr="007B0DF8">
              <w:t xml:space="preserve">12 months </w:t>
            </w:r>
          </w:p>
        </w:tc>
        <w:tc>
          <w:tcPr>
            <w:tcW w:w="4644" w:type="dxa"/>
          </w:tcPr>
          <w:p w14:paraId="0E924A9A" w14:textId="78B49E19" w:rsidR="007B0DF8" w:rsidRPr="007B0DF8" w:rsidRDefault="007B0DF8" w:rsidP="007B0DF8">
            <w:pPr>
              <w:pStyle w:val="Tabletext6pt"/>
            </w:pPr>
            <w:r w:rsidRPr="007B0DF8">
              <w:t>Private Lives</w:t>
            </w:r>
          </w:p>
        </w:tc>
      </w:tr>
    </w:tbl>
    <w:p w14:paraId="1203CC5C" w14:textId="66C96638" w:rsidR="007B0DF8" w:rsidRDefault="007B0DF8" w:rsidP="00F344A2">
      <w:pPr>
        <w:pStyle w:val="Heading5"/>
      </w:pPr>
      <w:bookmarkStart w:id="136" w:name="_Toc161297364"/>
      <w:r w:rsidRPr="007B0DF8">
        <w:t>Outcome indicator 4.1.3: Decreased rates of discrimination</w:t>
      </w:r>
      <w:bookmarkEnd w:id="136"/>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7B0DF8" w:rsidRPr="00D069FA" w14:paraId="426E71D4" w14:textId="77777777">
        <w:trPr>
          <w:tblHeader/>
        </w:trPr>
        <w:tc>
          <w:tcPr>
            <w:tcW w:w="4644" w:type="dxa"/>
          </w:tcPr>
          <w:p w14:paraId="41DC375D" w14:textId="77777777" w:rsidR="007B0DF8" w:rsidRPr="00D069FA" w:rsidRDefault="007B0DF8">
            <w:pPr>
              <w:pStyle w:val="Tablecolhead"/>
            </w:pPr>
            <w:r w:rsidRPr="00D069FA">
              <w:t>Measure</w:t>
            </w:r>
          </w:p>
        </w:tc>
        <w:tc>
          <w:tcPr>
            <w:tcW w:w="4644" w:type="dxa"/>
          </w:tcPr>
          <w:p w14:paraId="3844CCB8" w14:textId="77777777" w:rsidR="007B0DF8" w:rsidRPr="00D069FA" w:rsidRDefault="007B0DF8">
            <w:pPr>
              <w:pStyle w:val="Tablecolhead"/>
            </w:pPr>
            <w:r w:rsidRPr="00D069FA">
              <w:t>Data source</w:t>
            </w:r>
          </w:p>
        </w:tc>
      </w:tr>
      <w:tr w:rsidR="007B0DF8" w:rsidRPr="007B0DF8" w14:paraId="6B70112C" w14:textId="77777777">
        <w:tc>
          <w:tcPr>
            <w:tcW w:w="4644" w:type="dxa"/>
          </w:tcPr>
          <w:p w14:paraId="2211BAB1" w14:textId="3A9C94A9" w:rsidR="007B0DF8" w:rsidRPr="007B0DF8" w:rsidRDefault="007B0DF8" w:rsidP="007B0DF8">
            <w:pPr>
              <w:pStyle w:val="Tabletext6pt"/>
            </w:pPr>
            <w:r w:rsidRPr="007B0DF8">
              <w:t xml:space="preserve">Proportion of </w:t>
            </w:r>
            <w:r w:rsidR="00AE0C9C">
              <w:t>LGBTIQA+</w:t>
            </w:r>
            <w:r w:rsidRPr="007B0DF8">
              <w:t xml:space="preserve"> Victorians who have faced unfair treatment in the </w:t>
            </w:r>
            <w:r w:rsidR="006A15E5">
              <w:t>p</w:t>
            </w:r>
            <w:r w:rsidR="006A15E5" w:rsidRPr="007B0DF8">
              <w:t xml:space="preserve">ast </w:t>
            </w:r>
            <w:r w:rsidRPr="007B0DF8">
              <w:t>12 months</w:t>
            </w:r>
          </w:p>
        </w:tc>
        <w:tc>
          <w:tcPr>
            <w:tcW w:w="4644" w:type="dxa"/>
          </w:tcPr>
          <w:p w14:paraId="1D33E8A0" w14:textId="44222882" w:rsidR="007B0DF8" w:rsidRPr="007B0DF8" w:rsidRDefault="007B0DF8" w:rsidP="007B0DF8">
            <w:pPr>
              <w:pStyle w:val="Tabletext6pt"/>
            </w:pPr>
            <w:r w:rsidRPr="007B0DF8">
              <w:t xml:space="preserve">Private Lives </w:t>
            </w:r>
          </w:p>
        </w:tc>
      </w:tr>
      <w:tr w:rsidR="007B0DF8" w:rsidRPr="007B0DF8" w14:paraId="4ADEA23A" w14:textId="77777777">
        <w:trPr>
          <w:trHeight w:val="61"/>
        </w:trPr>
        <w:tc>
          <w:tcPr>
            <w:tcW w:w="4644" w:type="dxa"/>
          </w:tcPr>
          <w:p w14:paraId="454FB706" w14:textId="2BE20777" w:rsidR="007B0DF8" w:rsidRPr="007B0DF8" w:rsidRDefault="007B0DF8" w:rsidP="007B0DF8">
            <w:pPr>
              <w:pStyle w:val="Tabletext6pt"/>
            </w:pPr>
            <w:r w:rsidRPr="007B0DF8">
              <w:t xml:space="preserve">Proportion of </w:t>
            </w:r>
            <w:r w:rsidR="00AE0C9C">
              <w:t>LGBTIQA+</w:t>
            </w:r>
            <w:r w:rsidRPr="007B0DF8">
              <w:t xml:space="preserve"> Victorians who experienced discrimination in the </w:t>
            </w:r>
            <w:r w:rsidR="006A15E5">
              <w:t>p</w:t>
            </w:r>
            <w:r w:rsidR="006A15E5" w:rsidRPr="007B0DF8">
              <w:t xml:space="preserve">ast </w:t>
            </w:r>
            <w:r w:rsidRPr="007B0DF8">
              <w:t>12 months, compared with non-</w:t>
            </w:r>
            <w:r w:rsidR="00AE0C9C">
              <w:t>LGBTIQA+</w:t>
            </w:r>
            <w:r w:rsidRPr="007B0DF8">
              <w:t xml:space="preserve"> Victorians </w:t>
            </w:r>
          </w:p>
        </w:tc>
        <w:tc>
          <w:tcPr>
            <w:tcW w:w="4644" w:type="dxa"/>
          </w:tcPr>
          <w:p w14:paraId="1E2D4C8E" w14:textId="0AC1308A" w:rsidR="007B0DF8" w:rsidRPr="007B0DF8" w:rsidRDefault="006A15E5" w:rsidP="007B0DF8">
            <w:pPr>
              <w:pStyle w:val="Tabletext6pt"/>
            </w:pPr>
            <w:r w:rsidRPr="007B0DF8">
              <w:t>Vic</w:t>
            </w:r>
            <w:r>
              <w:t>torian</w:t>
            </w:r>
            <w:r w:rsidRPr="007B0DF8">
              <w:t xml:space="preserve"> Pop</w:t>
            </w:r>
            <w:r>
              <w:t>ulation</w:t>
            </w:r>
            <w:r w:rsidRPr="007B0DF8">
              <w:t xml:space="preserve"> </w:t>
            </w:r>
            <w:r w:rsidR="007B0DF8" w:rsidRPr="007B0DF8">
              <w:t xml:space="preserve">Health Survey </w:t>
            </w:r>
          </w:p>
        </w:tc>
      </w:tr>
      <w:tr w:rsidR="007B0DF8" w:rsidRPr="007B0DF8" w14:paraId="60255D20" w14:textId="77777777">
        <w:trPr>
          <w:trHeight w:val="61"/>
        </w:trPr>
        <w:tc>
          <w:tcPr>
            <w:tcW w:w="4644" w:type="dxa"/>
          </w:tcPr>
          <w:p w14:paraId="5A025F37" w14:textId="306FE252" w:rsidR="007B0DF8" w:rsidRPr="007B0DF8" w:rsidRDefault="007B0DF8" w:rsidP="007B0DF8">
            <w:pPr>
              <w:pStyle w:val="Tabletext6pt"/>
            </w:pPr>
            <w:r w:rsidRPr="007B0DF8">
              <w:t xml:space="preserve">Proportion of </w:t>
            </w:r>
            <w:r w:rsidR="00AE0C9C">
              <w:t>LGBTIQA+</w:t>
            </w:r>
            <w:r w:rsidRPr="007B0DF8">
              <w:t xml:space="preserve"> Victorians who experienced discrimination by members of the public, compared with non-</w:t>
            </w:r>
            <w:r w:rsidR="00AE0C9C">
              <w:t>LGBTIQA+</w:t>
            </w:r>
            <w:r w:rsidRPr="007B0DF8">
              <w:t xml:space="preserve"> Victorians, in the </w:t>
            </w:r>
            <w:r w:rsidR="006A15E5">
              <w:t>p</w:t>
            </w:r>
            <w:r w:rsidR="006A15E5" w:rsidRPr="007B0DF8">
              <w:t xml:space="preserve">ast </w:t>
            </w:r>
            <w:r w:rsidRPr="007B0DF8">
              <w:t>12 months</w:t>
            </w:r>
          </w:p>
        </w:tc>
        <w:tc>
          <w:tcPr>
            <w:tcW w:w="4644" w:type="dxa"/>
          </w:tcPr>
          <w:p w14:paraId="280B9A26" w14:textId="172C10DE" w:rsidR="007B0DF8" w:rsidRPr="007B0DF8" w:rsidRDefault="006A15E5" w:rsidP="007B0DF8">
            <w:pPr>
              <w:pStyle w:val="Tabletext6pt"/>
            </w:pPr>
            <w:r w:rsidRPr="007B0DF8">
              <w:t>Vic</w:t>
            </w:r>
            <w:r>
              <w:t>torian</w:t>
            </w:r>
            <w:r w:rsidRPr="007B0DF8">
              <w:t xml:space="preserve"> Pop</w:t>
            </w:r>
            <w:r>
              <w:t>ulation</w:t>
            </w:r>
            <w:r w:rsidRPr="007B0DF8">
              <w:t xml:space="preserve"> </w:t>
            </w:r>
            <w:r w:rsidR="007B0DF8" w:rsidRPr="007B0DF8">
              <w:t xml:space="preserve">Health Survey </w:t>
            </w:r>
          </w:p>
        </w:tc>
      </w:tr>
      <w:tr w:rsidR="007B0DF8" w:rsidRPr="007B0DF8" w14:paraId="34B09FD3" w14:textId="77777777">
        <w:trPr>
          <w:trHeight w:val="61"/>
        </w:trPr>
        <w:tc>
          <w:tcPr>
            <w:tcW w:w="4644" w:type="dxa"/>
          </w:tcPr>
          <w:p w14:paraId="14726CBE" w14:textId="77EBDA8F" w:rsidR="007B0DF8" w:rsidRPr="007B0DF8" w:rsidRDefault="007B0DF8" w:rsidP="007B0DF8">
            <w:pPr>
              <w:pStyle w:val="Tabletext6pt"/>
            </w:pPr>
            <w:r w:rsidRPr="007B0DF8">
              <w:t xml:space="preserve">Proportion of </w:t>
            </w:r>
            <w:r w:rsidR="00AE0C9C">
              <w:t>LGBTIQA+</w:t>
            </w:r>
            <w:r w:rsidRPr="007B0DF8">
              <w:t xml:space="preserve"> Victorians who experienced discrimination at home, by neighbours or at somebody else’s house in the </w:t>
            </w:r>
            <w:r w:rsidR="006A15E5">
              <w:t>p</w:t>
            </w:r>
            <w:r w:rsidR="006A15E5" w:rsidRPr="007B0DF8">
              <w:t xml:space="preserve">ast </w:t>
            </w:r>
            <w:r w:rsidRPr="007B0DF8">
              <w:t>12</w:t>
            </w:r>
            <w:r w:rsidR="006A15E5">
              <w:t xml:space="preserve"> months</w:t>
            </w:r>
            <w:r w:rsidR="006A15E5" w:rsidRPr="007B0DF8">
              <w:t xml:space="preserve"> </w:t>
            </w:r>
          </w:p>
        </w:tc>
        <w:tc>
          <w:tcPr>
            <w:tcW w:w="4644" w:type="dxa"/>
          </w:tcPr>
          <w:p w14:paraId="04C27FE1" w14:textId="0173250F" w:rsidR="007B0DF8" w:rsidRPr="007B0DF8" w:rsidRDefault="006A15E5" w:rsidP="007B0DF8">
            <w:pPr>
              <w:pStyle w:val="Tabletext6pt"/>
            </w:pPr>
            <w:r w:rsidRPr="007B0DF8">
              <w:t>Vic</w:t>
            </w:r>
            <w:r>
              <w:t>torian</w:t>
            </w:r>
            <w:r w:rsidRPr="007B0DF8">
              <w:t xml:space="preserve"> Pop</w:t>
            </w:r>
            <w:r>
              <w:t>ulation</w:t>
            </w:r>
            <w:r w:rsidRPr="007B0DF8">
              <w:t xml:space="preserve"> </w:t>
            </w:r>
            <w:r w:rsidR="007B0DF8" w:rsidRPr="007B0DF8">
              <w:t xml:space="preserve">Health Survey </w:t>
            </w:r>
          </w:p>
        </w:tc>
      </w:tr>
    </w:tbl>
    <w:p w14:paraId="7FE53E05" w14:textId="22BD967C" w:rsidR="007B0DF8" w:rsidRDefault="007B0DF8" w:rsidP="00F344A2">
      <w:pPr>
        <w:pStyle w:val="Heading5"/>
      </w:pPr>
      <w:bookmarkStart w:id="137" w:name="_Toc161297365"/>
      <w:r w:rsidRPr="007B0DF8">
        <w:t xml:space="preserve">Outcome indicator 4.1.4: Increased support for </w:t>
      </w:r>
      <w:r w:rsidR="00AE0C9C">
        <w:t>LGBTIQA+</w:t>
      </w:r>
      <w:r w:rsidRPr="007B0DF8">
        <w:t xml:space="preserve"> Victorians experiencing harassment, physical abuse, hate speech and discrimination</w:t>
      </w:r>
      <w:bookmarkEnd w:id="137"/>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7B0DF8" w:rsidRPr="00D069FA" w14:paraId="3FACA456" w14:textId="77777777">
        <w:trPr>
          <w:tblHeader/>
        </w:trPr>
        <w:tc>
          <w:tcPr>
            <w:tcW w:w="4644" w:type="dxa"/>
          </w:tcPr>
          <w:p w14:paraId="1BB1AFC5" w14:textId="77777777" w:rsidR="007B0DF8" w:rsidRPr="00D069FA" w:rsidRDefault="007B0DF8">
            <w:pPr>
              <w:pStyle w:val="Tablecolhead"/>
            </w:pPr>
            <w:r w:rsidRPr="00D069FA">
              <w:t>Measure</w:t>
            </w:r>
          </w:p>
        </w:tc>
        <w:tc>
          <w:tcPr>
            <w:tcW w:w="4644" w:type="dxa"/>
          </w:tcPr>
          <w:p w14:paraId="0AB0E778" w14:textId="77777777" w:rsidR="007B0DF8" w:rsidRPr="00D069FA" w:rsidRDefault="007B0DF8">
            <w:pPr>
              <w:pStyle w:val="Tablecolhead"/>
            </w:pPr>
            <w:r w:rsidRPr="00D069FA">
              <w:t>Data source</w:t>
            </w:r>
          </w:p>
        </w:tc>
      </w:tr>
      <w:tr w:rsidR="007B0DF8" w:rsidRPr="007B0DF8" w14:paraId="059739BC" w14:textId="77777777">
        <w:tc>
          <w:tcPr>
            <w:tcW w:w="4644" w:type="dxa"/>
          </w:tcPr>
          <w:p w14:paraId="5D29447E" w14:textId="78D1D2FF" w:rsidR="007B0DF8" w:rsidRPr="007B0DF8" w:rsidRDefault="007B0DF8" w:rsidP="007B0DF8">
            <w:pPr>
              <w:pStyle w:val="Tabletext6pt"/>
            </w:pPr>
            <w:r w:rsidRPr="007B0DF8">
              <w:t xml:space="preserve">Proportion of </w:t>
            </w:r>
            <w:r w:rsidR="00AE0C9C">
              <w:t>LGBTIQA+</w:t>
            </w:r>
            <w:r w:rsidRPr="007B0DF8">
              <w:t xml:space="preserve"> Victorians who experienced discrimination and reported their experience/s</w:t>
            </w:r>
            <w:r w:rsidR="00231320">
              <w:t xml:space="preserve"> </w:t>
            </w:r>
            <w:r w:rsidRPr="007B0DF8">
              <w:t>compared with non-</w:t>
            </w:r>
            <w:r w:rsidR="00AE0C9C">
              <w:t>LGBTIQA+</w:t>
            </w:r>
            <w:r w:rsidRPr="007B0DF8">
              <w:t xml:space="preserve"> Victorians</w:t>
            </w:r>
          </w:p>
        </w:tc>
        <w:tc>
          <w:tcPr>
            <w:tcW w:w="4644" w:type="dxa"/>
          </w:tcPr>
          <w:p w14:paraId="13357A08" w14:textId="5ACF39FE" w:rsidR="007B0DF8" w:rsidRPr="007B0DF8" w:rsidRDefault="006A15E5" w:rsidP="007B0DF8">
            <w:pPr>
              <w:pStyle w:val="Tabletext6pt"/>
            </w:pPr>
            <w:r w:rsidRPr="007B0DF8">
              <w:t>Vic</w:t>
            </w:r>
            <w:r>
              <w:t>torian</w:t>
            </w:r>
            <w:r w:rsidRPr="007B0DF8">
              <w:t xml:space="preserve"> Pop</w:t>
            </w:r>
            <w:r>
              <w:t>ulation</w:t>
            </w:r>
            <w:r w:rsidRPr="007B0DF8">
              <w:t xml:space="preserve"> </w:t>
            </w:r>
            <w:r w:rsidR="007B0DF8" w:rsidRPr="007B0DF8">
              <w:t xml:space="preserve">Health Survey and VPS in </w:t>
            </w:r>
            <w:r w:rsidRPr="00F344A2">
              <w:rPr>
                <w:i/>
                <w:iCs/>
              </w:rPr>
              <w:t>S</w:t>
            </w:r>
            <w:r w:rsidR="007B0DF8" w:rsidRPr="00F344A2">
              <w:rPr>
                <w:i/>
                <w:iCs/>
              </w:rPr>
              <w:t>afe to speak up</w:t>
            </w:r>
          </w:p>
        </w:tc>
      </w:tr>
      <w:tr w:rsidR="007B0DF8" w:rsidRPr="007B0DF8" w14:paraId="6251892A" w14:textId="77777777">
        <w:trPr>
          <w:trHeight w:val="61"/>
        </w:trPr>
        <w:tc>
          <w:tcPr>
            <w:tcW w:w="4644" w:type="dxa"/>
          </w:tcPr>
          <w:p w14:paraId="158E96F3" w14:textId="4111D8C9" w:rsidR="007B0DF8" w:rsidRPr="007B0DF8" w:rsidRDefault="007B0DF8" w:rsidP="007B0DF8">
            <w:pPr>
              <w:pStyle w:val="Tabletext6pt"/>
            </w:pPr>
            <w:r w:rsidRPr="007B0DF8">
              <w:t xml:space="preserve">Proportion of </w:t>
            </w:r>
            <w:r w:rsidR="00AE0C9C">
              <w:t>LGBTIQA+</w:t>
            </w:r>
            <w:r w:rsidRPr="007B0DF8">
              <w:t xml:space="preserve"> Victorians who believe a company, institution, service would support them if they reported discrimination or abuse </w:t>
            </w:r>
          </w:p>
        </w:tc>
        <w:tc>
          <w:tcPr>
            <w:tcW w:w="4644" w:type="dxa"/>
          </w:tcPr>
          <w:p w14:paraId="1A419DDB" w14:textId="0FD3DA4D" w:rsidR="007B0DF8" w:rsidRPr="007B0DF8" w:rsidRDefault="00D80B99" w:rsidP="007B0DF8">
            <w:pPr>
              <w:pStyle w:val="Tabletext6pt"/>
            </w:pPr>
            <w:r>
              <w:t xml:space="preserve">To be determined </w:t>
            </w:r>
          </w:p>
        </w:tc>
      </w:tr>
    </w:tbl>
    <w:p w14:paraId="7DE25B81" w14:textId="45508F45" w:rsidR="007B0DF8" w:rsidRDefault="007B0DF8" w:rsidP="00F344A2">
      <w:pPr>
        <w:pStyle w:val="Heading4"/>
      </w:pPr>
      <w:bookmarkStart w:id="138" w:name="_Toc161297366"/>
      <w:r>
        <w:t xml:space="preserve">Outcome 4.2: </w:t>
      </w:r>
      <w:r w:rsidR="00795FA6" w:rsidRPr="00795FA6">
        <w:t xml:space="preserve">LGBTIQA+ people are </w:t>
      </w:r>
      <w:r w:rsidR="00795FA6">
        <w:t>s</w:t>
      </w:r>
      <w:r>
        <w:t>afe and secur</w:t>
      </w:r>
      <w:r w:rsidR="00795FA6">
        <w:t>e</w:t>
      </w:r>
      <w:r>
        <w:t xml:space="preserve"> in</w:t>
      </w:r>
      <w:r w:rsidR="00795FA6">
        <w:t xml:space="preserve"> their</w:t>
      </w:r>
      <w:r>
        <w:t xml:space="preserve"> everyday </w:t>
      </w:r>
      <w:bookmarkEnd w:id="138"/>
      <w:r w:rsidR="00B25421">
        <w:t>li</w:t>
      </w:r>
      <w:r w:rsidR="00795FA6">
        <w:t>ves</w:t>
      </w:r>
    </w:p>
    <w:p w14:paraId="50E141C6" w14:textId="3CB011CA" w:rsidR="007B0DF8" w:rsidRDefault="007B0DF8" w:rsidP="00F344A2">
      <w:pPr>
        <w:pStyle w:val="Heading5"/>
      </w:pPr>
      <w:bookmarkStart w:id="139" w:name="_Toc161297367"/>
      <w:r>
        <w:t xml:space="preserve">Outcome indicator 4.2.1: Increased </w:t>
      </w:r>
      <w:r w:rsidRPr="007B0DF8">
        <w:t>sense</w:t>
      </w:r>
      <w:r>
        <w:t xml:space="preserve"> of safety</w:t>
      </w:r>
      <w:r>
        <w:rPr>
          <w:rStyle w:val="FootnoteReference"/>
        </w:rPr>
        <w:footnoteReference w:id="30"/>
      </w:r>
      <w:bookmarkEnd w:id="139"/>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7B0DF8" w:rsidRPr="00D069FA" w14:paraId="71074FB4" w14:textId="77777777">
        <w:trPr>
          <w:tblHeader/>
        </w:trPr>
        <w:tc>
          <w:tcPr>
            <w:tcW w:w="4644" w:type="dxa"/>
          </w:tcPr>
          <w:p w14:paraId="3BE66FFB" w14:textId="77777777" w:rsidR="007B0DF8" w:rsidRPr="00D069FA" w:rsidRDefault="007B0DF8">
            <w:pPr>
              <w:pStyle w:val="Tablecolhead"/>
            </w:pPr>
            <w:r w:rsidRPr="00D069FA">
              <w:t>Measure</w:t>
            </w:r>
          </w:p>
        </w:tc>
        <w:tc>
          <w:tcPr>
            <w:tcW w:w="4644" w:type="dxa"/>
          </w:tcPr>
          <w:p w14:paraId="1262BD5D" w14:textId="77777777" w:rsidR="007B0DF8" w:rsidRPr="00D069FA" w:rsidRDefault="007B0DF8">
            <w:pPr>
              <w:pStyle w:val="Tablecolhead"/>
            </w:pPr>
            <w:r w:rsidRPr="00D069FA">
              <w:t>Data source</w:t>
            </w:r>
          </w:p>
        </w:tc>
      </w:tr>
      <w:tr w:rsidR="007B0DF8" w:rsidRPr="007B0DF8" w14:paraId="55D57A3C" w14:textId="77777777">
        <w:tc>
          <w:tcPr>
            <w:tcW w:w="4644" w:type="dxa"/>
          </w:tcPr>
          <w:p w14:paraId="4089B210" w14:textId="170A192C" w:rsidR="007B0DF8" w:rsidRPr="007B0DF8" w:rsidRDefault="007B0DF8" w:rsidP="007B0DF8">
            <w:pPr>
              <w:pStyle w:val="Tabletext6pt"/>
            </w:pPr>
            <w:r w:rsidRPr="007B0DF8">
              <w:t xml:space="preserve">Proportion of </w:t>
            </w:r>
            <w:r w:rsidR="00AE0C9C">
              <w:t>LGBTIQA+</w:t>
            </w:r>
            <w:r w:rsidRPr="007B0DF8">
              <w:t xml:space="preserve"> Victorians who feel safe, compared with non-</w:t>
            </w:r>
            <w:r w:rsidR="00AE0C9C">
              <w:t>LGBTIQA+</w:t>
            </w:r>
            <w:r w:rsidRPr="007B0DF8">
              <w:t xml:space="preserve"> Victorians, in the</w:t>
            </w:r>
            <w:r w:rsidR="00936E2B">
              <w:t xml:space="preserve"> past</w:t>
            </w:r>
            <w:r w:rsidRPr="007B0DF8">
              <w:t xml:space="preserve"> 12 months</w:t>
            </w:r>
          </w:p>
        </w:tc>
        <w:tc>
          <w:tcPr>
            <w:tcW w:w="4644" w:type="dxa"/>
          </w:tcPr>
          <w:p w14:paraId="7D80EB72" w14:textId="677DB1E3" w:rsidR="007B0DF8" w:rsidRPr="007B0DF8" w:rsidRDefault="00936E2B" w:rsidP="007B0DF8">
            <w:pPr>
              <w:pStyle w:val="Tabletext6pt"/>
            </w:pPr>
            <w:r w:rsidRPr="007B0DF8">
              <w:t>Vic</w:t>
            </w:r>
            <w:r>
              <w:t>torian</w:t>
            </w:r>
            <w:r w:rsidRPr="007B0DF8">
              <w:t xml:space="preserve"> Pop</w:t>
            </w:r>
            <w:r>
              <w:t>ulation</w:t>
            </w:r>
            <w:r w:rsidRPr="007B0DF8">
              <w:t xml:space="preserve"> </w:t>
            </w:r>
            <w:r w:rsidR="007B0DF8" w:rsidRPr="007B0DF8">
              <w:t xml:space="preserve">Health Survey and/or </w:t>
            </w:r>
            <w:r w:rsidR="0070124F">
              <w:t xml:space="preserve">Annual </w:t>
            </w:r>
            <w:r w:rsidR="007B0DF8" w:rsidRPr="007B0DF8">
              <w:t xml:space="preserve">Victoria Police Community Sentiment Survey </w:t>
            </w:r>
          </w:p>
        </w:tc>
      </w:tr>
      <w:tr w:rsidR="007B0DF8" w:rsidRPr="007B0DF8" w14:paraId="440971E5" w14:textId="77777777">
        <w:trPr>
          <w:trHeight w:val="61"/>
        </w:trPr>
        <w:tc>
          <w:tcPr>
            <w:tcW w:w="4644" w:type="dxa"/>
          </w:tcPr>
          <w:p w14:paraId="79BF395E" w14:textId="499CCBBE" w:rsidR="007B0DF8" w:rsidRPr="007B0DF8" w:rsidRDefault="007B0DF8" w:rsidP="007B0DF8">
            <w:pPr>
              <w:pStyle w:val="Tabletext6pt"/>
            </w:pPr>
            <w:r w:rsidRPr="007B0DF8">
              <w:t xml:space="preserve">Proportion of </w:t>
            </w:r>
            <w:r w:rsidR="00AE0C9C">
              <w:t>LGBTIQA+</w:t>
            </w:r>
            <w:r w:rsidRPr="007B0DF8">
              <w:t xml:space="preserve"> Victorians who feel accepted at school, </w:t>
            </w:r>
            <w:r w:rsidR="00936E2B">
              <w:t xml:space="preserve">at </w:t>
            </w:r>
            <w:r w:rsidRPr="007B0DF8">
              <w:t>work and in public</w:t>
            </w:r>
          </w:p>
        </w:tc>
        <w:tc>
          <w:tcPr>
            <w:tcW w:w="4644" w:type="dxa"/>
          </w:tcPr>
          <w:p w14:paraId="3808C8BB" w14:textId="4434019F" w:rsidR="007B0DF8" w:rsidRPr="007B0DF8" w:rsidRDefault="007B0DF8" w:rsidP="007B0DF8">
            <w:pPr>
              <w:pStyle w:val="Tabletext6pt"/>
            </w:pPr>
            <w:r w:rsidRPr="007B0DF8">
              <w:t xml:space="preserve">Private Lives </w:t>
            </w:r>
          </w:p>
        </w:tc>
      </w:tr>
      <w:tr w:rsidR="007B0DF8" w:rsidRPr="007B0DF8" w14:paraId="09961743" w14:textId="77777777">
        <w:trPr>
          <w:trHeight w:val="61"/>
        </w:trPr>
        <w:tc>
          <w:tcPr>
            <w:tcW w:w="4644" w:type="dxa"/>
          </w:tcPr>
          <w:p w14:paraId="39632E5E" w14:textId="0D2818BC" w:rsidR="007B0DF8" w:rsidRPr="007B0DF8" w:rsidRDefault="007B0DF8" w:rsidP="007B0DF8">
            <w:pPr>
              <w:pStyle w:val="Tabletext6pt"/>
            </w:pPr>
            <w:r w:rsidRPr="007B0DF8">
              <w:t xml:space="preserve">Proportion of </w:t>
            </w:r>
            <w:r w:rsidR="00AE0C9C">
              <w:t>LGBTIQA+</w:t>
            </w:r>
            <w:r w:rsidRPr="007B0DF8">
              <w:t xml:space="preserve"> Victorians who experience online safety issues such as harassment or bullying</w:t>
            </w:r>
            <w:r w:rsidR="00936E2B">
              <w:t>,</w:t>
            </w:r>
            <w:r w:rsidRPr="007B0DF8">
              <w:t xml:space="preserve"> compared with non-</w:t>
            </w:r>
            <w:r w:rsidR="00AE0C9C">
              <w:t>LGBTIQA+</w:t>
            </w:r>
            <w:r w:rsidRPr="007B0DF8">
              <w:t xml:space="preserve"> Victorians</w:t>
            </w:r>
          </w:p>
        </w:tc>
        <w:tc>
          <w:tcPr>
            <w:tcW w:w="4644" w:type="dxa"/>
          </w:tcPr>
          <w:p w14:paraId="2CF68D43" w14:textId="0921C8AF" w:rsidR="007B0DF8" w:rsidRPr="007B0DF8" w:rsidRDefault="007B0DF8" w:rsidP="007B0DF8">
            <w:pPr>
              <w:pStyle w:val="Tabletext6pt"/>
            </w:pPr>
            <w:r w:rsidRPr="007B0DF8">
              <w:t>eSafety Commissioner</w:t>
            </w:r>
          </w:p>
        </w:tc>
      </w:tr>
    </w:tbl>
    <w:p w14:paraId="0F2D9FEA" w14:textId="7A261510" w:rsidR="007B0DF8" w:rsidRPr="007B0DF8" w:rsidRDefault="007B0DF8" w:rsidP="00F344A2">
      <w:pPr>
        <w:pStyle w:val="Heading5"/>
      </w:pPr>
      <w:bookmarkStart w:id="140" w:name="_Toc161297368"/>
      <w:r w:rsidRPr="007B0DF8">
        <w:t>Outcome indicator 4.2.2: Increased safety and inclusivity in public spaces</w:t>
      </w:r>
      <w:r>
        <w:rPr>
          <w:rStyle w:val="FootnoteReference"/>
        </w:rPr>
        <w:footnoteReference w:id="31"/>
      </w:r>
      <w:bookmarkEnd w:id="140"/>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7B0DF8" w:rsidRPr="00D069FA" w14:paraId="3B2734E9" w14:textId="77777777">
        <w:trPr>
          <w:tblHeader/>
        </w:trPr>
        <w:tc>
          <w:tcPr>
            <w:tcW w:w="4644" w:type="dxa"/>
          </w:tcPr>
          <w:p w14:paraId="25B97D5D" w14:textId="77777777" w:rsidR="007B0DF8" w:rsidRPr="00D069FA" w:rsidRDefault="007B0DF8">
            <w:pPr>
              <w:pStyle w:val="Tablecolhead"/>
            </w:pPr>
            <w:r w:rsidRPr="00D069FA">
              <w:t>Measure</w:t>
            </w:r>
          </w:p>
        </w:tc>
        <w:tc>
          <w:tcPr>
            <w:tcW w:w="4644" w:type="dxa"/>
          </w:tcPr>
          <w:p w14:paraId="580B0E0F" w14:textId="77777777" w:rsidR="007B0DF8" w:rsidRPr="00D069FA" w:rsidRDefault="007B0DF8">
            <w:pPr>
              <w:pStyle w:val="Tablecolhead"/>
            </w:pPr>
            <w:r w:rsidRPr="00D069FA">
              <w:t>Data source</w:t>
            </w:r>
          </w:p>
        </w:tc>
      </w:tr>
      <w:tr w:rsidR="007B0DF8" w:rsidRPr="007B0DF8" w14:paraId="043C7742" w14:textId="77777777">
        <w:tc>
          <w:tcPr>
            <w:tcW w:w="4644" w:type="dxa"/>
          </w:tcPr>
          <w:p w14:paraId="6A2591DA" w14:textId="56499C1E" w:rsidR="007B0DF8" w:rsidRPr="007B0DF8" w:rsidRDefault="007B0DF8" w:rsidP="007B0DF8">
            <w:pPr>
              <w:pStyle w:val="Tabletext6pt"/>
            </w:pPr>
            <w:r w:rsidRPr="007B0DF8">
              <w:t xml:space="preserve">Proportion of </w:t>
            </w:r>
            <w:r w:rsidR="00AE0C9C">
              <w:t>LGBTIQA+</w:t>
            </w:r>
            <w:r w:rsidRPr="007B0DF8">
              <w:t xml:space="preserve"> Victorians who feel that public spaces are safe and inclusive </w:t>
            </w:r>
          </w:p>
        </w:tc>
        <w:tc>
          <w:tcPr>
            <w:tcW w:w="4644" w:type="dxa"/>
          </w:tcPr>
          <w:p w14:paraId="3E5955C7" w14:textId="163B069E" w:rsidR="007B0DF8" w:rsidRPr="007B0DF8" w:rsidRDefault="00D80B99" w:rsidP="007B0DF8">
            <w:pPr>
              <w:pStyle w:val="Tabletext6pt"/>
            </w:pPr>
            <w:r>
              <w:t>To be determined</w:t>
            </w:r>
          </w:p>
        </w:tc>
      </w:tr>
    </w:tbl>
    <w:p w14:paraId="2E0DA962" w14:textId="18F0071F" w:rsidR="007B0DF8" w:rsidRDefault="00BA49D9" w:rsidP="00F344A2">
      <w:pPr>
        <w:pStyle w:val="Heading5"/>
      </w:pPr>
      <w:bookmarkStart w:id="141" w:name="_Toc161297369"/>
      <w:r w:rsidRPr="00BA49D9">
        <w:t>Outcome indicator 4.2.3: Increased safety and inclusivity in workplaces</w:t>
      </w:r>
      <w:r>
        <w:rPr>
          <w:rStyle w:val="FootnoteReference"/>
        </w:rPr>
        <w:footnoteReference w:id="32"/>
      </w:r>
      <w:bookmarkEnd w:id="141"/>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BA49D9" w:rsidRPr="00D069FA" w14:paraId="56185244" w14:textId="77777777">
        <w:trPr>
          <w:tblHeader/>
        </w:trPr>
        <w:tc>
          <w:tcPr>
            <w:tcW w:w="4644" w:type="dxa"/>
          </w:tcPr>
          <w:p w14:paraId="502860E4" w14:textId="77777777" w:rsidR="00BA49D9" w:rsidRPr="00D069FA" w:rsidRDefault="00BA49D9">
            <w:pPr>
              <w:pStyle w:val="Tablecolhead"/>
            </w:pPr>
            <w:r w:rsidRPr="00D069FA">
              <w:t>Measure</w:t>
            </w:r>
          </w:p>
        </w:tc>
        <w:tc>
          <w:tcPr>
            <w:tcW w:w="4644" w:type="dxa"/>
          </w:tcPr>
          <w:p w14:paraId="3819EFFB" w14:textId="77777777" w:rsidR="00BA49D9" w:rsidRPr="00D069FA" w:rsidRDefault="00BA49D9">
            <w:pPr>
              <w:pStyle w:val="Tablecolhead"/>
            </w:pPr>
            <w:r w:rsidRPr="00D069FA">
              <w:t>Data source</w:t>
            </w:r>
          </w:p>
        </w:tc>
      </w:tr>
      <w:tr w:rsidR="00BA49D9" w:rsidRPr="007B0DF8" w14:paraId="3437D419" w14:textId="77777777">
        <w:tc>
          <w:tcPr>
            <w:tcW w:w="4644" w:type="dxa"/>
          </w:tcPr>
          <w:p w14:paraId="7E18CB9F" w14:textId="60F71119" w:rsidR="00BA49D9" w:rsidRPr="00BA49D9" w:rsidRDefault="00BA49D9" w:rsidP="00BA49D9">
            <w:pPr>
              <w:pStyle w:val="Tabletext6pt"/>
            </w:pPr>
            <w:r w:rsidRPr="00BA49D9">
              <w:t xml:space="preserve">Number of reports lodged with FairWork relating to </w:t>
            </w:r>
            <w:r w:rsidR="00AE0C9C">
              <w:t>LGBTIQA+</w:t>
            </w:r>
            <w:r w:rsidRPr="00BA49D9">
              <w:t xml:space="preserve"> experiences of discrimination in the</w:t>
            </w:r>
            <w:r w:rsidR="00936E2B">
              <w:t xml:space="preserve"> past</w:t>
            </w:r>
            <w:r w:rsidRPr="00BA49D9">
              <w:t xml:space="preserve"> 12 months </w:t>
            </w:r>
          </w:p>
        </w:tc>
        <w:tc>
          <w:tcPr>
            <w:tcW w:w="4644" w:type="dxa"/>
          </w:tcPr>
          <w:p w14:paraId="1848998F" w14:textId="3D59DD0C" w:rsidR="00BA49D9" w:rsidRPr="00BA49D9" w:rsidRDefault="00BA49D9" w:rsidP="00BA49D9">
            <w:pPr>
              <w:pStyle w:val="Tabletext6pt"/>
            </w:pPr>
            <w:r w:rsidRPr="00BA49D9">
              <w:t xml:space="preserve">FairWork </w:t>
            </w:r>
          </w:p>
        </w:tc>
      </w:tr>
      <w:tr w:rsidR="00BA49D9" w:rsidRPr="007B0DF8" w14:paraId="73AC0406" w14:textId="77777777">
        <w:trPr>
          <w:trHeight w:val="61"/>
        </w:trPr>
        <w:tc>
          <w:tcPr>
            <w:tcW w:w="4644" w:type="dxa"/>
          </w:tcPr>
          <w:p w14:paraId="5CD0920E" w14:textId="23AC0E3B" w:rsidR="00BA49D9" w:rsidRPr="00BA49D9" w:rsidRDefault="00BA49D9" w:rsidP="00BA49D9">
            <w:pPr>
              <w:pStyle w:val="Tabletext6pt"/>
            </w:pPr>
            <w:r w:rsidRPr="00BA49D9">
              <w:t xml:space="preserve">Proportion of </w:t>
            </w:r>
            <w:r w:rsidR="00AE0C9C">
              <w:t>LGBTIQA+</w:t>
            </w:r>
            <w:r w:rsidRPr="00BA49D9">
              <w:t xml:space="preserve"> VPS employees who feel supported </w:t>
            </w:r>
            <w:r w:rsidR="00936E2B">
              <w:t>and</w:t>
            </w:r>
            <w:r w:rsidR="00936E2B" w:rsidRPr="00BA49D9">
              <w:t xml:space="preserve"> </w:t>
            </w:r>
            <w:r w:rsidR="00936E2B">
              <w:t>included</w:t>
            </w:r>
            <w:r w:rsidRPr="00BA49D9">
              <w:t xml:space="preserve"> </w:t>
            </w:r>
          </w:p>
        </w:tc>
        <w:tc>
          <w:tcPr>
            <w:tcW w:w="4644" w:type="dxa"/>
          </w:tcPr>
          <w:p w14:paraId="48800E29" w14:textId="0437F864" w:rsidR="00BA49D9" w:rsidRPr="00BA49D9" w:rsidRDefault="00BA49D9" w:rsidP="00BA49D9">
            <w:pPr>
              <w:pStyle w:val="Tabletext6pt"/>
            </w:pPr>
            <w:r w:rsidRPr="00BA49D9">
              <w:t>People Matters Survey</w:t>
            </w:r>
          </w:p>
        </w:tc>
      </w:tr>
      <w:tr w:rsidR="00BA49D9" w:rsidRPr="007B0DF8" w14:paraId="103985EE" w14:textId="77777777">
        <w:trPr>
          <w:trHeight w:val="61"/>
        </w:trPr>
        <w:tc>
          <w:tcPr>
            <w:tcW w:w="4644" w:type="dxa"/>
          </w:tcPr>
          <w:p w14:paraId="29233ECF" w14:textId="1AAAACC0" w:rsidR="00BA49D9" w:rsidRPr="00BA49D9" w:rsidRDefault="00BA49D9" w:rsidP="00BA49D9">
            <w:pPr>
              <w:pStyle w:val="Tabletext6pt"/>
            </w:pPr>
            <w:r w:rsidRPr="00BA49D9">
              <w:t xml:space="preserve">Proportion of </w:t>
            </w:r>
            <w:r w:rsidR="00AE0C9C">
              <w:t>LGBTIQA+</w:t>
            </w:r>
            <w:r w:rsidRPr="00BA49D9">
              <w:t xml:space="preserve"> employees who feel included and safe at their workplace </w:t>
            </w:r>
          </w:p>
        </w:tc>
        <w:tc>
          <w:tcPr>
            <w:tcW w:w="4644" w:type="dxa"/>
          </w:tcPr>
          <w:p w14:paraId="482D62F1" w14:textId="61D7DD1C" w:rsidR="00BA49D9" w:rsidRPr="00BA49D9" w:rsidRDefault="00D80B99" w:rsidP="00BA49D9">
            <w:pPr>
              <w:pStyle w:val="Tabletext6pt"/>
            </w:pPr>
            <w:r>
              <w:t>To be determined</w:t>
            </w:r>
          </w:p>
        </w:tc>
      </w:tr>
    </w:tbl>
    <w:p w14:paraId="0297D767" w14:textId="5B366E0C" w:rsidR="00BA49D9" w:rsidRDefault="00BA49D9" w:rsidP="00F344A2">
      <w:pPr>
        <w:pStyle w:val="Heading5"/>
      </w:pPr>
      <w:bookmarkStart w:id="142" w:name="_Toc161297370"/>
      <w:r w:rsidRPr="00BA49D9">
        <w:t>Outcome indicator 4.2.4: Increased safety and inclusivity in schools</w:t>
      </w:r>
      <w:bookmarkEnd w:id="142"/>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AE0C9C" w:rsidRPr="00D069FA" w14:paraId="67BCC860" w14:textId="77777777">
        <w:trPr>
          <w:tblHeader/>
        </w:trPr>
        <w:tc>
          <w:tcPr>
            <w:tcW w:w="4644" w:type="dxa"/>
          </w:tcPr>
          <w:p w14:paraId="48551EB4" w14:textId="77777777" w:rsidR="00AE0C9C" w:rsidRPr="00D069FA" w:rsidRDefault="00AE0C9C">
            <w:pPr>
              <w:pStyle w:val="Tablecolhead"/>
            </w:pPr>
            <w:r w:rsidRPr="00D069FA">
              <w:t>Measure</w:t>
            </w:r>
          </w:p>
        </w:tc>
        <w:tc>
          <w:tcPr>
            <w:tcW w:w="4644" w:type="dxa"/>
          </w:tcPr>
          <w:p w14:paraId="0487C5D2" w14:textId="77777777" w:rsidR="00AE0C9C" w:rsidRPr="00D069FA" w:rsidRDefault="00AE0C9C">
            <w:pPr>
              <w:pStyle w:val="Tablecolhead"/>
            </w:pPr>
            <w:r w:rsidRPr="00D069FA">
              <w:t>Data source</w:t>
            </w:r>
          </w:p>
        </w:tc>
      </w:tr>
      <w:tr w:rsidR="00AE0C9C" w:rsidRPr="00BA49D9" w14:paraId="6E050F53" w14:textId="77777777">
        <w:trPr>
          <w:trHeight w:val="61"/>
        </w:trPr>
        <w:tc>
          <w:tcPr>
            <w:tcW w:w="4644" w:type="dxa"/>
          </w:tcPr>
          <w:p w14:paraId="1F3FACE9" w14:textId="75515159" w:rsidR="00AE0C9C" w:rsidRPr="00AE0C9C" w:rsidRDefault="00AE0C9C" w:rsidP="00AE0C9C">
            <w:pPr>
              <w:pStyle w:val="Tabletext6pt"/>
            </w:pPr>
            <w:r w:rsidRPr="00AE0C9C">
              <w:t xml:space="preserve">Proportion of </w:t>
            </w:r>
            <w:r>
              <w:t>LGBTIQA+</w:t>
            </w:r>
            <w:r w:rsidRPr="00AE0C9C">
              <w:t xml:space="preserve"> students who feel safe to identify as </w:t>
            </w:r>
            <w:r>
              <w:t>LGBTIQA+</w:t>
            </w:r>
            <w:r w:rsidRPr="00AE0C9C">
              <w:t xml:space="preserve"> in their educational setting </w:t>
            </w:r>
          </w:p>
        </w:tc>
        <w:tc>
          <w:tcPr>
            <w:tcW w:w="4644" w:type="dxa"/>
          </w:tcPr>
          <w:p w14:paraId="68D928F4" w14:textId="10357184" w:rsidR="00AE0C9C" w:rsidRPr="00AE0C9C" w:rsidRDefault="00AE0C9C" w:rsidP="00AE0C9C">
            <w:pPr>
              <w:pStyle w:val="Tabletext6pt"/>
            </w:pPr>
            <w:r w:rsidRPr="00AE0C9C">
              <w:t xml:space="preserve">Writing Themselves In </w:t>
            </w:r>
          </w:p>
        </w:tc>
      </w:tr>
      <w:tr w:rsidR="00AE0C9C" w:rsidRPr="00BA49D9" w14:paraId="6EDE8DF0" w14:textId="77777777">
        <w:trPr>
          <w:trHeight w:val="61"/>
        </w:trPr>
        <w:tc>
          <w:tcPr>
            <w:tcW w:w="4644" w:type="dxa"/>
          </w:tcPr>
          <w:p w14:paraId="5329D890" w14:textId="1B0B2708" w:rsidR="00AE0C9C" w:rsidRPr="00AE0C9C" w:rsidRDefault="00AE0C9C" w:rsidP="00AE0C9C">
            <w:pPr>
              <w:pStyle w:val="Tabletext6pt"/>
            </w:pPr>
            <w:r w:rsidRPr="00AE0C9C">
              <w:t xml:space="preserve">Proportion of </w:t>
            </w:r>
            <w:r>
              <w:t>LGBTIQA+</w:t>
            </w:r>
            <w:r w:rsidRPr="00AE0C9C">
              <w:t xml:space="preserve"> students who felt they could safely use the changing rooms that match their gender identity at secondary school/university in the </w:t>
            </w:r>
            <w:r w:rsidR="00936E2B">
              <w:t>p</w:t>
            </w:r>
            <w:r w:rsidR="00936E2B" w:rsidRPr="00AE0C9C">
              <w:t xml:space="preserve">ast </w:t>
            </w:r>
            <w:r w:rsidRPr="00AE0C9C">
              <w:t xml:space="preserve">12 months  </w:t>
            </w:r>
          </w:p>
        </w:tc>
        <w:tc>
          <w:tcPr>
            <w:tcW w:w="4644" w:type="dxa"/>
          </w:tcPr>
          <w:p w14:paraId="0765FE6F" w14:textId="48F2CE93" w:rsidR="00AE0C9C" w:rsidRPr="00AE0C9C" w:rsidRDefault="00AE0C9C" w:rsidP="00AE0C9C">
            <w:pPr>
              <w:pStyle w:val="Tabletext6pt"/>
            </w:pPr>
            <w:r w:rsidRPr="00AE0C9C">
              <w:t xml:space="preserve">Writing Themselves In </w:t>
            </w:r>
          </w:p>
        </w:tc>
      </w:tr>
      <w:tr w:rsidR="00AE0C9C" w:rsidRPr="00BA49D9" w14:paraId="0DDF1E32" w14:textId="77777777">
        <w:trPr>
          <w:trHeight w:val="61"/>
        </w:trPr>
        <w:tc>
          <w:tcPr>
            <w:tcW w:w="4644" w:type="dxa"/>
          </w:tcPr>
          <w:p w14:paraId="0E12590B" w14:textId="11261F46" w:rsidR="00AE0C9C" w:rsidRPr="00AE0C9C" w:rsidRDefault="00AE0C9C" w:rsidP="00AE0C9C">
            <w:pPr>
              <w:pStyle w:val="Tabletext6pt"/>
            </w:pPr>
            <w:r w:rsidRPr="00AE0C9C">
              <w:t xml:space="preserve">Proportion of staff who report feeling more confident in supporting </w:t>
            </w:r>
            <w:r>
              <w:t>LGBTIQA+</w:t>
            </w:r>
            <w:r w:rsidRPr="00AE0C9C">
              <w:t xml:space="preserve"> students following Safe Schools professional learning</w:t>
            </w:r>
          </w:p>
        </w:tc>
        <w:tc>
          <w:tcPr>
            <w:tcW w:w="4644" w:type="dxa"/>
          </w:tcPr>
          <w:p w14:paraId="70EEA28E" w14:textId="56087F29" w:rsidR="00AE0C9C" w:rsidRPr="00AE0C9C" w:rsidRDefault="00AE0C9C" w:rsidP="00AE0C9C">
            <w:pPr>
              <w:pStyle w:val="Tabletext6pt"/>
            </w:pPr>
            <w:r w:rsidRPr="00AE0C9C">
              <w:t xml:space="preserve">Department of Education </w:t>
            </w:r>
          </w:p>
        </w:tc>
      </w:tr>
    </w:tbl>
    <w:p w14:paraId="1A88AEBC" w14:textId="3C0D767A" w:rsidR="00AE0C9C" w:rsidRDefault="00AE0C9C" w:rsidP="00F344A2">
      <w:pPr>
        <w:pStyle w:val="Heading5"/>
        <w:rPr>
          <w:lang w:eastAsia="en-AU"/>
        </w:rPr>
      </w:pPr>
      <w:bookmarkStart w:id="143" w:name="_Toc161297371"/>
      <w:r w:rsidRPr="00BA49D9">
        <w:t>Outcome indicator</w:t>
      </w:r>
      <w:r>
        <w:t xml:space="preserve"> </w:t>
      </w:r>
      <w:r>
        <w:rPr>
          <w:lang w:eastAsia="en-AU"/>
        </w:rPr>
        <w:t xml:space="preserve">4.2.5: </w:t>
      </w:r>
      <w:r w:rsidRPr="00A56542">
        <w:rPr>
          <w:lang w:eastAsia="en-AU"/>
        </w:rPr>
        <w:t>Increased employment and economic security</w:t>
      </w:r>
      <w:r>
        <w:rPr>
          <w:rStyle w:val="FootnoteReference"/>
          <w:lang w:eastAsia="en-AU"/>
        </w:rPr>
        <w:footnoteReference w:id="33"/>
      </w:r>
      <w:bookmarkEnd w:id="143"/>
      <w:r w:rsidRPr="00A56542">
        <w:rPr>
          <w:lang w:eastAsia="en-AU"/>
        </w:rPr>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AE0C9C" w:rsidRPr="00D069FA" w14:paraId="6E688F4C" w14:textId="77777777">
        <w:trPr>
          <w:tblHeader/>
        </w:trPr>
        <w:tc>
          <w:tcPr>
            <w:tcW w:w="4644" w:type="dxa"/>
          </w:tcPr>
          <w:p w14:paraId="70B5D929" w14:textId="77777777" w:rsidR="00AE0C9C" w:rsidRPr="00D069FA" w:rsidRDefault="00AE0C9C">
            <w:pPr>
              <w:pStyle w:val="Tablecolhead"/>
            </w:pPr>
            <w:r w:rsidRPr="00D069FA">
              <w:t>Measure</w:t>
            </w:r>
          </w:p>
        </w:tc>
        <w:tc>
          <w:tcPr>
            <w:tcW w:w="4644" w:type="dxa"/>
          </w:tcPr>
          <w:p w14:paraId="0B58F2D5" w14:textId="77777777" w:rsidR="00AE0C9C" w:rsidRPr="00D069FA" w:rsidRDefault="00AE0C9C">
            <w:pPr>
              <w:pStyle w:val="Tablecolhead"/>
            </w:pPr>
            <w:r w:rsidRPr="00D069FA">
              <w:t>Data source</w:t>
            </w:r>
          </w:p>
        </w:tc>
      </w:tr>
      <w:tr w:rsidR="00AE0C9C" w:rsidRPr="00AE0C9C" w14:paraId="5546F150" w14:textId="77777777">
        <w:tc>
          <w:tcPr>
            <w:tcW w:w="4644" w:type="dxa"/>
          </w:tcPr>
          <w:p w14:paraId="3C4E401C" w14:textId="67E32919" w:rsidR="00AE0C9C" w:rsidRPr="00AE0C9C" w:rsidRDefault="00AE0C9C" w:rsidP="00AE0C9C">
            <w:pPr>
              <w:pStyle w:val="Tabletext6pt"/>
            </w:pPr>
            <w:r w:rsidRPr="00AE0C9C">
              <w:t xml:space="preserve">Proportion of </w:t>
            </w:r>
            <w:r>
              <w:t>LGBTIQA+</w:t>
            </w:r>
            <w:r w:rsidRPr="00AE0C9C">
              <w:t xml:space="preserve"> Victorians who are unemployed or underemployed, compared with non-</w:t>
            </w:r>
            <w:r>
              <w:t>LGBTIQA+</w:t>
            </w:r>
            <w:r w:rsidRPr="00AE0C9C">
              <w:t xml:space="preserve"> Victorians  </w:t>
            </w:r>
          </w:p>
        </w:tc>
        <w:tc>
          <w:tcPr>
            <w:tcW w:w="4644" w:type="dxa"/>
          </w:tcPr>
          <w:p w14:paraId="20FE426C" w14:textId="38778483" w:rsidR="00AE0C9C" w:rsidRPr="00AE0C9C" w:rsidRDefault="00936E2B" w:rsidP="00AE0C9C">
            <w:pPr>
              <w:pStyle w:val="Tabletext6pt"/>
            </w:pPr>
            <w:r w:rsidRPr="007B0DF8">
              <w:t>Vic</w:t>
            </w:r>
            <w:r>
              <w:t>torian</w:t>
            </w:r>
            <w:r w:rsidRPr="007B0DF8">
              <w:t xml:space="preserve"> Pop</w:t>
            </w:r>
            <w:r>
              <w:t>ulation</w:t>
            </w:r>
            <w:r w:rsidRPr="007B0DF8">
              <w:t xml:space="preserve"> </w:t>
            </w:r>
            <w:r w:rsidR="00AE0C9C" w:rsidRPr="00AE0C9C">
              <w:t xml:space="preserve">Health </w:t>
            </w:r>
            <w:r w:rsidR="00A95E7A">
              <w:t>Survey</w:t>
            </w:r>
            <w:r w:rsidR="00A95E7A">
              <w:rPr>
                <w:rStyle w:val="FootnoteReference"/>
              </w:rPr>
              <w:footnoteReference w:id="34"/>
            </w:r>
            <w:r w:rsidR="00A95E7A">
              <w:t xml:space="preserve"> </w:t>
            </w:r>
          </w:p>
        </w:tc>
      </w:tr>
      <w:tr w:rsidR="00AE0C9C" w:rsidRPr="00AE0C9C" w14:paraId="59F9E2EA" w14:textId="77777777">
        <w:trPr>
          <w:trHeight w:val="61"/>
        </w:trPr>
        <w:tc>
          <w:tcPr>
            <w:tcW w:w="4644" w:type="dxa"/>
          </w:tcPr>
          <w:p w14:paraId="1DA4803A" w14:textId="52A26CBB" w:rsidR="00AE0C9C" w:rsidRPr="00AE0C9C" w:rsidRDefault="00AE0C9C" w:rsidP="00AE0C9C">
            <w:pPr>
              <w:pStyle w:val="Tabletext6pt"/>
            </w:pPr>
            <w:r w:rsidRPr="00AE0C9C">
              <w:t xml:space="preserve">Proportion of </w:t>
            </w:r>
            <w:r>
              <w:t>LGBTIQA+</w:t>
            </w:r>
            <w:r w:rsidRPr="00AE0C9C">
              <w:t xml:space="preserve"> Victorians </w:t>
            </w:r>
            <w:r w:rsidR="00936E2B">
              <w:t>who could not</w:t>
            </w:r>
            <w:r w:rsidRPr="00AE0C9C">
              <w:t xml:space="preserve"> raise $2,000 within two days in an emergency, compared </w:t>
            </w:r>
            <w:r w:rsidR="00936E2B">
              <w:t>with</w:t>
            </w:r>
            <w:r w:rsidRPr="00AE0C9C">
              <w:t xml:space="preserve"> non-</w:t>
            </w:r>
            <w:r>
              <w:t>LGBTIQA+</w:t>
            </w:r>
            <w:r w:rsidRPr="00AE0C9C">
              <w:t xml:space="preserve"> Victorians </w:t>
            </w:r>
          </w:p>
        </w:tc>
        <w:tc>
          <w:tcPr>
            <w:tcW w:w="4644" w:type="dxa"/>
          </w:tcPr>
          <w:p w14:paraId="4AD7F5B4" w14:textId="3B98A8AD" w:rsidR="00AE0C9C" w:rsidRPr="00AE0C9C" w:rsidRDefault="00936E2B" w:rsidP="00AE0C9C">
            <w:pPr>
              <w:pStyle w:val="Tabletext6pt"/>
            </w:pPr>
            <w:r w:rsidRPr="007B0DF8">
              <w:t>Vic</w:t>
            </w:r>
            <w:r>
              <w:t>torian</w:t>
            </w:r>
            <w:r w:rsidRPr="007B0DF8">
              <w:t xml:space="preserve"> Pop</w:t>
            </w:r>
            <w:r>
              <w:t>ulation</w:t>
            </w:r>
            <w:r w:rsidRPr="007B0DF8">
              <w:t xml:space="preserve"> </w:t>
            </w:r>
            <w:r w:rsidR="00AE0C9C" w:rsidRPr="00AE0C9C">
              <w:t xml:space="preserve">Health </w:t>
            </w:r>
            <w:r w:rsidR="00A95E7A">
              <w:t>Survey</w:t>
            </w:r>
          </w:p>
        </w:tc>
      </w:tr>
      <w:tr w:rsidR="00AE0C9C" w:rsidRPr="00AE0C9C" w14:paraId="7CEAE07E" w14:textId="77777777">
        <w:trPr>
          <w:trHeight w:val="61"/>
        </w:trPr>
        <w:tc>
          <w:tcPr>
            <w:tcW w:w="4644" w:type="dxa"/>
          </w:tcPr>
          <w:p w14:paraId="628313C1" w14:textId="6A8BC6E4" w:rsidR="00AE0C9C" w:rsidRPr="00AE0C9C" w:rsidRDefault="00AE0C9C" w:rsidP="00AE0C9C">
            <w:pPr>
              <w:pStyle w:val="Tabletext6pt"/>
            </w:pPr>
            <w:r w:rsidRPr="00AE0C9C">
              <w:t xml:space="preserve">Proportion of </w:t>
            </w:r>
            <w:r>
              <w:t>LGBTIQA+</w:t>
            </w:r>
            <w:r w:rsidRPr="00AE0C9C">
              <w:t xml:space="preserve"> Victorians experiencing food insecurity, compared </w:t>
            </w:r>
            <w:r w:rsidR="00936E2B">
              <w:t>with</w:t>
            </w:r>
            <w:r w:rsidR="00936E2B" w:rsidRPr="00AE0C9C">
              <w:t xml:space="preserve"> </w:t>
            </w:r>
            <w:r w:rsidRPr="00AE0C9C">
              <w:t>non-</w:t>
            </w:r>
            <w:r>
              <w:t>LGBTIQA+</w:t>
            </w:r>
            <w:r w:rsidRPr="00AE0C9C">
              <w:t xml:space="preserve"> Victorians </w:t>
            </w:r>
          </w:p>
        </w:tc>
        <w:tc>
          <w:tcPr>
            <w:tcW w:w="4644" w:type="dxa"/>
          </w:tcPr>
          <w:p w14:paraId="5999D0C4" w14:textId="59495E02" w:rsidR="00AE0C9C" w:rsidRPr="00AE0C9C" w:rsidRDefault="00936E2B" w:rsidP="00AE0C9C">
            <w:pPr>
              <w:pStyle w:val="Tabletext6pt"/>
            </w:pPr>
            <w:r w:rsidRPr="007B0DF8">
              <w:t>Vic</w:t>
            </w:r>
            <w:r>
              <w:t>torian</w:t>
            </w:r>
            <w:r w:rsidRPr="007B0DF8">
              <w:t xml:space="preserve"> Pop</w:t>
            </w:r>
            <w:r>
              <w:t>ulation</w:t>
            </w:r>
            <w:r w:rsidRPr="007B0DF8">
              <w:t xml:space="preserve"> </w:t>
            </w:r>
            <w:r w:rsidR="00AE0C9C" w:rsidRPr="00AE0C9C">
              <w:t xml:space="preserve">Health </w:t>
            </w:r>
            <w:r w:rsidR="00A95E7A">
              <w:t>Survey</w:t>
            </w:r>
          </w:p>
        </w:tc>
      </w:tr>
    </w:tbl>
    <w:p w14:paraId="1C9BE8E8" w14:textId="32FF20E5" w:rsidR="00AE0C9C" w:rsidRDefault="00AE0C9C" w:rsidP="00F344A2">
      <w:pPr>
        <w:pStyle w:val="Heading5"/>
      </w:pPr>
      <w:bookmarkStart w:id="144" w:name="_Toc161297372"/>
      <w:r>
        <w:t>Outcome indicator 4.2.6: Increased housing security</w:t>
      </w:r>
      <w:bookmarkEnd w:id="144"/>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AE0C9C" w:rsidRPr="00D069FA" w14:paraId="3333B729" w14:textId="77777777">
        <w:trPr>
          <w:tblHeader/>
        </w:trPr>
        <w:tc>
          <w:tcPr>
            <w:tcW w:w="4644" w:type="dxa"/>
          </w:tcPr>
          <w:p w14:paraId="24991235" w14:textId="77777777" w:rsidR="00AE0C9C" w:rsidRPr="00D069FA" w:rsidRDefault="00AE0C9C">
            <w:pPr>
              <w:pStyle w:val="Tablecolhead"/>
            </w:pPr>
            <w:r w:rsidRPr="00D069FA">
              <w:t>Measure</w:t>
            </w:r>
          </w:p>
        </w:tc>
        <w:tc>
          <w:tcPr>
            <w:tcW w:w="4644" w:type="dxa"/>
          </w:tcPr>
          <w:p w14:paraId="1F5C4E47" w14:textId="77777777" w:rsidR="00AE0C9C" w:rsidRPr="00D069FA" w:rsidRDefault="00AE0C9C">
            <w:pPr>
              <w:pStyle w:val="Tablecolhead"/>
            </w:pPr>
            <w:r w:rsidRPr="00D069FA">
              <w:t>Data source</w:t>
            </w:r>
          </w:p>
        </w:tc>
      </w:tr>
      <w:tr w:rsidR="00AE0C9C" w:rsidRPr="00AE0C9C" w14:paraId="74C5E0B6" w14:textId="77777777">
        <w:tc>
          <w:tcPr>
            <w:tcW w:w="4644" w:type="dxa"/>
          </w:tcPr>
          <w:p w14:paraId="620670AA" w14:textId="1EABC84B" w:rsidR="00AE0C9C" w:rsidRPr="00AE0C9C" w:rsidRDefault="00AE0C9C" w:rsidP="00AE0C9C">
            <w:pPr>
              <w:pStyle w:val="Tabletext6pt"/>
            </w:pPr>
            <w:r w:rsidRPr="00AE0C9C">
              <w:t xml:space="preserve">Proportion of </w:t>
            </w:r>
            <w:r>
              <w:t>LGBTIQA+</w:t>
            </w:r>
            <w:r w:rsidRPr="00AE0C9C">
              <w:t xml:space="preserve"> Victorians who have experienced homelessness in the </w:t>
            </w:r>
            <w:r w:rsidR="00936E2B">
              <w:t>p</w:t>
            </w:r>
            <w:r w:rsidR="00936E2B" w:rsidRPr="00AE0C9C">
              <w:t xml:space="preserve">ast </w:t>
            </w:r>
            <w:r w:rsidRPr="00AE0C9C">
              <w:t xml:space="preserve">two years </w:t>
            </w:r>
          </w:p>
        </w:tc>
        <w:tc>
          <w:tcPr>
            <w:tcW w:w="4644" w:type="dxa"/>
          </w:tcPr>
          <w:p w14:paraId="2C1D229E" w14:textId="620672FB" w:rsidR="00AE0C9C" w:rsidRPr="00AE0C9C" w:rsidRDefault="00D80B99" w:rsidP="00AE0C9C">
            <w:pPr>
              <w:pStyle w:val="Tabletext6pt"/>
            </w:pPr>
            <w:r>
              <w:t>To be determined</w:t>
            </w:r>
          </w:p>
        </w:tc>
      </w:tr>
      <w:tr w:rsidR="00AE0C9C" w:rsidRPr="00AE0C9C" w14:paraId="2035F83F" w14:textId="77777777">
        <w:trPr>
          <w:trHeight w:val="61"/>
        </w:trPr>
        <w:tc>
          <w:tcPr>
            <w:tcW w:w="4644" w:type="dxa"/>
          </w:tcPr>
          <w:p w14:paraId="664A93BC" w14:textId="3F2F98CC" w:rsidR="00AE0C9C" w:rsidRPr="00AE0C9C" w:rsidRDefault="00AE0C9C" w:rsidP="00AE0C9C">
            <w:pPr>
              <w:pStyle w:val="Tabletext6pt"/>
            </w:pPr>
            <w:r w:rsidRPr="00AE0C9C">
              <w:t xml:space="preserve">Proportion of </w:t>
            </w:r>
            <w:r>
              <w:t>LGBTIQA+</w:t>
            </w:r>
            <w:r w:rsidRPr="00AE0C9C">
              <w:t xml:space="preserve"> Victorians who have secure housing </w:t>
            </w:r>
          </w:p>
        </w:tc>
        <w:tc>
          <w:tcPr>
            <w:tcW w:w="4644" w:type="dxa"/>
          </w:tcPr>
          <w:p w14:paraId="5612899C" w14:textId="4681F896" w:rsidR="00AE0C9C" w:rsidRPr="00AE0C9C" w:rsidRDefault="00D80B99" w:rsidP="00AE0C9C">
            <w:pPr>
              <w:pStyle w:val="Tabletext6pt"/>
            </w:pPr>
            <w:r>
              <w:t>To be determined</w:t>
            </w:r>
          </w:p>
        </w:tc>
      </w:tr>
    </w:tbl>
    <w:p w14:paraId="1EC02D33" w14:textId="4CC3AA4C" w:rsidR="00AE0C9C" w:rsidRDefault="00AE0C9C" w:rsidP="00F344A2">
      <w:pPr>
        <w:pStyle w:val="Heading4"/>
      </w:pPr>
      <w:bookmarkStart w:id="145" w:name="_Toc161297373"/>
      <w:r w:rsidRPr="00193A6D">
        <w:t xml:space="preserve">Outcome 4.3: Victoria’s communities are welcoming and </w:t>
      </w:r>
      <w:r w:rsidRPr="00AE0C9C">
        <w:t>inclusive</w:t>
      </w:r>
      <w:bookmarkEnd w:id="145"/>
      <w:r w:rsidR="00FA6449">
        <w:t xml:space="preserve"> for LGBTIQA+ people</w:t>
      </w:r>
    </w:p>
    <w:p w14:paraId="5262EE55" w14:textId="6B976BF8" w:rsidR="00AE0C9C" w:rsidRDefault="00AE0C9C" w:rsidP="00F344A2">
      <w:pPr>
        <w:pStyle w:val="Heading5"/>
      </w:pPr>
      <w:bookmarkStart w:id="146" w:name="_Toc161297374"/>
      <w:r w:rsidRPr="00AE0C9C">
        <w:t>Outcome indicator 4.3.1</w:t>
      </w:r>
      <w:r>
        <w:t>:</w:t>
      </w:r>
      <w:r w:rsidRPr="00AE0C9C">
        <w:t xml:space="preserve"> </w:t>
      </w:r>
      <w:r w:rsidR="00CF769A">
        <w:t>Enhanced p</w:t>
      </w:r>
      <w:r w:rsidRPr="00AE0C9C">
        <w:t>ublic education to increase awareness about diverse LGBTIQ</w:t>
      </w:r>
      <w:r>
        <w:t>A</w:t>
      </w:r>
      <w:r w:rsidRPr="00AE0C9C">
        <w:t>+ communities and needs</w:t>
      </w:r>
      <w:bookmarkEnd w:id="146"/>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AE0C9C" w:rsidRPr="00D069FA" w14:paraId="3500413F" w14:textId="77777777">
        <w:trPr>
          <w:tblHeader/>
        </w:trPr>
        <w:tc>
          <w:tcPr>
            <w:tcW w:w="4644" w:type="dxa"/>
          </w:tcPr>
          <w:p w14:paraId="2C79C904" w14:textId="77777777" w:rsidR="00AE0C9C" w:rsidRPr="00D069FA" w:rsidRDefault="00AE0C9C">
            <w:pPr>
              <w:pStyle w:val="Tablecolhead"/>
            </w:pPr>
            <w:r w:rsidRPr="00D069FA">
              <w:t>Measure</w:t>
            </w:r>
          </w:p>
        </w:tc>
        <w:tc>
          <w:tcPr>
            <w:tcW w:w="4644" w:type="dxa"/>
          </w:tcPr>
          <w:p w14:paraId="57215680" w14:textId="77777777" w:rsidR="00AE0C9C" w:rsidRPr="00D069FA" w:rsidRDefault="00AE0C9C">
            <w:pPr>
              <w:pStyle w:val="Tablecolhead"/>
            </w:pPr>
            <w:r w:rsidRPr="00D069FA">
              <w:t>Data source</w:t>
            </w:r>
          </w:p>
        </w:tc>
      </w:tr>
      <w:tr w:rsidR="00AE0C9C" w:rsidRPr="00AE0C9C" w14:paraId="43924583" w14:textId="77777777">
        <w:tc>
          <w:tcPr>
            <w:tcW w:w="4644" w:type="dxa"/>
          </w:tcPr>
          <w:p w14:paraId="65D3D212" w14:textId="2B160B9F" w:rsidR="00AE0C9C" w:rsidRPr="00AE0C9C" w:rsidRDefault="00AE0C9C" w:rsidP="00AE0C9C">
            <w:pPr>
              <w:pStyle w:val="Tabletext6pt"/>
            </w:pPr>
            <w:r w:rsidRPr="00AE0C9C">
              <w:t xml:space="preserve">Proportion of </w:t>
            </w:r>
            <w:r>
              <w:t>LGBTIQA+</w:t>
            </w:r>
            <w:r w:rsidRPr="00AE0C9C">
              <w:t xml:space="preserve"> Victorian students who feel that aspects of their current education setting (textbooks, assignments, sex education) </w:t>
            </w:r>
            <w:r w:rsidR="00936E2B">
              <w:t>support and include</w:t>
            </w:r>
            <w:r w:rsidRPr="00AE0C9C">
              <w:t xml:space="preserve"> </w:t>
            </w:r>
            <w:r>
              <w:t>LGBTIQA+</w:t>
            </w:r>
            <w:r w:rsidRPr="00AE0C9C">
              <w:t xml:space="preserve"> people </w:t>
            </w:r>
          </w:p>
        </w:tc>
        <w:tc>
          <w:tcPr>
            <w:tcW w:w="4644" w:type="dxa"/>
          </w:tcPr>
          <w:p w14:paraId="0A2EE19F" w14:textId="0D234F36" w:rsidR="00AE0C9C" w:rsidRPr="00AE0C9C" w:rsidRDefault="00AE0C9C" w:rsidP="00AE0C9C">
            <w:pPr>
              <w:pStyle w:val="Tabletext6pt"/>
            </w:pPr>
            <w:r w:rsidRPr="00AE0C9C">
              <w:t xml:space="preserve">Writing Themselves In </w:t>
            </w:r>
          </w:p>
        </w:tc>
      </w:tr>
      <w:tr w:rsidR="00AE0C9C" w:rsidRPr="00AE0C9C" w14:paraId="3FB08C3D" w14:textId="77777777">
        <w:trPr>
          <w:trHeight w:val="61"/>
        </w:trPr>
        <w:tc>
          <w:tcPr>
            <w:tcW w:w="4644" w:type="dxa"/>
          </w:tcPr>
          <w:p w14:paraId="5D8187A2" w14:textId="353F87E6" w:rsidR="00AE0C9C" w:rsidRPr="00AE0C9C" w:rsidRDefault="00AE0C9C" w:rsidP="00AE0C9C">
            <w:pPr>
              <w:pStyle w:val="Tabletext6pt"/>
            </w:pPr>
            <w:r w:rsidRPr="00AE0C9C">
              <w:t xml:space="preserve">Proportion of positive mainstream community feedback for </w:t>
            </w:r>
            <w:r w:rsidR="00936E2B">
              <w:t xml:space="preserve">the </w:t>
            </w:r>
            <w:r w:rsidRPr="00AE0C9C">
              <w:t>Equality</w:t>
            </w:r>
            <w:r w:rsidR="00936E2B">
              <w:t xml:space="preserve"> </w:t>
            </w:r>
            <w:r w:rsidR="00CF769A">
              <w:t>portfolio</w:t>
            </w:r>
            <w:r w:rsidRPr="00AE0C9C">
              <w:t>'s public awareness campaigns</w:t>
            </w:r>
          </w:p>
        </w:tc>
        <w:tc>
          <w:tcPr>
            <w:tcW w:w="4644" w:type="dxa"/>
          </w:tcPr>
          <w:p w14:paraId="4D3D31E9" w14:textId="614D5426" w:rsidR="00AE0C9C" w:rsidRPr="00AE0C9C" w:rsidRDefault="00A95E7A" w:rsidP="00AE0C9C">
            <w:pPr>
              <w:pStyle w:val="Tabletext6pt"/>
            </w:pPr>
            <w:r>
              <w:t>DFFH</w:t>
            </w:r>
          </w:p>
        </w:tc>
      </w:tr>
    </w:tbl>
    <w:p w14:paraId="371DD945" w14:textId="09E67D94" w:rsidR="00AE0C9C" w:rsidRDefault="00AE0C9C" w:rsidP="00F344A2">
      <w:pPr>
        <w:pStyle w:val="Heading5"/>
      </w:pPr>
      <w:bookmarkStart w:id="147" w:name="_Toc161297375"/>
      <w:r w:rsidRPr="00AE0C9C">
        <w:t>Outcome indicator 4.3.2: Increased social inclusion</w:t>
      </w:r>
      <w:r>
        <w:rPr>
          <w:rStyle w:val="FootnoteReference"/>
        </w:rPr>
        <w:footnoteReference w:id="35"/>
      </w:r>
      <w:bookmarkEnd w:id="147"/>
      <w:r w:rsidRPr="00AE0C9C">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AE0C9C" w:rsidRPr="00D069FA" w14:paraId="3EE9DE63" w14:textId="77777777">
        <w:trPr>
          <w:tblHeader/>
        </w:trPr>
        <w:tc>
          <w:tcPr>
            <w:tcW w:w="4644" w:type="dxa"/>
          </w:tcPr>
          <w:p w14:paraId="6C2299EC" w14:textId="77777777" w:rsidR="00AE0C9C" w:rsidRPr="00D069FA" w:rsidRDefault="00AE0C9C">
            <w:pPr>
              <w:pStyle w:val="Tablecolhead"/>
            </w:pPr>
            <w:r w:rsidRPr="00D069FA">
              <w:t>Measure</w:t>
            </w:r>
          </w:p>
        </w:tc>
        <w:tc>
          <w:tcPr>
            <w:tcW w:w="4644" w:type="dxa"/>
          </w:tcPr>
          <w:p w14:paraId="0677D9C4" w14:textId="77777777" w:rsidR="00AE0C9C" w:rsidRPr="00D069FA" w:rsidRDefault="00AE0C9C">
            <w:pPr>
              <w:pStyle w:val="Tablecolhead"/>
            </w:pPr>
            <w:r w:rsidRPr="00D069FA">
              <w:t>Data source</w:t>
            </w:r>
          </w:p>
        </w:tc>
      </w:tr>
      <w:tr w:rsidR="00AE0C9C" w:rsidRPr="00AE0C9C" w14:paraId="5131D8DB" w14:textId="77777777">
        <w:tc>
          <w:tcPr>
            <w:tcW w:w="4644" w:type="dxa"/>
          </w:tcPr>
          <w:p w14:paraId="2D055FEC" w14:textId="6EA22E96" w:rsidR="00AE0C9C" w:rsidRPr="00AE0C9C" w:rsidRDefault="00AE0C9C" w:rsidP="00AE0C9C">
            <w:pPr>
              <w:pStyle w:val="Tabletext6pt"/>
            </w:pPr>
            <w:r w:rsidRPr="00AE0C9C">
              <w:t xml:space="preserve">Proportion of </w:t>
            </w:r>
            <w:r>
              <w:t>LGBTIQA+</w:t>
            </w:r>
            <w:r w:rsidRPr="00AE0C9C">
              <w:t xml:space="preserve"> Victorians who feel valued </w:t>
            </w:r>
          </w:p>
        </w:tc>
        <w:tc>
          <w:tcPr>
            <w:tcW w:w="4644" w:type="dxa"/>
          </w:tcPr>
          <w:p w14:paraId="423DA00D" w14:textId="25537B58" w:rsidR="00AE0C9C" w:rsidRPr="00AE0C9C" w:rsidRDefault="00AE0C9C" w:rsidP="00AE0C9C">
            <w:pPr>
              <w:pStyle w:val="Tabletext6pt"/>
            </w:pPr>
            <w:r w:rsidRPr="00AE0C9C">
              <w:t>Vic</w:t>
            </w:r>
            <w:r w:rsidR="00936E2B">
              <w:t>torian</w:t>
            </w:r>
            <w:r w:rsidRPr="00AE0C9C">
              <w:t xml:space="preserve"> Pop</w:t>
            </w:r>
            <w:r w:rsidR="00936E2B">
              <w:t>ulation</w:t>
            </w:r>
            <w:r w:rsidRPr="00AE0C9C">
              <w:t xml:space="preserve"> Health </w:t>
            </w:r>
          </w:p>
        </w:tc>
      </w:tr>
      <w:tr w:rsidR="00AE0C9C" w:rsidRPr="00AE0C9C" w14:paraId="4440F516" w14:textId="77777777">
        <w:trPr>
          <w:trHeight w:val="61"/>
        </w:trPr>
        <w:tc>
          <w:tcPr>
            <w:tcW w:w="4644" w:type="dxa"/>
          </w:tcPr>
          <w:p w14:paraId="00592400" w14:textId="0C21EB67" w:rsidR="00AE0C9C" w:rsidRPr="00AE0C9C" w:rsidRDefault="00AE0C9C" w:rsidP="00AE0C9C">
            <w:pPr>
              <w:pStyle w:val="Tabletext6pt"/>
            </w:pPr>
            <w:r w:rsidRPr="00AE0C9C">
              <w:t xml:space="preserve">Proportion of </w:t>
            </w:r>
            <w:r>
              <w:t>LGBTIQA+</w:t>
            </w:r>
            <w:r w:rsidRPr="00AE0C9C">
              <w:t xml:space="preserve"> Victorians who feel a part of the Australian </w:t>
            </w:r>
            <w:r>
              <w:t>LGBTIQA+</w:t>
            </w:r>
            <w:r w:rsidRPr="00AE0C9C">
              <w:t xml:space="preserve"> community </w:t>
            </w:r>
          </w:p>
        </w:tc>
        <w:tc>
          <w:tcPr>
            <w:tcW w:w="4644" w:type="dxa"/>
          </w:tcPr>
          <w:p w14:paraId="76C6D0B0" w14:textId="1EA2788E" w:rsidR="00AE0C9C" w:rsidRPr="00AE0C9C" w:rsidRDefault="00AE0C9C" w:rsidP="00AE0C9C">
            <w:pPr>
              <w:pStyle w:val="Tabletext6pt"/>
            </w:pPr>
            <w:r w:rsidRPr="00AE0C9C">
              <w:t xml:space="preserve">Private Lives </w:t>
            </w:r>
          </w:p>
        </w:tc>
      </w:tr>
      <w:tr w:rsidR="00AE0C9C" w:rsidRPr="00AE0C9C" w14:paraId="24EFBACE" w14:textId="77777777">
        <w:trPr>
          <w:trHeight w:val="61"/>
        </w:trPr>
        <w:tc>
          <w:tcPr>
            <w:tcW w:w="4644" w:type="dxa"/>
          </w:tcPr>
          <w:p w14:paraId="0B072C88" w14:textId="7CCBEDF2" w:rsidR="00AE0C9C" w:rsidRPr="00AE0C9C" w:rsidRDefault="00AE0C9C" w:rsidP="00AE0C9C">
            <w:pPr>
              <w:pStyle w:val="Tabletext6pt"/>
            </w:pPr>
            <w:r w:rsidRPr="00AE0C9C">
              <w:t xml:space="preserve">Proportion of </w:t>
            </w:r>
            <w:r>
              <w:t>LGBTIQA+</w:t>
            </w:r>
            <w:r w:rsidRPr="00AE0C9C">
              <w:t xml:space="preserve"> Victorians who feel socially connected to their community</w:t>
            </w:r>
            <w:r w:rsidR="00936E2B">
              <w:t>,</w:t>
            </w:r>
            <w:r w:rsidRPr="00AE0C9C">
              <w:t xml:space="preserve"> compared </w:t>
            </w:r>
            <w:r w:rsidR="00936E2B">
              <w:t>with</w:t>
            </w:r>
            <w:r w:rsidR="00936E2B" w:rsidRPr="00AE0C9C">
              <w:t xml:space="preserve"> </w:t>
            </w:r>
            <w:r w:rsidRPr="00AE0C9C">
              <w:t>non-</w:t>
            </w:r>
            <w:r>
              <w:t>LGBTIQA+</w:t>
            </w:r>
            <w:r w:rsidRPr="00AE0C9C">
              <w:t xml:space="preserve"> Victorians</w:t>
            </w:r>
          </w:p>
        </w:tc>
        <w:tc>
          <w:tcPr>
            <w:tcW w:w="4644" w:type="dxa"/>
          </w:tcPr>
          <w:p w14:paraId="2D440139" w14:textId="244DDD53" w:rsidR="00AE0C9C" w:rsidRPr="00AE0C9C" w:rsidRDefault="0070124F" w:rsidP="00AE0C9C">
            <w:pPr>
              <w:pStyle w:val="Tabletext6pt"/>
            </w:pPr>
            <w:r w:rsidRPr="00AE0C9C">
              <w:t xml:space="preserve">Annual </w:t>
            </w:r>
            <w:r w:rsidR="00AE0C9C" w:rsidRPr="00AE0C9C">
              <w:t>Victoria Police Community Sentiment Survey</w:t>
            </w:r>
          </w:p>
        </w:tc>
      </w:tr>
    </w:tbl>
    <w:p w14:paraId="55EEE6CD" w14:textId="170C5EB2" w:rsidR="00AE0C9C" w:rsidRDefault="00AE0C9C" w:rsidP="00F344A2">
      <w:pPr>
        <w:pStyle w:val="Heading5"/>
      </w:pPr>
      <w:bookmarkStart w:id="148" w:name="_Toc161297376"/>
      <w:r w:rsidRPr="00AE0C9C">
        <w:t xml:space="preserve">Outcome indicator </w:t>
      </w:r>
      <w:r>
        <w:t xml:space="preserve">4.3.3: </w:t>
      </w:r>
      <w:r w:rsidRPr="00193A6D">
        <w:t xml:space="preserve">Increased public representation and celebration of </w:t>
      </w:r>
      <w:r>
        <w:t>LGBTIQA+</w:t>
      </w:r>
      <w:r w:rsidRPr="00193A6D">
        <w:t xml:space="preserve"> communities</w:t>
      </w:r>
      <w:bookmarkEnd w:id="148"/>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AE0C9C" w:rsidRPr="00D069FA" w14:paraId="3520F5E1" w14:textId="77777777">
        <w:trPr>
          <w:tblHeader/>
        </w:trPr>
        <w:tc>
          <w:tcPr>
            <w:tcW w:w="4644" w:type="dxa"/>
          </w:tcPr>
          <w:p w14:paraId="5F68A3CC" w14:textId="77777777" w:rsidR="00AE0C9C" w:rsidRPr="00D069FA" w:rsidRDefault="00AE0C9C">
            <w:pPr>
              <w:pStyle w:val="Tablecolhead"/>
            </w:pPr>
            <w:r w:rsidRPr="00D069FA">
              <w:t>Measure</w:t>
            </w:r>
          </w:p>
        </w:tc>
        <w:tc>
          <w:tcPr>
            <w:tcW w:w="4644" w:type="dxa"/>
          </w:tcPr>
          <w:p w14:paraId="4C60B588" w14:textId="77777777" w:rsidR="00AE0C9C" w:rsidRPr="00D069FA" w:rsidRDefault="00AE0C9C">
            <w:pPr>
              <w:pStyle w:val="Tablecolhead"/>
            </w:pPr>
            <w:r w:rsidRPr="00D069FA">
              <w:t>Data source</w:t>
            </w:r>
          </w:p>
        </w:tc>
      </w:tr>
      <w:tr w:rsidR="00AE0C9C" w:rsidRPr="00AE0C9C" w14:paraId="6879BF98" w14:textId="77777777">
        <w:tc>
          <w:tcPr>
            <w:tcW w:w="4644" w:type="dxa"/>
          </w:tcPr>
          <w:p w14:paraId="4C85798D" w14:textId="36097D83" w:rsidR="00AE0C9C" w:rsidRPr="00AE0C9C" w:rsidRDefault="00AE0C9C" w:rsidP="00AE0C9C">
            <w:pPr>
              <w:pStyle w:val="Tabletext6pt"/>
            </w:pPr>
            <w:r w:rsidRPr="00AE0C9C">
              <w:t xml:space="preserve">Increased attendance at </w:t>
            </w:r>
            <w:r>
              <w:t>LGBTIQA+</w:t>
            </w:r>
            <w:r w:rsidRPr="00AE0C9C">
              <w:t xml:space="preserve"> events </w:t>
            </w:r>
            <w:r w:rsidR="00936E2B">
              <w:t xml:space="preserve">funded by </w:t>
            </w:r>
            <w:r w:rsidRPr="00AE0C9C">
              <w:t xml:space="preserve">the Victorian Government </w:t>
            </w:r>
            <w:r w:rsidR="00936E2B">
              <w:t>(such as</w:t>
            </w:r>
            <w:r w:rsidRPr="00AE0C9C">
              <w:t xml:space="preserve"> Victoria's Pride)</w:t>
            </w:r>
          </w:p>
        </w:tc>
        <w:tc>
          <w:tcPr>
            <w:tcW w:w="4644" w:type="dxa"/>
          </w:tcPr>
          <w:p w14:paraId="3794F4A2" w14:textId="2520D1D9" w:rsidR="00AE0C9C" w:rsidRPr="00AE0C9C" w:rsidRDefault="0070124F" w:rsidP="00AE0C9C">
            <w:pPr>
              <w:pStyle w:val="Tabletext6pt"/>
            </w:pPr>
            <w:r>
              <w:t>DFFH</w:t>
            </w:r>
          </w:p>
        </w:tc>
      </w:tr>
      <w:tr w:rsidR="00AE0C9C" w:rsidRPr="00AE0C9C" w14:paraId="0BD60D46" w14:textId="77777777">
        <w:trPr>
          <w:trHeight w:val="61"/>
        </w:trPr>
        <w:tc>
          <w:tcPr>
            <w:tcW w:w="4644" w:type="dxa"/>
          </w:tcPr>
          <w:p w14:paraId="21B814C5" w14:textId="7F03EF89" w:rsidR="00AE0C9C" w:rsidRPr="00AE0C9C" w:rsidRDefault="00AE0C9C" w:rsidP="00AE0C9C">
            <w:pPr>
              <w:pStyle w:val="Tabletext6pt"/>
            </w:pPr>
            <w:r w:rsidRPr="00AE0C9C">
              <w:t xml:space="preserve">Proportion of </w:t>
            </w:r>
            <w:r>
              <w:t>LGBTIQA+</w:t>
            </w:r>
            <w:r w:rsidRPr="00AE0C9C">
              <w:t xml:space="preserve"> Victorians who feel there is positive representation of </w:t>
            </w:r>
            <w:r>
              <w:t>LGBTIQA+</w:t>
            </w:r>
            <w:r w:rsidRPr="00AE0C9C">
              <w:t xml:space="preserve"> people in </w:t>
            </w:r>
            <w:r w:rsidR="00936E2B">
              <w:t>the media,</w:t>
            </w:r>
            <w:r w:rsidRPr="00AE0C9C">
              <w:t xml:space="preserve"> public discussions and public celebrations </w:t>
            </w:r>
          </w:p>
        </w:tc>
        <w:tc>
          <w:tcPr>
            <w:tcW w:w="4644" w:type="dxa"/>
          </w:tcPr>
          <w:p w14:paraId="2E018848" w14:textId="0980C622" w:rsidR="00AE0C9C" w:rsidRPr="00AE0C9C" w:rsidRDefault="00D80B99" w:rsidP="00AE0C9C">
            <w:pPr>
              <w:pStyle w:val="Tabletext6pt"/>
            </w:pPr>
            <w:r>
              <w:t>To be determined</w:t>
            </w:r>
          </w:p>
        </w:tc>
      </w:tr>
    </w:tbl>
    <w:p w14:paraId="311E5FE1" w14:textId="787151BE" w:rsidR="00AE0C9C" w:rsidRPr="00AE0C9C" w:rsidRDefault="00AE0C9C" w:rsidP="00F344A2">
      <w:pPr>
        <w:pStyle w:val="Heading5"/>
      </w:pPr>
      <w:bookmarkStart w:id="149" w:name="_Toc161297377"/>
      <w:r w:rsidRPr="00AE0C9C">
        <w:t>Outcome indicator 4.3.4: Increased support from non-</w:t>
      </w:r>
      <w:r>
        <w:t>LGBTIQA+</w:t>
      </w:r>
      <w:r w:rsidRPr="00AE0C9C">
        <w:t xml:space="preserve"> communities</w:t>
      </w:r>
      <w:bookmarkEnd w:id="149"/>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AE0C9C" w:rsidRPr="00D069FA" w14:paraId="33B9E563" w14:textId="77777777">
        <w:trPr>
          <w:tblHeader/>
        </w:trPr>
        <w:tc>
          <w:tcPr>
            <w:tcW w:w="4644" w:type="dxa"/>
          </w:tcPr>
          <w:p w14:paraId="3B05FCF9" w14:textId="77777777" w:rsidR="00AE0C9C" w:rsidRPr="00D069FA" w:rsidRDefault="00AE0C9C">
            <w:pPr>
              <w:pStyle w:val="Tablecolhead"/>
            </w:pPr>
            <w:r w:rsidRPr="00D069FA">
              <w:t>Measure</w:t>
            </w:r>
          </w:p>
        </w:tc>
        <w:tc>
          <w:tcPr>
            <w:tcW w:w="4644" w:type="dxa"/>
          </w:tcPr>
          <w:p w14:paraId="6FC6ABCE" w14:textId="77777777" w:rsidR="00AE0C9C" w:rsidRPr="00D069FA" w:rsidRDefault="00AE0C9C">
            <w:pPr>
              <w:pStyle w:val="Tablecolhead"/>
            </w:pPr>
            <w:r w:rsidRPr="00D069FA">
              <w:t>Data source</w:t>
            </w:r>
          </w:p>
        </w:tc>
      </w:tr>
      <w:tr w:rsidR="00AE0C9C" w:rsidRPr="00AE0C9C" w14:paraId="4471EF16" w14:textId="77777777">
        <w:tc>
          <w:tcPr>
            <w:tcW w:w="4644" w:type="dxa"/>
          </w:tcPr>
          <w:p w14:paraId="7DA1E1D9" w14:textId="55094ADC" w:rsidR="00AE0C9C" w:rsidRPr="00AE0C9C" w:rsidRDefault="00AE0C9C" w:rsidP="00AE0C9C">
            <w:pPr>
              <w:pStyle w:val="Tabletext6pt"/>
            </w:pPr>
            <w:r w:rsidRPr="00AE0C9C">
              <w:t xml:space="preserve">Proportion of </w:t>
            </w:r>
            <w:r>
              <w:t>LGBTIQA+</w:t>
            </w:r>
            <w:r w:rsidRPr="00AE0C9C">
              <w:t xml:space="preserve"> Victorians who feel they can get help from family or neighbours </w:t>
            </w:r>
          </w:p>
        </w:tc>
        <w:tc>
          <w:tcPr>
            <w:tcW w:w="4644" w:type="dxa"/>
          </w:tcPr>
          <w:p w14:paraId="46624EB2" w14:textId="21FAE0E3" w:rsidR="00AE0C9C" w:rsidRPr="00AE0C9C" w:rsidRDefault="00AE0C9C" w:rsidP="00AE0C9C">
            <w:pPr>
              <w:pStyle w:val="Tabletext6pt"/>
            </w:pPr>
            <w:r w:rsidRPr="00AE0C9C">
              <w:t>Vic</w:t>
            </w:r>
            <w:r w:rsidR="00936E2B">
              <w:t>torian</w:t>
            </w:r>
            <w:r w:rsidRPr="00AE0C9C">
              <w:t xml:space="preserve"> Pop</w:t>
            </w:r>
            <w:r w:rsidR="00936E2B">
              <w:t>ulation</w:t>
            </w:r>
            <w:r w:rsidRPr="00AE0C9C">
              <w:t xml:space="preserve"> Health</w:t>
            </w:r>
            <w:r w:rsidR="0070124F">
              <w:t xml:space="preserve"> Survey</w:t>
            </w:r>
            <w:r w:rsidRPr="00AE0C9C">
              <w:t xml:space="preserve"> </w:t>
            </w:r>
          </w:p>
        </w:tc>
      </w:tr>
      <w:tr w:rsidR="00AE0C9C" w:rsidRPr="00AE0C9C" w14:paraId="1CEC0469" w14:textId="77777777">
        <w:trPr>
          <w:trHeight w:val="61"/>
        </w:trPr>
        <w:tc>
          <w:tcPr>
            <w:tcW w:w="4644" w:type="dxa"/>
          </w:tcPr>
          <w:p w14:paraId="61EDF276" w14:textId="4B6DA8B9" w:rsidR="00AE0C9C" w:rsidRPr="00AE0C9C" w:rsidRDefault="00AE0C9C" w:rsidP="00AE0C9C">
            <w:pPr>
              <w:pStyle w:val="Tabletext6pt"/>
            </w:pPr>
            <w:r w:rsidRPr="00AE0C9C">
              <w:t xml:space="preserve">Proportion of </w:t>
            </w:r>
            <w:r>
              <w:t>LGBTIQA+</w:t>
            </w:r>
            <w:r w:rsidRPr="00AE0C9C">
              <w:t xml:space="preserve"> Victorians who feel they can get a relative or friend to care for them or their children in an emergency </w:t>
            </w:r>
          </w:p>
        </w:tc>
        <w:tc>
          <w:tcPr>
            <w:tcW w:w="4644" w:type="dxa"/>
          </w:tcPr>
          <w:p w14:paraId="007B800C" w14:textId="6496D96D" w:rsidR="00AE0C9C" w:rsidRPr="00AE0C9C" w:rsidRDefault="00936E2B" w:rsidP="00AE0C9C">
            <w:pPr>
              <w:pStyle w:val="Tabletext6pt"/>
            </w:pPr>
            <w:r w:rsidRPr="00AE0C9C">
              <w:t>Vic</w:t>
            </w:r>
            <w:r>
              <w:t>torian</w:t>
            </w:r>
            <w:r w:rsidRPr="00AE0C9C">
              <w:t xml:space="preserve"> Pop</w:t>
            </w:r>
            <w:r>
              <w:t>ulation</w:t>
            </w:r>
            <w:r w:rsidRPr="00AE0C9C">
              <w:t xml:space="preserve"> </w:t>
            </w:r>
            <w:r w:rsidR="00AE0C9C" w:rsidRPr="00AE0C9C">
              <w:t xml:space="preserve">Health </w:t>
            </w:r>
            <w:r w:rsidR="0070124F">
              <w:t>Survey</w:t>
            </w:r>
          </w:p>
        </w:tc>
      </w:tr>
    </w:tbl>
    <w:p w14:paraId="3C161240" w14:textId="77777777" w:rsidR="00AE0C9C" w:rsidRDefault="00AE0C9C" w:rsidP="00AE0C9C">
      <w:pPr>
        <w:pStyle w:val="Body"/>
      </w:pPr>
    </w:p>
    <w:p w14:paraId="4CE3FC95" w14:textId="77777777" w:rsidR="00DD13BE" w:rsidRPr="00F36EE3" w:rsidRDefault="00DD13BE">
      <w:pPr>
        <w:spacing w:after="0" w:line="240" w:lineRule="auto"/>
        <w:rPr>
          <w:rFonts w:eastAsia="MS Gothic"/>
        </w:rPr>
      </w:pPr>
      <w:bookmarkStart w:id="150" w:name="_Toc93919451"/>
      <w:bookmarkStart w:id="151" w:name="_Toc95399347"/>
      <w:r>
        <w:rPr>
          <w:lang w:val="en-GB"/>
        </w:rPr>
        <w:br w:type="page"/>
      </w:r>
    </w:p>
    <w:p w14:paraId="18607B5E" w14:textId="0D3F3514" w:rsidR="00DD13BE" w:rsidRPr="00D174DD" w:rsidRDefault="00DD13BE" w:rsidP="00DD13BE">
      <w:pPr>
        <w:pStyle w:val="Heading1"/>
        <w:rPr>
          <w:lang w:val="en-GB"/>
        </w:rPr>
      </w:pPr>
      <w:bookmarkStart w:id="152" w:name="_Toc183769441"/>
      <w:r w:rsidRPr="00D174DD">
        <w:rPr>
          <w:lang w:val="en-GB"/>
        </w:rPr>
        <w:t>Definitions and key terms</w:t>
      </w:r>
      <w:bookmarkEnd w:id="150"/>
      <w:bookmarkEnd w:id="151"/>
      <w:bookmarkEnd w:id="152"/>
    </w:p>
    <w:p w14:paraId="7D2E5406" w14:textId="77777777" w:rsidR="001E716B" w:rsidRDefault="001E716B" w:rsidP="001E716B">
      <w:pPr>
        <w:pStyle w:val="Body"/>
      </w:pPr>
      <w:r w:rsidRPr="00D174DD">
        <w:t>We define key terms below and acknowledge that people have different definitions. Language has changed and continues to evolve.</w:t>
      </w:r>
    </w:p>
    <w:p w14:paraId="755A637C" w14:textId="77777777" w:rsidR="001E716B" w:rsidRPr="00D174DD" w:rsidRDefault="001E716B" w:rsidP="001E716B">
      <w:pPr>
        <w:pStyle w:val="Body"/>
      </w:pPr>
      <w:r w:rsidRPr="00D174DD">
        <w:rPr>
          <w:b/>
          <w:bCs/>
        </w:rPr>
        <w:t>Brotherboy and sistergirl</w:t>
      </w:r>
      <w:r>
        <w:rPr>
          <w:b/>
          <w:bCs/>
        </w:rPr>
        <w:t>:</w:t>
      </w:r>
      <w:r w:rsidRPr="00D174DD">
        <w:t xml:space="preserve"> Aboriginal communities use these terms to describe transgender people and their relationships as a way of validating and strengthening their gender identities and relationships. Non-trans but non-conforming Aboriginal people may also use these terms. For example, both lesbian and heterosexual Aboriginal women may refer to themselves as ‘sistergirls’, ‘sisters’ or ‘tiddas’, which is an Aboriginal English term for the word ‘sisters’. Gay Aboriginal men may also refer to themselves as sisters.</w:t>
      </w:r>
    </w:p>
    <w:p w14:paraId="27A78F40" w14:textId="77777777" w:rsidR="001E716B" w:rsidRPr="00D174DD" w:rsidRDefault="001E716B" w:rsidP="001E716B">
      <w:pPr>
        <w:pStyle w:val="Body"/>
      </w:pPr>
      <w:r w:rsidRPr="00D174DD">
        <w:rPr>
          <w:b/>
          <w:bCs/>
        </w:rPr>
        <w:t>Cisgender</w:t>
      </w:r>
      <w:r>
        <w:rPr>
          <w:b/>
          <w:bCs/>
        </w:rPr>
        <w:t>:</w:t>
      </w:r>
      <w:r w:rsidRPr="00D174DD">
        <w:t xml:space="preserve"> Refers to a person whose gender corresponds with their biological sex.  </w:t>
      </w:r>
    </w:p>
    <w:p w14:paraId="622F3FD2" w14:textId="77777777" w:rsidR="001E716B" w:rsidRPr="00D174DD" w:rsidRDefault="001E716B" w:rsidP="001E716B">
      <w:pPr>
        <w:pStyle w:val="Body"/>
      </w:pPr>
      <w:r w:rsidRPr="00D174DD">
        <w:rPr>
          <w:b/>
          <w:bCs/>
        </w:rPr>
        <w:t>Community-led</w:t>
      </w:r>
      <w:r>
        <w:rPr>
          <w:b/>
          <w:bCs/>
        </w:rPr>
        <w:t>:</w:t>
      </w:r>
      <w:r w:rsidRPr="00D174DD">
        <w:t xml:space="preserve"> This refers to organisations, projects, programs or services led by </w:t>
      </w:r>
      <w:r>
        <w:t>LGBTIQA+</w:t>
      </w:r>
      <w:r w:rsidRPr="00D174DD">
        <w:t xml:space="preserve"> communities on behalf of and for </w:t>
      </w:r>
      <w:r>
        <w:t>LGBTIQA+</w:t>
      </w:r>
      <w:r w:rsidRPr="00D174DD">
        <w:t xml:space="preserve"> people.  </w:t>
      </w:r>
    </w:p>
    <w:p w14:paraId="49B0569F" w14:textId="77777777" w:rsidR="001E716B" w:rsidRPr="00D174DD" w:rsidRDefault="001E716B" w:rsidP="001E716B">
      <w:pPr>
        <w:pStyle w:val="Body"/>
      </w:pPr>
      <w:r w:rsidRPr="00D174DD">
        <w:rPr>
          <w:b/>
          <w:bCs/>
        </w:rPr>
        <w:t>Equality</w:t>
      </w:r>
      <w:r>
        <w:rPr>
          <w:b/>
          <w:bCs/>
        </w:rPr>
        <w:t>:</w:t>
      </w:r>
      <w:r w:rsidRPr="00D174DD">
        <w:t xml:space="preserve"> This principle is about ensuring every </w:t>
      </w:r>
      <w:r>
        <w:t>LGBTIQA+</w:t>
      </w:r>
      <w:r w:rsidRPr="00D174DD">
        <w:t xml:space="preserve"> person has an equal chance to make the most of their lives and talents. It means that no one should have poorer life chances because of the way they were born, where they come from, what they believe, or how they identify.</w:t>
      </w:r>
    </w:p>
    <w:p w14:paraId="0CF7EADB" w14:textId="77777777" w:rsidR="001E716B" w:rsidRPr="00D174DD" w:rsidRDefault="001E716B" w:rsidP="001E716B">
      <w:pPr>
        <w:pStyle w:val="Body"/>
      </w:pPr>
      <w:r w:rsidRPr="00D174DD">
        <w:rPr>
          <w:b/>
          <w:bCs/>
        </w:rPr>
        <w:t>Equity</w:t>
      </w:r>
      <w:r>
        <w:rPr>
          <w:b/>
          <w:bCs/>
        </w:rPr>
        <w:t>:</w:t>
      </w:r>
      <w:r w:rsidRPr="00D174DD">
        <w:t xml:space="preserve"> This principle builds on equality and is about ensuring just and fair inclusion for all </w:t>
      </w:r>
      <w:r>
        <w:t>LGBTIQA+</w:t>
      </w:r>
      <w:r w:rsidRPr="00D174DD">
        <w:t xml:space="preserve"> people and communities. An equitable society is one where everyone can take part and prosper. The goals of equity are to create conditions that allow all people to reach their full potential. These conditions must recognise that experiences, inequalities and outcomes are not the same across communities. </w:t>
      </w:r>
    </w:p>
    <w:p w14:paraId="1DF985EA" w14:textId="77777777" w:rsidR="001E716B" w:rsidRPr="00D174DD" w:rsidRDefault="001E716B" w:rsidP="001E716B">
      <w:pPr>
        <w:pStyle w:val="Body"/>
      </w:pPr>
      <w:r w:rsidRPr="00D174DD">
        <w:rPr>
          <w:b/>
          <w:bCs/>
        </w:rPr>
        <w:t>Gender</w:t>
      </w:r>
      <w:r>
        <w:rPr>
          <w:b/>
          <w:bCs/>
        </w:rPr>
        <w:t>:</w:t>
      </w:r>
      <w:r w:rsidRPr="00D174DD">
        <w:t xml:space="preserve"> Part of how you understand who you are and how you interact with other people. Many people understand their gender as being a man or woman. Some people understand their gender as a mix of these or neither. A person’s gender and their expression of their gender can be shown in different ways, such as through behaviour or physical appearance.</w:t>
      </w:r>
    </w:p>
    <w:p w14:paraId="089317E3" w14:textId="77777777" w:rsidR="001E716B" w:rsidRPr="00D174DD" w:rsidRDefault="001E716B" w:rsidP="001E716B">
      <w:pPr>
        <w:pStyle w:val="Body"/>
      </w:pPr>
      <w:r w:rsidRPr="00D174DD">
        <w:rPr>
          <w:b/>
          <w:bCs/>
        </w:rPr>
        <w:t>Gender diverse</w:t>
      </w:r>
      <w:r>
        <w:rPr>
          <w:b/>
          <w:bCs/>
        </w:rPr>
        <w:t>:</w:t>
      </w:r>
      <w:r w:rsidRPr="00D174DD">
        <w:t xml:space="preserve"> An umbrella term for a range of genders expressed in different ways. Gender diverse people use many terms to describe themselves. Language in this area is dynamic, particularly among young people, who are more likely to describe themselves as non-binary. </w:t>
      </w:r>
    </w:p>
    <w:p w14:paraId="0E080395" w14:textId="77777777" w:rsidR="001E716B" w:rsidRPr="00D174DD" w:rsidRDefault="001E716B" w:rsidP="001E716B">
      <w:pPr>
        <w:pStyle w:val="Body"/>
      </w:pPr>
      <w:r w:rsidRPr="00D174DD">
        <w:rPr>
          <w:b/>
          <w:bCs/>
        </w:rPr>
        <w:t>Inclusion</w:t>
      </w:r>
      <w:r>
        <w:rPr>
          <w:b/>
          <w:bCs/>
        </w:rPr>
        <w:t>:</w:t>
      </w:r>
      <w:r w:rsidRPr="00D174DD">
        <w:t xml:space="preserve"> Empowering access to opportunities, dealing with structural inequalities, tackling unconscious bias to have equal access to all parts of society. </w:t>
      </w:r>
    </w:p>
    <w:p w14:paraId="647E33BC" w14:textId="77777777" w:rsidR="001E716B" w:rsidRPr="00D174DD" w:rsidRDefault="001E716B" w:rsidP="001E716B">
      <w:pPr>
        <w:pStyle w:val="Body"/>
      </w:pPr>
      <w:r w:rsidRPr="00D174DD">
        <w:rPr>
          <w:b/>
          <w:bCs/>
        </w:rPr>
        <w:t>Intersectionality</w:t>
      </w:r>
      <w:r>
        <w:rPr>
          <w:b/>
          <w:bCs/>
        </w:rPr>
        <w:t>:</w:t>
      </w:r>
      <w:r w:rsidRPr="00D174DD">
        <w:t xml:space="preserve"> This is an approach to understanding how social meanings related to the way we categorise and identify can overlap and interconnect. This creates different layers and types of discrimination or disadvantage for either an individual or group. Categories include gender, sexual orientation, sex characteristics, ethnicity, language, faith, class, socio-economic status, ability and age. </w:t>
      </w:r>
    </w:p>
    <w:p w14:paraId="58938D82" w14:textId="77777777" w:rsidR="001E716B" w:rsidRDefault="001E716B" w:rsidP="001E716B">
      <w:pPr>
        <w:pStyle w:val="Body"/>
      </w:pPr>
      <w:r>
        <w:rPr>
          <w:b/>
          <w:bCs/>
        </w:rPr>
        <w:t>LGBTIQA+</w:t>
      </w:r>
      <w:r w:rsidRPr="00D174DD">
        <w:rPr>
          <w:b/>
          <w:bCs/>
        </w:rPr>
        <w:t xml:space="preserve"> organisations</w:t>
      </w:r>
      <w:r>
        <w:rPr>
          <w:b/>
          <w:bCs/>
        </w:rPr>
        <w:t>:</w:t>
      </w:r>
      <w:r w:rsidRPr="00D174DD">
        <w:t xml:space="preserve"> This includes organisations, communities or businesses that are community-led. This can mean </w:t>
      </w:r>
      <w:r>
        <w:t>LGBTIQA+</w:t>
      </w:r>
      <w:r w:rsidRPr="00D174DD">
        <w:t xml:space="preserve"> people run them, steer their boards, or that they are known in community for offering services for </w:t>
      </w:r>
      <w:r>
        <w:t>LGBTIQA+</w:t>
      </w:r>
      <w:r w:rsidRPr="00D174DD">
        <w:t xml:space="preserve"> people. They are not the same as non-government organisations or mainstream services that may have completed Rainbow Tick accreditation or similar to ensure they are </w:t>
      </w:r>
      <w:r>
        <w:t>LGBTIQA+</w:t>
      </w:r>
      <w:r w:rsidRPr="00D174DD">
        <w:t xml:space="preserve"> inclusive. </w:t>
      </w:r>
    </w:p>
    <w:p w14:paraId="1DC22C81" w14:textId="0AA17D5D" w:rsidR="008A5810" w:rsidRDefault="008A5810" w:rsidP="008A5810">
      <w:pPr>
        <w:pStyle w:val="Body"/>
      </w:pPr>
      <w:r>
        <w:rPr>
          <w:b/>
          <w:bCs/>
        </w:rPr>
        <w:t>L</w:t>
      </w:r>
      <w:r w:rsidRPr="005B2E02">
        <w:rPr>
          <w:b/>
          <w:bCs/>
        </w:rPr>
        <w:t>ogic model</w:t>
      </w:r>
      <w:r>
        <w:rPr>
          <w:b/>
          <w:bCs/>
        </w:rPr>
        <w:t>:</w:t>
      </w:r>
      <w:r w:rsidRPr="003C5A39">
        <w:t xml:space="preserve"> </w:t>
      </w:r>
      <w:r w:rsidR="00CD481C">
        <w:t>A</w:t>
      </w:r>
      <w:r w:rsidRPr="003C5A39">
        <w:t xml:space="preserve"> systematic and visual representation of how the strategy will drive change for LGBTIQA+ communities by showing the relationship between strategy actions, outputs, outcome indicators and outcomes. It shows the purpose and expected </w:t>
      </w:r>
      <w:r>
        <w:t xml:space="preserve">signs of </w:t>
      </w:r>
      <w:r w:rsidRPr="003C5A39">
        <w:t xml:space="preserve">impact of the strategy. </w:t>
      </w:r>
    </w:p>
    <w:p w14:paraId="2FA8A8BE" w14:textId="77777777" w:rsidR="001E716B" w:rsidRDefault="001E716B" w:rsidP="001E716B">
      <w:pPr>
        <w:pStyle w:val="Body"/>
      </w:pPr>
      <w:r w:rsidRPr="00D174DD">
        <w:rPr>
          <w:b/>
          <w:bCs/>
        </w:rPr>
        <w:t>Outcomes framework</w:t>
      </w:r>
      <w:r>
        <w:rPr>
          <w:b/>
          <w:bCs/>
        </w:rPr>
        <w:t>:</w:t>
      </w:r>
      <w:r w:rsidRPr="00D174DD">
        <w:t xml:space="preserve"> A system to track the impact of the </w:t>
      </w:r>
      <w:r>
        <w:t>LGBTIQA+</w:t>
      </w:r>
      <w:r w:rsidRPr="00D174DD">
        <w:t xml:space="preserve"> strategy’s actions over time. This system will use key data to track how Victorian </w:t>
      </w:r>
      <w:r>
        <w:t>LGBTIQA+</w:t>
      </w:r>
      <w:r w:rsidRPr="00D174DD">
        <w:t xml:space="preserve"> outcomes change, basing it on the Victorian Outcomes Reform Statement.  </w:t>
      </w:r>
    </w:p>
    <w:p w14:paraId="1F97173A" w14:textId="0B796449" w:rsidR="008A5810" w:rsidRPr="00933383" w:rsidRDefault="008A5810" w:rsidP="008A5810">
      <w:pPr>
        <w:pStyle w:val="Bullet1"/>
        <w:numPr>
          <w:ilvl w:val="0"/>
          <w:numId w:val="0"/>
        </w:numPr>
        <w:rPr>
          <w:rStyle w:val="BodyChar"/>
        </w:rPr>
      </w:pPr>
      <w:r w:rsidRPr="00933383">
        <w:rPr>
          <w:rStyle w:val="BodyChar"/>
          <w:b/>
          <w:bCs/>
        </w:rPr>
        <w:t>Outcome indicator</w:t>
      </w:r>
      <w:r w:rsidR="00036A87" w:rsidRPr="00933383">
        <w:rPr>
          <w:rStyle w:val="BodyChar"/>
          <w:b/>
          <w:bCs/>
        </w:rPr>
        <w:t>s</w:t>
      </w:r>
      <w:r w:rsidRPr="00933383">
        <w:rPr>
          <w:rStyle w:val="BodyChar"/>
        </w:rPr>
        <w:t xml:space="preserve">: </w:t>
      </w:r>
      <w:r w:rsidR="00CD481C">
        <w:rPr>
          <w:rStyle w:val="BodyChar"/>
        </w:rPr>
        <w:t>A</w:t>
      </w:r>
      <w:r w:rsidRPr="00933383">
        <w:rPr>
          <w:rStyle w:val="BodyChar"/>
        </w:rPr>
        <w:t xml:space="preserve"> tool used to measure the success of actions and outputs delivered under the strategy. Outcome indicators help us to monitor progress and assess whether the outcomes are on track.</w:t>
      </w:r>
    </w:p>
    <w:p w14:paraId="3334037F" w14:textId="0280032D" w:rsidR="008A5810" w:rsidRDefault="008A5810" w:rsidP="008A5810">
      <w:pPr>
        <w:pStyle w:val="Body"/>
      </w:pPr>
      <w:r w:rsidRPr="005B2E02">
        <w:rPr>
          <w:b/>
          <w:bCs/>
        </w:rPr>
        <w:t>Measures</w:t>
      </w:r>
      <w:r>
        <w:rPr>
          <w:b/>
          <w:bCs/>
        </w:rPr>
        <w:t>:</w:t>
      </w:r>
      <w:r w:rsidRPr="005C5045">
        <w:t xml:space="preserve"> </w:t>
      </w:r>
      <w:r w:rsidR="00CD481C">
        <w:t>T</w:t>
      </w:r>
      <w:r w:rsidRPr="005C5045">
        <w:t>he sources</w:t>
      </w:r>
      <w:r>
        <w:t xml:space="preserve"> of data</w:t>
      </w:r>
      <w:r w:rsidRPr="005C5045">
        <w:t xml:space="preserve"> that provide evidence of progress</w:t>
      </w:r>
      <w:r>
        <w:t xml:space="preserve">. Measures provide a reference point that we use to compare against </w:t>
      </w:r>
      <w:r w:rsidRPr="005C5045">
        <w:t>the outcome indicators</w:t>
      </w:r>
      <w:r>
        <w:t xml:space="preserve"> and </w:t>
      </w:r>
      <w:r w:rsidRPr="005C5045">
        <w:t>outcome</w:t>
      </w:r>
      <w:r>
        <w:t>s</w:t>
      </w:r>
      <w:r w:rsidRPr="005C5045">
        <w:t xml:space="preserve">. Measures can be both qualitative and quantitative. </w:t>
      </w:r>
    </w:p>
    <w:p w14:paraId="745E45CE" w14:textId="77777777" w:rsidR="001E716B" w:rsidRPr="00D174DD" w:rsidRDefault="001E716B" w:rsidP="001E716B">
      <w:pPr>
        <w:pStyle w:val="Body"/>
      </w:pPr>
      <w:r w:rsidRPr="00D174DD">
        <w:rPr>
          <w:b/>
          <w:bCs/>
        </w:rPr>
        <w:t>People with intersex variations</w:t>
      </w:r>
      <w:r>
        <w:rPr>
          <w:b/>
          <w:bCs/>
        </w:rPr>
        <w:t>:</w:t>
      </w:r>
      <w:r w:rsidRPr="00D174DD">
        <w:t xml:space="preserve"> An umbrella term for people born with natural variations to sex characteristics. This includes physical features relating to sex including genitalia and other sexual and reproductive parts of the person’s anatomy. It might also refer to the person’s chromosomes, hormones and secondary physical features emerging as a result of puberty. Some people with intersex variations describe themselves according to their specific intersex variation or use other context-dependent language. For example, someone may say they have Klinefelter (a common variation). Most people with intersex variations are cisgender and identify as male or female.</w:t>
      </w:r>
    </w:p>
    <w:p w14:paraId="5FA8E64C" w14:textId="25FBA0F7" w:rsidR="001E716B" w:rsidRPr="001F22F9" w:rsidRDefault="001E716B" w:rsidP="000F4B0A">
      <w:pPr>
        <w:pStyle w:val="Body"/>
      </w:pPr>
      <w:r w:rsidRPr="00D174DD">
        <w:rPr>
          <w:b/>
          <w:bCs/>
        </w:rPr>
        <w:t>Sex</w:t>
      </w:r>
      <w:r>
        <w:rPr>
          <w:b/>
          <w:bCs/>
        </w:rPr>
        <w:t>:</w:t>
      </w:r>
      <w:r w:rsidRPr="00D174DD">
        <w:t xml:space="preserve"> </w:t>
      </w:r>
      <w:r w:rsidR="00C643F0">
        <w:t xml:space="preserve">Sex refers to a person’s biological sex characteristics. This includes their sex chromosomes, hormones and reproductive organs. </w:t>
      </w:r>
    </w:p>
    <w:p w14:paraId="541FC8F2" w14:textId="155E2601" w:rsidR="00B23803" w:rsidRDefault="001E716B" w:rsidP="00B23803">
      <w:pPr>
        <w:pStyle w:val="Body"/>
      </w:pPr>
      <w:r w:rsidRPr="00D174DD">
        <w:rPr>
          <w:b/>
          <w:bCs/>
        </w:rPr>
        <w:t xml:space="preserve">Sex </w:t>
      </w:r>
      <w:r w:rsidR="00B23803" w:rsidRPr="00B23803">
        <w:rPr>
          <w:b/>
          <w:bCs/>
        </w:rPr>
        <w:t>recorded at birth</w:t>
      </w:r>
      <w:r>
        <w:rPr>
          <w:b/>
          <w:bCs/>
        </w:rPr>
        <w:t>:</w:t>
      </w:r>
      <w:r w:rsidRPr="00D174DD">
        <w:t xml:space="preserve"> </w:t>
      </w:r>
      <w:r w:rsidR="00B23803">
        <w:t>Data collection often refers to sex recorded at birth. This is based upon a person’s sex characteristics and reproductive organs observed at, or soon after, birth.</w:t>
      </w:r>
    </w:p>
    <w:p w14:paraId="1D2798FB" w14:textId="77777777" w:rsidR="00841CFC" w:rsidRDefault="00066EB0" w:rsidP="00841CFC">
      <w:pPr>
        <w:pStyle w:val="Body"/>
      </w:pPr>
      <w:r w:rsidRPr="00066EB0">
        <w:rPr>
          <w:b/>
          <w:bCs/>
        </w:rPr>
        <w:t>Variations of sex characteristics</w:t>
      </w:r>
      <w:r>
        <w:t xml:space="preserve">: </w:t>
      </w:r>
      <w:r w:rsidR="00841CFC">
        <w:t xml:space="preserve">Some people are born with a variation to physical or biological sex characteristics including chromosomes, hormones or anatomy. These are often called intersex variations. There are many different intersex variations that can be identified prenatally, at birth, puberty or adulthood. People with intersex variations use a range of different terminology to name their bodies and experiences. Some use the term ‘intersex’, which </w:t>
      </w:r>
      <w:r w:rsidR="00841CFC" w:rsidRPr="00841CFC">
        <w:t xml:space="preserve">is signified by the ‘I’ in LGBTIQA+ communities. </w:t>
      </w:r>
    </w:p>
    <w:p w14:paraId="7B2B721B" w14:textId="77777777" w:rsidR="00841CFC" w:rsidRDefault="00841CFC" w:rsidP="00841CFC">
      <w:pPr>
        <w:pStyle w:val="Body"/>
      </w:pPr>
      <w:r w:rsidRPr="00841CFC">
        <w:t xml:space="preserve">Others do not connect to the term ‘intersex’ or with the acronym LGBTIQA+. People with variations of sex characteristics are usually assigned male or female at birth or infancy, just like everyone else. Intersex people can have any gender identity or sexuality. </w:t>
      </w:r>
    </w:p>
    <w:p w14:paraId="746780CF" w14:textId="645C98B2" w:rsidR="001E716B" w:rsidRDefault="001E716B" w:rsidP="001E716B">
      <w:pPr>
        <w:pStyle w:val="Body"/>
      </w:pPr>
      <w:r w:rsidRPr="00D174DD">
        <w:rPr>
          <w:b/>
          <w:bCs/>
        </w:rPr>
        <w:t>Sexuality or sexual orientation</w:t>
      </w:r>
      <w:r>
        <w:rPr>
          <w:b/>
          <w:bCs/>
        </w:rPr>
        <w:t>:</w:t>
      </w:r>
      <w:r w:rsidRPr="00D174DD">
        <w:t xml:space="preserve"> A person’s romantic or sexual attraction to others. A person’s gender does not mean they have certain sex characteristics or a particular sexuality, or vice versa.</w:t>
      </w:r>
    </w:p>
    <w:p w14:paraId="2BE92187" w14:textId="4E5E4719" w:rsidR="002864F1" w:rsidRPr="00D174DD" w:rsidRDefault="002864F1" w:rsidP="001E716B">
      <w:pPr>
        <w:pStyle w:val="Body"/>
      </w:pPr>
      <w:r w:rsidRPr="005B2E02">
        <w:rPr>
          <w:b/>
          <w:bCs/>
        </w:rPr>
        <w:t>Signs of impact</w:t>
      </w:r>
      <w:r>
        <w:rPr>
          <w:b/>
          <w:bCs/>
        </w:rPr>
        <w:t xml:space="preserve">: </w:t>
      </w:r>
      <w:r w:rsidR="00CD481C">
        <w:t>T</w:t>
      </w:r>
      <w:r w:rsidRPr="00577F5D">
        <w:t>he observable and measurable evidence that show</w:t>
      </w:r>
      <w:r>
        <w:t xml:space="preserve"> the </w:t>
      </w:r>
      <w:r w:rsidRPr="00577F5D">
        <w:t xml:space="preserve">changes resulting from the strategy. These </w:t>
      </w:r>
      <w:r>
        <w:t xml:space="preserve">changes, or </w:t>
      </w:r>
      <w:r w:rsidRPr="00577F5D">
        <w:t>signs</w:t>
      </w:r>
      <w:r>
        <w:t xml:space="preserve"> of impact,</w:t>
      </w:r>
      <w:r w:rsidRPr="00577F5D">
        <w:t xml:space="preserve"> indicate that the strategy is making progress toward achieving its vision.</w:t>
      </w:r>
    </w:p>
    <w:p w14:paraId="41C56B54" w14:textId="77777777" w:rsidR="001E716B" w:rsidRDefault="001E716B" w:rsidP="001E716B">
      <w:pPr>
        <w:pStyle w:val="Body"/>
      </w:pPr>
      <w:r w:rsidRPr="00D174DD">
        <w:rPr>
          <w:b/>
          <w:bCs/>
        </w:rPr>
        <w:t>Trans (short for transgender) person</w:t>
      </w:r>
      <w:r>
        <w:rPr>
          <w:b/>
          <w:bCs/>
        </w:rPr>
        <w:t>:</w:t>
      </w:r>
      <w:r w:rsidRPr="00D174DD">
        <w:rPr>
          <w:b/>
          <w:bCs/>
        </w:rPr>
        <w:t xml:space="preserve"> </w:t>
      </w:r>
      <w:r w:rsidRPr="00D174DD">
        <w:t>Someone whose gender does not only align with the one assigned at birth. Not all trans people will use this term to describe themselves.</w:t>
      </w:r>
    </w:p>
    <w:p w14:paraId="53DA2D7F" w14:textId="6569A5A0" w:rsidR="00DD13BE" w:rsidRPr="0070179D" w:rsidRDefault="00022A20" w:rsidP="00244DBF">
      <w:pPr>
        <w:pStyle w:val="Body"/>
      </w:pPr>
      <w:r>
        <w:rPr>
          <w:b/>
          <w:bCs/>
        </w:rPr>
        <w:t>O</w:t>
      </w:r>
      <w:r w:rsidR="008A5810" w:rsidRPr="00AB7805">
        <w:rPr>
          <w:b/>
          <w:bCs/>
        </w:rPr>
        <w:t>utcomes</w:t>
      </w:r>
      <w:r w:rsidR="008A5810">
        <w:rPr>
          <w:b/>
          <w:bCs/>
        </w:rPr>
        <w:t>:</w:t>
      </w:r>
      <w:r w:rsidR="008A5810" w:rsidRPr="00AB7805">
        <w:t xml:space="preserve"> </w:t>
      </w:r>
      <w:r w:rsidR="00CD481C">
        <w:t>S</w:t>
      </w:r>
      <w:r w:rsidR="008A5810" w:rsidRPr="00AB7805">
        <w:t xml:space="preserve">how us what success looks like and reflect our vision for </w:t>
      </w:r>
      <w:r w:rsidR="008A5810" w:rsidRPr="005B2E02">
        <w:t>LGBTIQA+ people and communities</w:t>
      </w:r>
      <w:r w:rsidR="008A5810">
        <w:t>.</w:t>
      </w:r>
      <w:r w:rsidR="008A5810" w:rsidRPr="005B2E02">
        <w:t xml:space="preserve"> </w:t>
      </w:r>
      <w:r w:rsidR="008A5810">
        <w:t>They</w:t>
      </w:r>
      <w:r w:rsidR="008A5810" w:rsidRPr="005B2E02">
        <w:t xml:space="preserve"> are clear</w:t>
      </w:r>
      <w:r w:rsidR="008A5810">
        <w:t xml:space="preserve"> </w:t>
      </w:r>
      <w:r w:rsidR="008A5810" w:rsidRPr="005B2E02">
        <w:t>and high-level statements.</w:t>
      </w:r>
    </w:p>
    <w:sectPr w:rsidR="00DD13BE" w:rsidRPr="0070179D" w:rsidSect="00B45ECB">
      <w:headerReference w:type="even" r:id="rId20"/>
      <w:headerReference w:type="default" r:id="rId21"/>
      <w:footerReference w:type="even" r:id="rId22"/>
      <w:footerReference w:type="default" r:id="rId23"/>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7B8EE" w14:textId="77777777" w:rsidR="002F2322" w:rsidRDefault="002F2322">
      <w:r>
        <w:separator/>
      </w:r>
    </w:p>
    <w:p w14:paraId="568E4585" w14:textId="77777777" w:rsidR="002F2322" w:rsidRDefault="002F2322"/>
  </w:endnote>
  <w:endnote w:type="continuationSeparator" w:id="0">
    <w:p w14:paraId="50951F92" w14:textId="77777777" w:rsidR="002F2322" w:rsidRDefault="002F2322">
      <w:r>
        <w:continuationSeparator/>
      </w:r>
    </w:p>
    <w:p w14:paraId="03E8F378" w14:textId="77777777" w:rsidR="002F2322" w:rsidRDefault="002F2322"/>
  </w:endnote>
  <w:endnote w:type="continuationNotice" w:id="1">
    <w:p w14:paraId="5AD680BB" w14:textId="77777777" w:rsidR="002F2322" w:rsidRDefault="002F2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B04844">
                          <w:pPr>
                            <w:pStyle w:val="Body"/>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B04844">
                    <w:pPr>
                      <w:pStyle w:val="Body"/>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6EDDB880" w:rsidR="00431A70" w:rsidRDefault="004750D1">
    <w:pPr>
      <w:pStyle w:val="Footer"/>
    </w:pPr>
    <w:r>
      <w:rPr>
        <w:noProof/>
        <w:lang w:eastAsia="en-AU"/>
      </w:rPr>
      <mc:AlternateContent>
        <mc:Choice Requires="wps">
          <w:drawing>
            <wp:anchor distT="0" distB="0" distL="114300" distR="114300" simplePos="1" relativeHeight="251658245" behindDoc="0" locked="0" layoutInCell="0" allowOverlap="1" wp14:anchorId="4AFC05E1" wp14:editId="2D3367EA">
              <wp:simplePos x="0" y="10189687"/>
              <wp:positionH relativeFrom="page">
                <wp:posOffset>0</wp:posOffset>
              </wp:positionH>
              <wp:positionV relativeFrom="page">
                <wp:posOffset>10189210</wp:posOffset>
              </wp:positionV>
              <wp:extent cx="7560310" cy="311785"/>
              <wp:effectExtent l="0" t="0" r="0" b="12065"/>
              <wp:wrapNone/>
              <wp:docPr id="570882834" name="MSIPCM995448b780bdd07555a3aa2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A8AE4" w14:textId="2D9EA8E1" w:rsidR="004750D1" w:rsidRPr="004750D1" w:rsidRDefault="004750D1" w:rsidP="004750D1">
                          <w:pPr>
                            <w:spacing w:after="0"/>
                            <w:jc w:val="center"/>
                            <w:rPr>
                              <w:rFonts w:ascii="Arial Black" w:hAnsi="Arial Black"/>
                              <w:color w:val="000000"/>
                              <w:sz w:val="20"/>
                            </w:rPr>
                          </w:pPr>
                          <w:r w:rsidRPr="004750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FC05E1" id="_x0000_t202" coordsize="21600,21600" o:spt="202" path="m,l,21600r21600,l21600,xe">
              <v:stroke joinstyle="miter"/>
              <v:path gradientshapeok="t" o:connecttype="rect"/>
            </v:shapetype>
            <v:shape id="MSIPCM995448b780bdd07555a3aa2d"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46A8AE4" w14:textId="2D9EA8E1" w:rsidR="004750D1" w:rsidRPr="004750D1" w:rsidRDefault="004750D1" w:rsidP="004750D1">
                    <w:pPr>
                      <w:spacing w:after="0"/>
                      <w:jc w:val="center"/>
                      <w:rPr>
                        <w:rFonts w:ascii="Arial Black" w:hAnsi="Arial Black"/>
                        <w:color w:val="000000"/>
                        <w:sz w:val="20"/>
                      </w:rPr>
                    </w:pPr>
                    <w:r w:rsidRPr="004750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B04844">
                          <w:pPr>
                            <w:pStyle w:val="Body"/>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005B9" id="Text Box 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C8B923F" w14:textId="188DBC95" w:rsidR="00EB4BC7" w:rsidRPr="00EB4BC7" w:rsidRDefault="00EB4BC7" w:rsidP="00B04844">
                    <w:pPr>
                      <w:pStyle w:val="Body"/>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44847D16"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9BF7B9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B04844">
                          <w:pPr>
                            <w:pStyle w:val="Body"/>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B04844">
                    <w:pPr>
                      <w:pStyle w:val="Body"/>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B04844">
                          <w:pPr>
                            <w:pStyle w:val="Body"/>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B04844">
                    <w:pPr>
                      <w:pStyle w:val="Body"/>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59AEDB98" w:rsidR="00431A70" w:rsidRDefault="00EB4BC7" w:rsidP="00DC00C1">
    <w:pPr>
      <w:pStyle w:val="Footer"/>
      <w:tabs>
        <w:tab w:val="left" w:pos="3667"/>
      </w:tabs>
    </w:pPr>
    <w:r>
      <w:rPr>
        <w:noProof/>
        <w:lang w:eastAsia="en-AU"/>
      </w:rPr>
      <mc:AlternateContent>
        <mc:Choice Requires="wps">
          <w:drawing>
            <wp:anchor distT="0" distB="0" distL="114300" distR="114300" simplePos="0" relativeHeight="251658243" behindDoc="0" locked="0" layoutInCell="0" allowOverlap="1" wp14:anchorId="1BA32EAB" wp14:editId="1ED52355">
              <wp:simplePos x="0" y="0"/>
              <wp:positionH relativeFrom="page">
                <wp:align>left</wp:align>
              </wp:positionH>
              <wp:positionV relativeFrom="page">
                <wp:posOffset>10237470</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F344A2">
                          <w:pPr>
                            <w:pStyle w:val="Body"/>
                            <w:jc w:val="cente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A32EAB" id="_x0000_t202" coordsize="21600,21600" o:spt="202" path="m,l,21600r21600,l21600,xe">
              <v:stroke joinstyle="miter"/>
              <v:path gradientshapeok="t" o:connecttype="rect"/>
            </v:shapetype>
            <v:shape id="Text Box 11" o:spid="_x0000_s1031" type="#_x0000_t202" alt="{&quot;HashCode&quot;:904758361,&quot;Height&quot;:841.0,&quot;Width&quot;:595.0,&quot;Placement&quot;:&quot;Footer&quot;,&quot;Index&quot;:&quot;Primary&quot;,&quot;Section&quot;:3,&quot;Top&quot;:0.0,&quot;Left&quot;:0.0}" style="position:absolute;margin-left:0;margin-top:806.1pt;width:595.3pt;height:24.55pt;z-index:251658243;visibility:visible;mso-wrap-style:square;mso-wrap-distance-left:9pt;mso-wrap-distance-top:0;mso-wrap-distance-right:9pt;mso-wrap-distance-bottom:0;mso-position-horizontal:lef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" o:allowincell="f" filled="f" stroked="f" strokeweight=".5pt">
              <v:textbox inset=",0,,0">
                <w:txbxContent>
                  <w:p w14:paraId="54918659" w14:textId="5CB96CC1" w:rsidR="00EB4BC7" w:rsidRPr="00EB4BC7" w:rsidRDefault="00EB4BC7" w:rsidP="00F344A2">
                    <w:pPr>
                      <w:pStyle w:val="Body"/>
                      <w:jc w:val="cente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334F0" w14:textId="77777777" w:rsidR="002F2322" w:rsidRDefault="002F2322" w:rsidP="00207717">
      <w:pPr>
        <w:spacing w:before="120"/>
      </w:pPr>
      <w:r>
        <w:separator/>
      </w:r>
    </w:p>
  </w:footnote>
  <w:footnote w:type="continuationSeparator" w:id="0">
    <w:p w14:paraId="03C92F50" w14:textId="77777777" w:rsidR="002F2322" w:rsidRDefault="002F2322">
      <w:r>
        <w:continuationSeparator/>
      </w:r>
    </w:p>
    <w:p w14:paraId="5828BAEC" w14:textId="77777777" w:rsidR="002F2322" w:rsidRDefault="002F2322"/>
  </w:footnote>
  <w:footnote w:type="continuationNotice" w:id="1">
    <w:p w14:paraId="328764CD" w14:textId="77777777" w:rsidR="002F2322" w:rsidRDefault="002F2322">
      <w:pPr>
        <w:spacing w:after="0" w:line="240" w:lineRule="auto"/>
      </w:pPr>
    </w:p>
  </w:footnote>
  <w:footnote w:id="2">
    <w:p w14:paraId="446C00CE" w14:textId="3F65EC71" w:rsidR="00D9074C" w:rsidRDefault="00D9074C">
      <w:pPr>
        <w:pStyle w:val="FootnoteText"/>
      </w:pPr>
      <w:r>
        <w:rPr>
          <w:rStyle w:val="FootnoteReference"/>
        </w:rPr>
        <w:footnoteRef/>
      </w:r>
      <w:r>
        <w:t xml:space="preserve"> </w:t>
      </w:r>
      <w:r w:rsidR="004059E2" w:rsidRPr="00D9074C">
        <w:t>Department of Premier and Cabinet</w:t>
      </w:r>
      <w:r w:rsidR="00465E6C">
        <w:t xml:space="preserve"> (2019)</w:t>
      </w:r>
      <w:r w:rsidR="004059E2" w:rsidRPr="00D9074C">
        <w:t xml:space="preserve"> </w:t>
      </w:r>
      <w:r w:rsidRPr="00465E6C">
        <w:rPr>
          <w:i/>
          <w:iCs/>
        </w:rPr>
        <w:t>Outcomes reform in Victoria</w:t>
      </w:r>
      <w:r w:rsidR="00465E6C">
        <w:t>,</w:t>
      </w:r>
      <w:r>
        <w:t xml:space="preserve"> </w:t>
      </w:r>
      <w:r w:rsidRPr="00D9074C">
        <w:t>Victorian Government,</w:t>
      </w:r>
      <w:r w:rsidR="00AB4B13">
        <w:t xml:space="preserve"> </w:t>
      </w:r>
      <w:r w:rsidR="00AB4B13" w:rsidRPr="00AB4B13">
        <w:t xml:space="preserve">accessed </w:t>
      </w:r>
      <w:r w:rsidR="00C34117">
        <w:t xml:space="preserve">23 </w:t>
      </w:r>
      <w:r w:rsidR="00AB4B13">
        <w:t>August</w:t>
      </w:r>
      <w:r w:rsidR="00AB4B13" w:rsidRPr="00AB4B13">
        <w:t xml:space="preserve"> 202</w:t>
      </w:r>
      <w:r w:rsidR="00AB4B13">
        <w:t xml:space="preserve">4. </w:t>
      </w:r>
    </w:p>
  </w:footnote>
  <w:footnote w:id="3">
    <w:p w14:paraId="48916BAD" w14:textId="77777777" w:rsidR="00147166" w:rsidRDefault="00147166" w:rsidP="00147166">
      <w:pPr>
        <w:pStyle w:val="FootnoteText"/>
      </w:pPr>
      <w:r>
        <w:rPr>
          <w:rStyle w:val="FootnoteReference"/>
        </w:rPr>
        <w:footnoteRef/>
      </w:r>
      <w:r>
        <w:t xml:space="preserve"> </w:t>
      </w:r>
      <w:r w:rsidRPr="00FD09D4">
        <w:t xml:space="preserve">LGBTIQA+ analysis </w:t>
      </w:r>
      <w:r>
        <w:t xml:space="preserve">internal Victorian Government data. </w:t>
      </w:r>
    </w:p>
  </w:footnote>
  <w:footnote w:id="4">
    <w:p w14:paraId="179034A7" w14:textId="77777777" w:rsidR="002934F4" w:rsidRDefault="002934F4" w:rsidP="002934F4">
      <w:pPr>
        <w:pStyle w:val="FootnoteText"/>
      </w:pPr>
      <w:r>
        <w:rPr>
          <w:rStyle w:val="FootnoteReference"/>
        </w:rPr>
        <w:footnoteRef/>
      </w:r>
      <w:r w:rsidRPr="00EF0389">
        <w:rPr>
          <w:lang w:val="da-DK"/>
        </w:rPr>
        <w:t xml:space="preserve"> D.J. Higgins et al. </w:t>
      </w:r>
      <w:r w:rsidRPr="00EF0389">
        <w:t>(2</w:t>
      </w:r>
      <w:r>
        <w:t xml:space="preserve">024) </w:t>
      </w:r>
      <w:r w:rsidRPr="00984AB6">
        <w:rPr>
          <w:i/>
          <w:iCs/>
        </w:rPr>
        <w:t>Prevalence of Diverse Genders and Sexualities in Australia and Associations with Five Forms of Child Maltreatment and Multi-type Maltreatment</w:t>
      </w:r>
      <w:r w:rsidRPr="00A213EC">
        <w:t>, Child Maltreatment, Vol. 0(0) 1-21, Institute of Child Protection Studies, Australian Catholic University.</w:t>
      </w:r>
    </w:p>
  </w:footnote>
  <w:footnote w:id="5">
    <w:p w14:paraId="1240A3B1" w14:textId="77777777" w:rsidR="002934F4" w:rsidRDefault="002934F4" w:rsidP="002934F4">
      <w:pPr>
        <w:pStyle w:val="FootnoteText"/>
      </w:pPr>
      <w:r>
        <w:rPr>
          <w:rStyle w:val="FootnoteReference"/>
        </w:rPr>
        <w:footnoteRef/>
      </w:r>
      <w:r w:rsidRPr="00EF0389">
        <w:rPr>
          <w:lang w:val="da-DK"/>
        </w:rPr>
        <w:t xml:space="preserve"> D.J. Higgins et al. </w:t>
      </w:r>
      <w:r w:rsidRPr="00EF0389">
        <w:t>(2</w:t>
      </w:r>
      <w:r>
        <w:t xml:space="preserve">024) </w:t>
      </w:r>
      <w:r w:rsidRPr="00984AB6">
        <w:rPr>
          <w:i/>
          <w:iCs/>
        </w:rPr>
        <w:t>Prevalence of Diverse Genders and Sexualities in Australia and Associations with Five Forms of Child Maltreatment and Multi-type Maltreatment</w:t>
      </w:r>
      <w:r w:rsidRPr="00A213EC">
        <w:t>, Child Maltreatment, Vol. 0(0) 1-21, Institute of Child Protection Studies, Australian Catholic University.</w:t>
      </w:r>
    </w:p>
  </w:footnote>
  <w:footnote w:id="6">
    <w:p w14:paraId="20530E30" w14:textId="0DAB5A0D" w:rsidR="00FD09D4" w:rsidRDefault="00FD09D4">
      <w:pPr>
        <w:pStyle w:val="FootnoteText"/>
      </w:pPr>
      <w:r>
        <w:rPr>
          <w:rStyle w:val="FootnoteReference"/>
        </w:rPr>
        <w:footnoteRef/>
      </w:r>
      <w:r>
        <w:t xml:space="preserve"> </w:t>
      </w:r>
      <w:r w:rsidRPr="00FD09D4">
        <w:t xml:space="preserve">LGBTIQA+ analysis </w:t>
      </w:r>
      <w:r w:rsidR="002D2208">
        <w:t>internal Victorian Government data</w:t>
      </w:r>
      <w:r>
        <w:t xml:space="preserve">. </w:t>
      </w:r>
    </w:p>
  </w:footnote>
  <w:footnote w:id="7">
    <w:p w14:paraId="1054CFC4" w14:textId="023CA325" w:rsidR="00731BE5" w:rsidRDefault="00731BE5">
      <w:pPr>
        <w:pStyle w:val="FootnoteText"/>
      </w:pPr>
      <w:r>
        <w:rPr>
          <w:rStyle w:val="FootnoteReference"/>
        </w:rPr>
        <w:footnoteRef/>
      </w:r>
      <w:r>
        <w:t xml:space="preserve"> Victorian Agency for Health Information (2020)</w:t>
      </w:r>
      <w:r w:rsidR="00266A09">
        <w:t xml:space="preserve"> </w:t>
      </w:r>
      <w:hyperlink r:id="rId1" w:history="1">
        <w:r w:rsidR="00266A09" w:rsidRPr="009C5209">
          <w:rPr>
            <w:rStyle w:val="Hyperlink"/>
            <w:i/>
            <w:iCs/>
          </w:rPr>
          <w:t>Victorian Population Health Survey 2020</w:t>
        </w:r>
      </w:hyperlink>
      <w:r w:rsidR="00D100B5">
        <w:t xml:space="preserve">, </w:t>
      </w:r>
      <w:r w:rsidR="00D100B5" w:rsidRPr="00D9074C">
        <w:t>Victorian Government</w:t>
      </w:r>
      <w:r w:rsidR="00D100B5">
        <w:t xml:space="preserve">, accessed </w:t>
      </w:r>
      <w:r w:rsidR="00C7112F">
        <w:t>20 August</w:t>
      </w:r>
      <w:r w:rsidR="00C7112F" w:rsidRPr="00AB4B13">
        <w:t xml:space="preserve"> 202</w:t>
      </w:r>
      <w:r w:rsidR="00C7112F">
        <w:t xml:space="preserve">4. </w:t>
      </w:r>
    </w:p>
  </w:footnote>
  <w:footnote w:id="8">
    <w:p w14:paraId="38653D63" w14:textId="282E9A4C" w:rsidR="00555BC3" w:rsidRDefault="00555BC3">
      <w:pPr>
        <w:pStyle w:val="FootnoteText"/>
      </w:pPr>
      <w:r>
        <w:rPr>
          <w:rStyle w:val="FootnoteReference"/>
        </w:rPr>
        <w:footnoteRef/>
      </w:r>
      <w:r>
        <w:t xml:space="preserve"> </w:t>
      </w:r>
      <w:r w:rsidR="001A359B" w:rsidRPr="001A359B">
        <w:t xml:space="preserve">Hill, A. O., Bourne, A., McNair, R., Carman, M. &amp; Lyons, A. (2021). </w:t>
      </w:r>
      <w:hyperlink r:id="rId2" w:history="1">
        <w:r w:rsidR="001A359B" w:rsidRPr="008967A5">
          <w:rPr>
            <w:rStyle w:val="Hyperlink"/>
            <w:i/>
            <w:iCs/>
          </w:rPr>
          <w:t>Private Lives 3: The health and wellbeing of LGBTQ people in Victoria: Victoria summary report</w:t>
        </w:r>
      </w:hyperlink>
      <w:r w:rsidR="001A359B" w:rsidRPr="001A359B">
        <w:t>. ARCSHS Monograph Series No. 130. Melbourne, Australia: Australian Research Centre in Sex, Health and Society, La Trobe University.</w:t>
      </w:r>
    </w:p>
  </w:footnote>
  <w:footnote w:id="9">
    <w:p w14:paraId="5A22B2EA" w14:textId="77777777" w:rsidR="00767260" w:rsidRDefault="00767260">
      <w:pPr>
        <w:pStyle w:val="FootnoteText"/>
      </w:pPr>
      <w:r>
        <w:rPr>
          <w:rStyle w:val="FootnoteReference"/>
        </w:rPr>
        <w:footnoteRef/>
      </w:r>
      <w:r>
        <w:t xml:space="preserve"> Victorian Agency for Health Information (2020) </w:t>
      </w:r>
      <w:hyperlink r:id="rId3" w:history="1">
        <w:r w:rsidRPr="009C5209">
          <w:rPr>
            <w:rStyle w:val="Hyperlink"/>
            <w:i/>
            <w:iCs/>
          </w:rPr>
          <w:t>Victorian Population Health Survey 2020</w:t>
        </w:r>
      </w:hyperlink>
      <w:r>
        <w:t xml:space="preserve">, </w:t>
      </w:r>
      <w:r w:rsidRPr="00D9074C">
        <w:t>Victorian Government</w:t>
      </w:r>
      <w:r>
        <w:t>, accessed 20 August</w:t>
      </w:r>
      <w:r w:rsidRPr="00AB4B13">
        <w:t xml:space="preserve"> 202</w:t>
      </w:r>
      <w:r>
        <w:t>4.</w:t>
      </w:r>
    </w:p>
  </w:footnote>
  <w:footnote w:id="10">
    <w:p w14:paraId="20BECE48" w14:textId="025F5355" w:rsidR="00870556" w:rsidRDefault="00870556">
      <w:pPr>
        <w:pStyle w:val="FootnoteText"/>
      </w:pPr>
      <w:r>
        <w:rPr>
          <w:rStyle w:val="FootnoteReference"/>
        </w:rPr>
        <w:footnoteRef/>
      </w:r>
      <w:r>
        <w:t xml:space="preserve"> Victorian Agency for Health Information (2020) </w:t>
      </w:r>
      <w:hyperlink r:id="rId4" w:history="1">
        <w:r w:rsidRPr="009C5209">
          <w:rPr>
            <w:rStyle w:val="Hyperlink"/>
            <w:i/>
            <w:iCs/>
          </w:rPr>
          <w:t>Victorian Population Health Survey 2020</w:t>
        </w:r>
      </w:hyperlink>
      <w:r>
        <w:t xml:space="preserve">, </w:t>
      </w:r>
      <w:r w:rsidRPr="00D9074C">
        <w:t>Victorian Government</w:t>
      </w:r>
      <w:r>
        <w:t>, accessed 20 August</w:t>
      </w:r>
      <w:r w:rsidRPr="00AB4B13">
        <w:t xml:space="preserve"> 202</w:t>
      </w:r>
      <w:r>
        <w:t>4.</w:t>
      </w:r>
    </w:p>
  </w:footnote>
  <w:footnote w:id="11">
    <w:p w14:paraId="19451325" w14:textId="7B0C54A7" w:rsidR="00D661D9" w:rsidRDefault="00D661D9">
      <w:pPr>
        <w:pStyle w:val="FootnoteText"/>
      </w:pPr>
      <w:r>
        <w:rPr>
          <w:rStyle w:val="FootnoteReference"/>
        </w:rPr>
        <w:footnoteRef/>
      </w:r>
      <w:r>
        <w:t xml:space="preserve"> </w:t>
      </w:r>
      <w:r w:rsidRPr="00D661D9">
        <w:t xml:space="preserve">Aligns with </w:t>
      </w:r>
      <w:r>
        <w:t>the</w:t>
      </w:r>
      <w:r w:rsidR="00AF38A4">
        <w:t xml:space="preserve"> findings of the</w:t>
      </w:r>
      <w:r>
        <w:t xml:space="preserve"> </w:t>
      </w:r>
      <w:r w:rsidRPr="00D661D9">
        <w:t>Cultural Review of the Adult Custodial Corrections System</w:t>
      </w:r>
      <w:r w:rsidR="00AF38A4">
        <w:t>.</w:t>
      </w:r>
    </w:p>
  </w:footnote>
  <w:footnote w:id="12">
    <w:p w14:paraId="73C3F9AA" w14:textId="6C78CAAF" w:rsidR="00D661D9" w:rsidRPr="00876E56" w:rsidRDefault="00D661D9" w:rsidP="00F344A2">
      <w:pPr>
        <w:pStyle w:val="FootnoteText"/>
      </w:pPr>
      <w:r>
        <w:rPr>
          <w:rStyle w:val="FootnoteReference"/>
        </w:rPr>
        <w:footnoteRef/>
      </w:r>
      <w:r>
        <w:t xml:space="preserve"> A</w:t>
      </w:r>
      <w:r w:rsidRPr="00425A7E">
        <w:t xml:space="preserve">ligns with </w:t>
      </w:r>
      <w:r w:rsidR="001A07DE">
        <w:t xml:space="preserve">the </w:t>
      </w:r>
      <w:r w:rsidR="00AF38A4">
        <w:t xml:space="preserve">findings of the </w:t>
      </w:r>
      <w:r w:rsidRPr="00876E56">
        <w:t>Cultural</w:t>
      </w:r>
      <w:r w:rsidRPr="00425A7E">
        <w:t xml:space="preserve"> Review of the Adult Custodial Corrections </w:t>
      </w:r>
      <w:r w:rsidRPr="00D661D9">
        <w:t>System</w:t>
      </w:r>
      <w:r w:rsidR="00AF38A4">
        <w:t>.</w:t>
      </w:r>
    </w:p>
    <w:p w14:paraId="56207370" w14:textId="404DD1E3" w:rsidR="00D661D9" w:rsidRDefault="00D661D9">
      <w:pPr>
        <w:pStyle w:val="FootnoteText"/>
      </w:pPr>
    </w:p>
  </w:footnote>
  <w:footnote w:id="13">
    <w:p w14:paraId="3A7DC5BB" w14:textId="7437CFF6" w:rsidR="009A1095" w:rsidRDefault="009A1095">
      <w:pPr>
        <w:pStyle w:val="FootnoteText"/>
      </w:pPr>
      <w:r>
        <w:rPr>
          <w:rStyle w:val="FootnoteReference"/>
        </w:rPr>
        <w:footnoteRef/>
      </w:r>
      <w:r>
        <w:t xml:space="preserve"> </w:t>
      </w:r>
      <w:r w:rsidRPr="001A359B">
        <w:t xml:space="preserve">Hill, A. O., Bourne, A., McNair, R., Carman, M. &amp; Lyons, A. (2021). </w:t>
      </w:r>
      <w:hyperlink r:id="rId5" w:history="1">
        <w:r w:rsidRPr="008967A5">
          <w:rPr>
            <w:rStyle w:val="Hyperlink"/>
            <w:i/>
            <w:iCs/>
          </w:rPr>
          <w:t>Private Lives 3: The health and wellbeing of LGBTQ people in Victoria: Victoria summary report</w:t>
        </w:r>
      </w:hyperlink>
      <w:r w:rsidRPr="001A359B">
        <w:t>. ARCSHS Monograph Series No. 130. Melbourne, Australia: Australian Research Centre in Sex, Health and Society, La Trobe University.</w:t>
      </w:r>
    </w:p>
  </w:footnote>
  <w:footnote w:id="14">
    <w:p w14:paraId="6789F195" w14:textId="7A3CFD08" w:rsidR="00D069FA" w:rsidRDefault="00D069FA">
      <w:pPr>
        <w:pStyle w:val="FootnoteText"/>
      </w:pPr>
      <w:r>
        <w:rPr>
          <w:rStyle w:val="FootnoteReference"/>
        </w:rPr>
        <w:footnoteRef/>
      </w:r>
      <w:r>
        <w:t xml:space="preserve"> </w:t>
      </w:r>
      <w:r w:rsidR="00EC54CA">
        <w:t>A</w:t>
      </w:r>
      <w:r w:rsidRPr="00D069FA">
        <w:t>ligns with</w:t>
      </w:r>
      <w:r w:rsidR="00EC54CA">
        <w:t>:</w:t>
      </w:r>
      <w:r w:rsidRPr="00D069FA">
        <w:t xml:space="preserve"> </w:t>
      </w:r>
      <w:r w:rsidR="00EC54CA">
        <w:t xml:space="preserve">the Department of Health’s </w:t>
      </w:r>
      <w:r w:rsidR="00EC54CA" w:rsidRPr="00D069FA">
        <w:t xml:space="preserve">health, mental health and wellbeing </w:t>
      </w:r>
      <w:r w:rsidRPr="00D069FA">
        <w:t>strategies and plans</w:t>
      </w:r>
      <w:r w:rsidR="00EC54CA">
        <w:t>;</w:t>
      </w:r>
      <w:r w:rsidRPr="00D069FA">
        <w:t xml:space="preserve"> the </w:t>
      </w:r>
      <w:r w:rsidRPr="00F344A2">
        <w:rPr>
          <w:i/>
          <w:iCs/>
        </w:rPr>
        <w:t xml:space="preserve">Diverse </w:t>
      </w:r>
      <w:r w:rsidR="00EC54CA">
        <w:rPr>
          <w:i/>
          <w:iCs/>
        </w:rPr>
        <w:t>c</w:t>
      </w:r>
      <w:r w:rsidR="00EC54CA" w:rsidRPr="00F344A2">
        <w:rPr>
          <w:i/>
          <w:iCs/>
        </w:rPr>
        <w:t xml:space="preserve">ommunities </w:t>
      </w:r>
      <w:r w:rsidRPr="00F344A2">
        <w:rPr>
          <w:i/>
          <w:iCs/>
        </w:rPr>
        <w:t>framework</w:t>
      </w:r>
      <w:r w:rsidRPr="00D069FA">
        <w:t xml:space="preserve"> and blueprint; </w:t>
      </w:r>
      <w:r w:rsidR="00EC54CA">
        <w:t xml:space="preserve">the </w:t>
      </w:r>
      <w:r w:rsidRPr="00F344A2">
        <w:rPr>
          <w:i/>
          <w:iCs/>
        </w:rPr>
        <w:t xml:space="preserve">State </w:t>
      </w:r>
      <w:r w:rsidR="00EC54CA">
        <w:rPr>
          <w:i/>
          <w:iCs/>
        </w:rPr>
        <w:t>d</w:t>
      </w:r>
      <w:r w:rsidR="00EC54CA" w:rsidRPr="00F344A2">
        <w:rPr>
          <w:i/>
          <w:iCs/>
        </w:rPr>
        <w:t xml:space="preserve">isability </w:t>
      </w:r>
      <w:r w:rsidR="00EC54CA">
        <w:rPr>
          <w:i/>
          <w:iCs/>
        </w:rPr>
        <w:t>p</w:t>
      </w:r>
      <w:r w:rsidR="00EC54CA" w:rsidRPr="00F344A2">
        <w:rPr>
          <w:i/>
          <w:iCs/>
        </w:rPr>
        <w:t>lan</w:t>
      </w:r>
      <w:r w:rsidRPr="00D069FA">
        <w:t>;</w:t>
      </w:r>
      <w:r w:rsidR="00EC54CA">
        <w:t xml:space="preserve"> and</w:t>
      </w:r>
      <w:r w:rsidRPr="00D069FA">
        <w:t xml:space="preserve"> </w:t>
      </w:r>
      <w:r w:rsidRPr="00F344A2">
        <w:rPr>
          <w:i/>
          <w:iCs/>
        </w:rPr>
        <w:t>Korin Korin Balit-Djak: Aboriginal health, wellbeing and safety strategic plan 2017–2027</w:t>
      </w:r>
      <w:r w:rsidRPr="00D069FA">
        <w:t>)</w:t>
      </w:r>
      <w:r w:rsidRPr="00D551CA">
        <w:rPr>
          <w:i/>
          <w:color w:val="808080" w:themeColor="background1" w:themeShade="80"/>
          <w:sz w:val="20"/>
          <w:szCs w:val="20"/>
          <w:lang w:eastAsia="en-AU"/>
        </w:rPr>
        <w:t xml:space="preserve">  </w:t>
      </w:r>
    </w:p>
  </w:footnote>
  <w:footnote w:id="15">
    <w:p w14:paraId="260008D9" w14:textId="5060D910" w:rsidR="00FB7F0A" w:rsidRDefault="00FB7F0A">
      <w:pPr>
        <w:pStyle w:val="FootnoteText"/>
      </w:pPr>
      <w:r>
        <w:rPr>
          <w:rStyle w:val="FootnoteReference"/>
        </w:rPr>
        <w:footnoteRef/>
      </w:r>
      <w:r>
        <w:t xml:space="preserve"> Note the </w:t>
      </w:r>
      <w:r w:rsidRPr="00FB7F0A">
        <w:t xml:space="preserve">Victorian Population Health Survey </w:t>
      </w:r>
      <w:r>
        <w:t xml:space="preserve">is completed </w:t>
      </w:r>
      <w:r w:rsidRPr="00D069FA">
        <w:t>every 3 years</w:t>
      </w:r>
    </w:p>
  </w:footnote>
  <w:footnote w:id="16">
    <w:p w14:paraId="67CEC6BC" w14:textId="3B6C5345" w:rsidR="00393345" w:rsidRDefault="00393345">
      <w:pPr>
        <w:pStyle w:val="FootnoteText"/>
      </w:pPr>
      <w:r>
        <w:rPr>
          <w:rStyle w:val="FootnoteReference"/>
        </w:rPr>
        <w:footnoteRef/>
      </w:r>
      <w:r>
        <w:t xml:space="preserve"> Aligns with </w:t>
      </w:r>
      <w:r w:rsidR="009A1095" w:rsidRPr="009A1095">
        <w:rPr>
          <w:i/>
          <w:iCs/>
        </w:rPr>
        <w:t>Inclusive Victoria: state disability plan (2022–2026)</w:t>
      </w:r>
      <w:r w:rsidR="00AF38A4">
        <w:rPr>
          <w:i/>
          <w:iCs/>
        </w:rPr>
        <w:t>.</w:t>
      </w:r>
    </w:p>
  </w:footnote>
  <w:footnote w:id="17">
    <w:p w14:paraId="642DD21B" w14:textId="1838315E" w:rsidR="006013F4" w:rsidRDefault="006013F4">
      <w:pPr>
        <w:pStyle w:val="FootnoteText"/>
      </w:pPr>
      <w:r>
        <w:rPr>
          <w:rStyle w:val="FootnoteReference"/>
        </w:rPr>
        <w:footnoteRef/>
      </w:r>
      <w:r>
        <w:t xml:space="preserve"> Data sources could include a survey of s</w:t>
      </w:r>
      <w:r w:rsidRPr="00393345">
        <w:t>ervices or contract managers</w:t>
      </w:r>
      <w:r>
        <w:t>, family violence workforce census or other survey administered by the Centre for Workforce Excellence.</w:t>
      </w:r>
    </w:p>
  </w:footnote>
  <w:footnote w:id="18">
    <w:p w14:paraId="388A6F87" w14:textId="21B8F38A" w:rsidR="00393345" w:rsidRDefault="00393345">
      <w:pPr>
        <w:pStyle w:val="FootnoteText"/>
      </w:pPr>
      <w:r>
        <w:rPr>
          <w:rStyle w:val="FootnoteReference"/>
        </w:rPr>
        <w:footnoteRef/>
      </w:r>
      <w:r>
        <w:t xml:space="preserve"> </w:t>
      </w:r>
      <w:bookmarkStart w:id="101" w:name="_Hlk175330090"/>
      <w:r w:rsidR="0002647C">
        <w:t>A</w:t>
      </w:r>
      <w:r w:rsidR="0002647C" w:rsidRPr="00D069FA">
        <w:t xml:space="preserve">ligns with </w:t>
      </w:r>
      <w:r w:rsidR="0002647C">
        <w:t xml:space="preserve">the Department of Health’s </w:t>
      </w:r>
      <w:r w:rsidR="0002647C" w:rsidRPr="00D069FA">
        <w:t>health, mental health and wellbeing</w:t>
      </w:r>
      <w:r w:rsidR="005A0E12">
        <w:t xml:space="preserve"> strategies</w:t>
      </w:r>
      <w:r w:rsidR="0002647C" w:rsidRPr="00D069FA">
        <w:t xml:space="preserve"> and plans</w:t>
      </w:r>
      <w:r w:rsidR="00765174">
        <w:t xml:space="preserve"> including </w:t>
      </w:r>
      <w:r w:rsidR="00765174" w:rsidRPr="00765174">
        <w:rPr>
          <w:i/>
          <w:iCs/>
        </w:rPr>
        <w:t xml:space="preserve">Diverse Communities Mental Health and Wellbeing Framework </w:t>
      </w:r>
      <w:r w:rsidR="00765174" w:rsidRPr="00765174">
        <w:t>and</w:t>
      </w:r>
      <w:r w:rsidR="00765174" w:rsidRPr="00765174">
        <w:rPr>
          <w:i/>
          <w:iCs/>
        </w:rPr>
        <w:t xml:space="preserve"> Blueprint for Action</w:t>
      </w:r>
      <w:r w:rsidR="0002647C" w:rsidRPr="00D069FA">
        <w:t xml:space="preserve">; </w:t>
      </w:r>
      <w:r w:rsidR="00765174" w:rsidRPr="009A1095">
        <w:rPr>
          <w:i/>
          <w:iCs/>
        </w:rPr>
        <w:t>Inclusive Victoria: state disability plan (2022–2026)</w:t>
      </w:r>
      <w:r w:rsidR="0002647C" w:rsidRPr="00D069FA">
        <w:t>;</w:t>
      </w:r>
      <w:r w:rsidR="0002647C">
        <w:t xml:space="preserve"> and</w:t>
      </w:r>
      <w:r w:rsidR="0002647C" w:rsidRPr="00D069FA">
        <w:t xml:space="preserve"> </w:t>
      </w:r>
      <w:r w:rsidR="0002647C" w:rsidRPr="00E11375">
        <w:rPr>
          <w:i/>
          <w:iCs/>
        </w:rPr>
        <w:t>Korin Korin Balit-Djak: Aboriginal health, wellbeing and safety strategic plan 2017–2027</w:t>
      </w:r>
      <w:r w:rsidR="0002647C" w:rsidRPr="00D069FA">
        <w:t>)</w:t>
      </w:r>
      <w:r w:rsidR="00AF38A4">
        <w:rPr>
          <w:i/>
          <w:color w:val="808080" w:themeColor="background1" w:themeShade="80"/>
          <w:sz w:val="20"/>
          <w:szCs w:val="20"/>
          <w:lang w:eastAsia="en-AU"/>
        </w:rPr>
        <w:t>.</w:t>
      </w:r>
    </w:p>
    <w:bookmarkEnd w:id="101"/>
  </w:footnote>
  <w:footnote w:id="19">
    <w:p w14:paraId="6E421C52" w14:textId="4D446BC9" w:rsidR="007E4307" w:rsidRDefault="007E4307">
      <w:pPr>
        <w:pStyle w:val="FootnoteText"/>
      </w:pPr>
      <w:r>
        <w:rPr>
          <w:rStyle w:val="FootnoteReference"/>
        </w:rPr>
        <w:footnoteRef/>
      </w:r>
      <w:r>
        <w:t xml:space="preserve"> Any survey would need to </w:t>
      </w:r>
      <w:r w:rsidRPr="00393345">
        <w:t>acknowledg</w:t>
      </w:r>
      <w:r>
        <w:t>e</w:t>
      </w:r>
      <w:r w:rsidRPr="00393345">
        <w:t xml:space="preserve"> multiple components of inclusivity</w:t>
      </w:r>
      <w:r>
        <w:t>.</w:t>
      </w:r>
    </w:p>
  </w:footnote>
  <w:footnote w:id="20">
    <w:p w14:paraId="58504A89" w14:textId="1FE070F8" w:rsidR="00393345" w:rsidRDefault="00393345">
      <w:pPr>
        <w:pStyle w:val="FootnoteText"/>
      </w:pPr>
      <w:r>
        <w:rPr>
          <w:rStyle w:val="FootnoteReference"/>
        </w:rPr>
        <w:footnoteRef/>
      </w:r>
      <w:r>
        <w:t xml:space="preserve"> </w:t>
      </w:r>
      <w:r w:rsidR="00596D99" w:rsidRPr="00596D99">
        <w:t xml:space="preserve">Aligns with the Department of Health’s health, mental health and wellbeing strategies and plans including </w:t>
      </w:r>
      <w:r w:rsidR="00596D99" w:rsidRPr="00596D99">
        <w:rPr>
          <w:i/>
          <w:iCs/>
        </w:rPr>
        <w:t xml:space="preserve">Diverse Communities Mental Health and Wellbeing Framework </w:t>
      </w:r>
      <w:r w:rsidR="00596D99" w:rsidRPr="00596D99">
        <w:t>and</w:t>
      </w:r>
      <w:r w:rsidR="00596D99" w:rsidRPr="00596D99">
        <w:rPr>
          <w:i/>
          <w:iCs/>
        </w:rPr>
        <w:t xml:space="preserve"> Blueprint for Action</w:t>
      </w:r>
      <w:r w:rsidR="00596D99" w:rsidRPr="00596D99">
        <w:t xml:space="preserve">; </w:t>
      </w:r>
      <w:r w:rsidR="00596D99" w:rsidRPr="00596D99">
        <w:rPr>
          <w:i/>
          <w:iCs/>
        </w:rPr>
        <w:t>Inclusive Victoria: state disability plan (2022–2026)</w:t>
      </w:r>
      <w:r w:rsidR="00596D99" w:rsidRPr="00596D99">
        <w:t xml:space="preserve">; and </w:t>
      </w:r>
      <w:r w:rsidR="00596D99" w:rsidRPr="00596D99">
        <w:rPr>
          <w:i/>
          <w:iCs/>
        </w:rPr>
        <w:t>Korin Korin Balit-Djak: Aboriginal health, wellbeing and safety strategic plan 2017–2027</w:t>
      </w:r>
      <w:r w:rsidR="00596D99" w:rsidRPr="00596D99">
        <w:t>)</w:t>
      </w:r>
      <w:r w:rsidR="00596D99" w:rsidRPr="00596D99">
        <w:rPr>
          <w:i/>
        </w:rPr>
        <w:t>.</w:t>
      </w:r>
      <w:r w:rsidR="00596D99">
        <w:t xml:space="preserve"> </w:t>
      </w:r>
      <w:r w:rsidRPr="00393345">
        <w:t xml:space="preserve">Note </w:t>
      </w:r>
      <w:r w:rsidR="0002647C">
        <w:t>the Victorian Government monitors</w:t>
      </w:r>
      <w:r w:rsidR="0002647C" w:rsidRPr="00393345">
        <w:t xml:space="preserve"> </w:t>
      </w:r>
      <w:r w:rsidRPr="00393345">
        <w:t>HIV</w:t>
      </w:r>
      <w:r w:rsidR="0002647C">
        <w:t>-</w:t>
      </w:r>
      <w:r w:rsidRPr="00393345">
        <w:t xml:space="preserve">related </w:t>
      </w:r>
      <w:r w:rsidR="0002647C">
        <w:t xml:space="preserve">outcomes through the </w:t>
      </w:r>
      <w:r w:rsidRPr="00393345">
        <w:t>HIV and sexual health strategies</w:t>
      </w:r>
      <w:r w:rsidR="00596D99">
        <w:t xml:space="preserve">. </w:t>
      </w:r>
    </w:p>
  </w:footnote>
  <w:footnote w:id="21">
    <w:p w14:paraId="586CE67E" w14:textId="5D5DFA9C" w:rsidR="00347CB4" w:rsidRDefault="00347CB4">
      <w:pPr>
        <w:pStyle w:val="FootnoteText"/>
      </w:pPr>
      <w:r>
        <w:rPr>
          <w:rStyle w:val="FootnoteReference"/>
        </w:rPr>
        <w:footnoteRef/>
      </w:r>
      <w:r>
        <w:t xml:space="preserve"> </w:t>
      </w:r>
      <w:r w:rsidR="007912AD" w:rsidRPr="007912AD">
        <w:t xml:space="preserve">Hill AO, Lyons A, Jones J, McGowan I, Carman M, Parsons M, Power J, Bourne A (2021) </w:t>
      </w:r>
      <w:hyperlink r:id="rId6" w:history="1">
        <w:r w:rsidR="007912AD" w:rsidRPr="002E2D63">
          <w:rPr>
            <w:rStyle w:val="Hyperlink"/>
            <w:i/>
            <w:iCs/>
          </w:rPr>
          <w:t>Writing Themselves In 4: The health and wellbeing of LGBTQA+ young people in Australia</w:t>
        </w:r>
      </w:hyperlink>
      <w:r w:rsidR="007912AD" w:rsidRPr="007912AD">
        <w:t>. National report, monograph series number 124. Australian Research Centre in Sex, Health and Society, La Trobe University: Melbourne. ARCSHS</w:t>
      </w:r>
    </w:p>
  </w:footnote>
  <w:footnote w:id="22">
    <w:p w14:paraId="4557441A" w14:textId="53B7313C" w:rsidR="00585B09" w:rsidRDefault="00585B09">
      <w:pPr>
        <w:pStyle w:val="FootnoteText"/>
      </w:pPr>
      <w:r>
        <w:rPr>
          <w:rStyle w:val="FootnoteReference"/>
        </w:rPr>
        <w:footnoteRef/>
      </w:r>
      <w:r>
        <w:t xml:space="preserve"> Aligns with </w:t>
      </w:r>
      <w:r w:rsidR="000212A5">
        <w:t xml:space="preserve">the </w:t>
      </w:r>
      <w:r w:rsidRPr="004A5CD5">
        <w:rPr>
          <w:i/>
          <w:iCs/>
        </w:rPr>
        <w:t xml:space="preserve">Gender </w:t>
      </w:r>
      <w:r w:rsidR="000212A5" w:rsidRPr="000212A5">
        <w:rPr>
          <w:i/>
          <w:iCs/>
        </w:rPr>
        <w:t>equity strategy</w:t>
      </w:r>
      <w:r w:rsidR="000212A5">
        <w:t>.</w:t>
      </w:r>
    </w:p>
  </w:footnote>
  <w:footnote w:id="23">
    <w:p w14:paraId="48544978" w14:textId="5C9A03C7" w:rsidR="00DC52BA" w:rsidRDefault="00A56E9F">
      <w:pPr>
        <w:pStyle w:val="FootnoteText"/>
      </w:pPr>
      <w:r>
        <w:rPr>
          <w:rStyle w:val="FootnoteReference"/>
        </w:rPr>
        <w:footnoteRef/>
      </w:r>
      <w:r w:rsidR="00DC52BA">
        <w:t xml:space="preserve"> </w:t>
      </w:r>
      <w:r w:rsidR="00CA497B">
        <w:t>F</w:t>
      </w:r>
      <w:r w:rsidRPr="00C33CB2">
        <w:t>or example</w:t>
      </w:r>
      <w:r>
        <w:t>,</w:t>
      </w:r>
      <w:r w:rsidRPr="00C33CB2">
        <w:t xml:space="preserve"> the Prevention of Family Violence Data Platform, the Integrated Reports and Information System used by Child FIRST and Family Services to record client and service data</w:t>
      </w:r>
      <w:r w:rsidR="00CA497B">
        <w:t>.</w:t>
      </w:r>
    </w:p>
  </w:footnote>
  <w:footnote w:id="24">
    <w:p w14:paraId="1CB62858" w14:textId="7349D96C" w:rsidR="00585B09" w:rsidRDefault="00585B09">
      <w:pPr>
        <w:pStyle w:val="FootnoteText"/>
      </w:pPr>
      <w:r>
        <w:rPr>
          <w:rStyle w:val="FootnoteReference"/>
        </w:rPr>
        <w:footnoteRef/>
      </w:r>
      <w:r>
        <w:t xml:space="preserve"> Aligns with </w:t>
      </w:r>
      <w:r w:rsidR="001E0C76">
        <w:t xml:space="preserve">the Victorian Government’s </w:t>
      </w:r>
      <w:r w:rsidR="00F45D9A" w:rsidRPr="00F45D9A">
        <w:t>Diversity on Victorian Government Boards Guidelines</w:t>
      </w:r>
      <w:r w:rsidR="000212A5">
        <w:t>.</w:t>
      </w:r>
    </w:p>
  </w:footnote>
  <w:footnote w:id="25">
    <w:p w14:paraId="3220FBBE" w14:textId="4619E314" w:rsidR="00585B09" w:rsidRDefault="00585B09">
      <w:pPr>
        <w:pStyle w:val="FootnoteText"/>
      </w:pPr>
      <w:r>
        <w:rPr>
          <w:rStyle w:val="FootnoteReference"/>
        </w:rPr>
        <w:footnoteRef/>
      </w:r>
      <w:r>
        <w:t xml:space="preserve"> </w:t>
      </w:r>
      <w:r w:rsidR="002200FE">
        <w:t>A</w:t>
      </w:r>
      <w:r w:rsidRPr="00585B09">
        <w:t xml:space="preserve">ligns with </w:t>
      </w:r>
      <w:r w:rsidR="00D05EE6">
        <w:t xml:space="preserve">the Department of Health’s </w:t>
      </w:r>
      <w:r w:rsidR="003B5BEA" w:rsidRPr="002C3810">
        <w:rPr>
          <w:i/>
          <w:iCs/>
        </w:rPr>
        <w:t>Diverse Communities Mental Health and Wellbeing Framework</w:t>
      </w:r>
      <w:r w:rsidR="003B5BEA" w:rsidRPr="003B5BEA">
        <w:t xml:space="preserve"> </w:t>
      </w:r>
      <w:r w:rsidRPr="00585B09">
        <w:t xml:space="preserve">and </w:t>
      </w:r>
      <w:r w:rsidR="002200FE" w:rsidRPr="002C3810">
        <w:rPr>
          <w:i/>
          <w:iCs/>
        </w:rPr>
        <w:t>B</w:t>
      </w:r>
      <w:r w:rsidRPr="002C3810">
        <w:rPr>
          <w:i/>
          <w:iCs/>
        </w:rPr>
        <w:t>lueprint</w:t>
      </w:r>
      <w:r w:rsidR="003B5BEA" w:rsidRPr="002C3810">
        <w:rPr>
          <w:i/>
          <w:iCs/>
        </w:rPr>
        <w:t xml:space="preserve"> for Action</w:t>
      </w:r>
      <w:r w:rsidR="002200FE">
        <w:t>.</w:t>
      </w:r>
    </w:p>
  </w:footnote>
  <w:footnote w:id="26">
    <w:p w14:paraId="556E67D9" w14:textId="2C71ADDC" w:rsidR="003E5EF4" w:rsidRDefault="003E5EF4">
      <w:pPr>
        <w:pStyle w:val="FootnoteText"/>
      </w:pPr>
      <w:r>
        <w:rPr>
          <w:rStyle w:val="FootnoteReference"/>
        </w:rPr>
        <w:footnoteRef/>
      </w:r>
      <w:r>
        <w:t xml:space="preserve"> </w:t>
      </w:r>
      <w:r w:rsidRPr="003E5EF4">
        <w:t xml:space="preserve">Victorian Agency for Health Information (2020) </w:t>
      </w:r>
      <w:hyperlink r:id="rId7" w:history="1">
        <w:r w:rsidRPr="003E5EF4">
          <w:rPr>
            <w:rStyle w:val="Hyperlink"/>
            <w:i/>
            <w:iCs/>
          </w:rPr>
          <w:t>Victorian Population Health Survey 2020</w:t>
        </w:r>
      </w:hyperlink>
      <w:r w:rsidRPr="003E5EF4">
        <w:t>, Victorian Government, accessed 20 August 2024.</w:t>
      </w:r>
    </w:p>
  </w:footnote>
  <w:footnote w:id="27">
    <w:p w14:paraId="1BE749F9" w14:textId="3B3741EB" w:rsidR="007B0DF8" w:rsidRDefault="007B0DF8">
      <w:pPr>
        <w:pStyle w:val="FootnoteText"/>
      </w:pPr>
      <w:r>
        <w:rPr>
          <w:rStyle w:val="FootnoteReference"/>
        </w:rPr>
        <w:footnoteRef/>
      </w:r>
      <w:r>
        <w:t xml:space="preserve"> </w:t>
      </w:r>
      <w:r w:rsidR="00A0321D">
        <w:t>A</w:t>
      </w:r>
      <w:r w:rsidRPr="007B0DF8">
        <w:t xml:space="preserve">ligns with Family Violence </w:t>
      </w:r>
      <w:r w:rsidR="002C593C">
        <w:t>O</w:t>
      </w:r>
      <w:r w:rsidRPr="007B0DF8">
        <w:t xml:space="preserve">utcomes </w:t>
      </w:r>
      <w:r w:rsidR="002C593C">
        <w:t>Fr</w:t>
      </w:r>
      <w:r w:rsidRPr="007B0DF8">
        <w:t>amework</w:t>
      </w:r>
      <w:r w:rsidR="00A0321D">
        <w:t>.</w:t>
      </w:r>
    </w:p>
  </w:footnote>
  <w:footnote w:id="28">
    <w:p w14:paraId="2AEE0F8C" w14:textId="00E2A91F" w:rsidR="00D80B99" w:rsidRDefault="00D80B99">
      <w:pPr>
        <w:pStyle w:val="FootnoteText"/>
      </w:pPr>
      <w:r w:rsidRPr="00786595">
        <w:rPr>
          <w:rStyle w:val="FootnoteReference"/>
        </w:rPr>
        <w:footnoteRef/>
      </w:r>
      <w:r w:rsidRPr="00786595">
        <w:t xml:space="preserve"> </w:t>
      </w:r>
      <w:r w:rsidR="00786595" w:rsidRPr="00786595">
        <w:t xml:space="preserve">Victorian Agency for Health Information (2020) </w:t>
      </w:r>
      <w:hyperlink r:id="rId8" w:history="1">
        <w:r w:rsidR="00786595" w:rsidRPr="00786595">
          <w:rPr>
            <w:rStyle w:val="Hyperlink"/>
            <w:i/>
            <w:iCs/>
          </w:rPr>
          <w:t>Victorian Population Health Survey 2020</w:t>
        </w:r>
      </w:hyperlink>
      <w:r w:rsidR="00786595" w:rsidRPr="00786595">
        <w:t>, Victorian Government, accessed 20 August 2024.</w:t>
      </w:r>
      <w:r>
        <w:t xml:space="preserve"> </w:t>
      </w:r>
    </w:p>
  </w:footnote>
  <w:footnote w:id="29">
    <w:p w14:paraId="68C7E139" w14:textId="3B5E9411" w:rsidR="007B0DF8" w:rsidRDefault="007B0DF8">
      <w:pPr>
        <w:pStyle w:val="FootnoteText"/>
      </w:pPr>
      <w:r>
        <w:rPr>
          <w:rStyle w:val="FootnoteReference"/>
        </w:rPr>
        <w:footnoteRef/>
      </w:r>
      <w:r>
        <w:t xml:space="preserve"> Aligns with anti-vilification protections</w:t>
      </w:r>
      <w:r w:rsidR="001F5287">
        <w:t>.</w:t>
      </w:r>
    </w:p>
  </w:footnote>
  <w:footnote w:id="30">
    <w:p w14:paraId="49A73CA3" w14:textId="4141889E" w:rsidR="007B0DF8" w:rsidRDefault="007B0DF8">
      <w:pPr>
        <w:pStyle w:val="FootnoteText"/>
      </w:pPr>
      <w:r>
        <w:rPr>
          <w:rStyle w:val="FootnoteReference"/>
        </w:rPr>
        <w:footnoteRef/>
      </w:r>
      <w:r>
        <w:t xml:space="preserve"> Aligns with anti-vilification protections</w:t>
      </w:r>
      <w:r w:rsidR="001F5287">
        <w:t>.</w:t>
      </w:r>
    </w:p>
  </w:footnote>
  <w:footnote w:id="31">
    <w:p w14:paraId="2202FA94" w14:textId="2E01D828" w:rsidR="007B0DF8" w:rsidRDefault="007B0DF8">
      <w:pPr>
        <w:pStyle w:val="FootnoteText"/>
      </w:pPr>
      <w:r>
        <w:rPr>
          <w:rStyle w:val="FootnoteReference"/>
        </w:rPr>
        <w:footnoteRef/>
      </w:r>
      <w:r>
        <w:t xml:space="preserve"> Aligns with anti-vilification protections</w:t>
      </w:r>
      <w:r w:rsidR="001F5287">
        <w:t>.</w:t>
      </w:r>
    </w:p>
  </w:footnote>
  <w:footnote w:id="32">
    <w:p w14:paraId="4B4DE83C" w14:textId="37F96233" w:rsidR="00BA49D9" w:rsidRDefault="00BA49D9">
      <w:pPr>
        <w:pStyle w:val="FootnoteText"/>
      </w:pPr>
      <w:r>
        <w:rPr>
          <w:rStyle w:val="FootnoteReference"/>
        </w:rPr>
        <w:footnoteRef/>
      </w:r>
      <w:r>
        <w:t xml:space="preserve"> </w:t>
      </w:r>
      <w:r w:rsidR="00936E2B">
        <w:t>A</w:t>
      </w:r>
      <w:r w:rsidR="00936E2B" w:rsidRPr="00BA49D9">
        <w:t xml:space="preserve">ligns </w:t>
      </w:r>
      <w:r w:rsidRPr="00BA49D9">
        <w:t xml:space="preserve">with </w:t>
      </w:r>
      <w:r w:rsidR="00936E2B">
        <w:t>the Victorian Public Sector Commission’s</w:t>
      </w:r>
      <w:r w:rsidR="00936E2B" w:rsidRPr="00BA49D9">
        <w:t xml:space="preserve"> </w:t>
      </w:r>
      <w:r w:rsidRPr="00F344A2">
        <w:rPr>
          <w:i/>
          <w:iCs/>
        </w:rPr>
        <w:t>Workforce capability, leadership and management</w:t>
      </w:r>
      <w:r w:rsidR="001F5287">
        <w:rPr>
          <w:i/>
          <w:iCs/>
        </w:rPr>
        <w:t>.</w:t>
      </w:r>
    </w:p>
  </w:footnote>
  <w:footnote w:id="33">
    <w:p w14:paraId="6B86F2E5" w14:textId="309B38EF" w:rsidR="00AE0C9C" w:rsidRDefault="00AE0C9C">
      <w:pPr>
        <w:pStyle w:val="FootnoteText"/>
      </w:pPr>
      <w:r>
        <w:rPr>
          <w:rStyle w:val="FootnoteReference"/>
        </w:rPr>
        <w:footnoteRef/>
      </w:r>
      <w:r>
        <w:t xml:space="preserve"> </w:t>
      </w:r>
      <w:r w:rsidR="00936E2B">
        <w:t>A</w:t>
      </w:r>
      <w:r w:rsidRPr="00AE0C9C">
        <w:t xml:space="preserve">ligns with </w:t>
      </w:r>
      <w:r w:rsidR="00936E2B">
        <w:t>the Department of Transport and Planning’s</w:t>
      </w:r>
      <w:r w:rsidR="00936E2B" w:rsidRPr="00AE0C9C">
        <w:t xml:space="preserve"> </w:t>
      </w:r>
      <w:r w:rsidRPr="00F344A2">
        <w:rPr>
          <w:i/>
          <w:iCs/>
        </w:rPr>
        <w:t xml:space="preserve">Diversity and </w:t>
      </w:r>
      <w:r w:rsidR="00936E2B" w:rsidRPr="00936E2B">
        <w:rPr>
          <w:i/>
          <w:iCs/>
        </w:rPr>
        <w:t xml:space="preserve">inclusion strategy </w:t>
      </w:r>
      <w:r w:rsidRPr="00F344A2">
        <w:rPr>
          <w:i/>
          <w:iCs/>
        </w:rPr>
        <w:t>2020</w:t>
      </w:r>
      <w:r w:rsidR="00936E2B">
        <w:rPr>
          <w:i/>
          <w:iCs/>
        </w:rPr>
        <w:t>–</w:t>
      </w:r>
      <w:r w:rsidRPr="00F344A2">
        <w:rPr>
          <w:i/>
          <w:iCs/>
        </w:rPr>
        <w:t>2023</w:t>
      </w:r>
      <w:r w:rsidRPr="00AE0C9C">
        <w:t xml:space="preserve"> </w:t>
      </w:r>
      <w:r w:rsidR="00936E2B">
        <w:t xml:space="preserve">and </w:t>
      </w:r>
      <w:r w:rsidRPr="00F344A2">
        <w:rPr>
          <w:i/>
          <w:iCs/>
        </w:rPr>
        <w:t xml:space="preserve">Women in </w:t>
      </w:r>
      <w:r w:rsidR="00936E2B">
        <w:rPr>
          <w:i/>
          <w:iCs/>
        </w:rPr>
        <w:t>t</w:t>
      </w:r>
      <w:r w:rsidR="00936E2B" w:rsidRPr="00F344A2">
        <w:rPr>
          <w:i/>
          <w:iCs/>
        </w:rPr>
        <w:t xml:space="preserve">ransport </w:t>
      </w:r>
      <w:r w:rsidR="00936E2B">
        <w:rPr>
          <w:i/>
          <w:iCs/>
        </w:rPr>
        <w:t>s</w:t>
      </w:r>
      <w:r w:rsidR="00936E2B" w:rsidRPr="00F344A2">
        <w:rPr>
          <w:i/>
          <w:iCs/>
        </w:rPr>
        <w:t xml:space="preserve">trategy </w:t>
      </w:r>
      <w:r w:rsidRPr="00F344A2">
        <w:rPr>
          <w:i/>
          <w:iCs/>
        </w:rPr>
        <w:t>2021</w:t>
      </w:r>
      <w:r w:rsidR="00936E2B">
        <w:rPr>
          <w:i/>
          <w:iCs/>
        </w:rPr>
        <w:t>–</w:t>
      </w:r>
      <w:r w:rsidRPr="00F344A2">
        <w:rPr>
          <w:i/>
          <w:iCs/>
        </w:rPr>
        <w:t>2024</w:t>
      </w:r>
      <w:r w:rsidR="001F5287">
        <w:rPr>
          <w:i/>
          <w:iCs/>
        </w:rPr>
        <w:t>.</w:t>
      </w:r>
    </w:p>
  </w:footnote>
  <w:footnote w:id="34">
    <w:p w14:paraId="0B9D7F51" w14:textId="7C6541C2" w:rsidR="00A95E7A" w:rsidRDefault="00A95E7A">
      <w:pPr>
        <w:pStyle w:val="FootnoteText"/>
      </w:pPr>
      <w:r>
        <w:rPr>
          <w:rStyle w:val="FootnoteReference"/>
        </w:rPr>
        <w:footnoteRef/>
      </w:r>
      <w:r>
        <w:t xml:space="preserve"> O</w:t>
      </w:r>
      <w:r w:rsidRPr="00AE0C9C">
        <w:t>nly for unemployment</w:t>
      </w:r>
      <w:r>
        <w:t xml:space="preserve"> data.</w:t>
      </w:r>
    </w:p>
  </w:footnote>
  <w:footnote w:id="35">
    <w:p w14:paraId="6A6C44D8" w14:textId="746CFDA7" w:rsidR="00AE0C9C" w:rsidRPr="00F344A2" w:rsidRDefault="00AE0C9C">
      <w:pPr>
        <w:pStyle w:val="FootnoteText"/>
        <w:rPr>
          <w:i/>
          <w:iCs/>
        </w:rPr>
      </w:pPr>
      <w:r>
        <w:rPr>
          <w:rStyle w:val="FootnoteReference"/>
        </w:rPr>
        <w:footnoteRef/>
      </w:r>
      <w:r>
        <w:t xml:space="preserve"> Aligns with </w:t>
      </w:r>
      <w:r w:rsidR="00936E2B">
        <w:t xml:space="preserve">the Government’s </w:t>
      </w:r>
      <w:r w:rsidR="009B5A64" w:rsidRPr="00F344A2">
        <w:rPr>
          <w:i/>
          <w:iCs/>
        </w:rPr>
        <w:t>Our promise, Your future: Victoria’s youth strategy 2022–2027</w:t>
      </w:r>
      <w:r w:rsidR="009B5A64">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38BEB24A" w:rsidR="00562811" w:rsidRPr="001C7128" w:rsidRDefault="004C5273" w:rsidP="001C7128">
    <w:pPr>
      <w:pStyle w:val="Header"/>
    </w:pPr>
    <w:r w:rsidRPr="004C5273">
      <w:t>Pride in our future</w:t>
    </w:r>
    <w:r w:rsidR="00393345">
      <w:t>:</w:t>
    </w:r>
    <w:r w:rsidRPr="004C5273">
      <w:t xml:space="preserve"> outcomes framework </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703A1D"/>
    <w:multiLevelType w:val="hybridMultilevel"/>
    <w:tmpl w:val="4CFE0548"/>
    <w:lvl w:ilvl="0" w:tplc="FFFFFFFF">
      <w:start w:val="1"/>
      <w:numFmt w:val="bullet"/>
      <w:pStyle w:val="PAECTalkingPoint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9367F0"/>
    <w:multiLevelType w:val="hybridMultilevel"/>
    <w:tmpl w:val="856E5938"/>
    <w:lvl w:ilvl="0" w:tplc="723CCADA">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8DD5F3"/>
    <w:multiLevelType w:val="hybridMultilevel"/>
    <w:tmpl w:val="876492C8"/>
    <w:lvl w:ilvl="0" w:tplc="8AE4F740">
      <w:start w:val="1"/>
      <w:numFmt w:val="bullet"/>
      <w:lvlText w:val=""/>
      <w:lvlJc w:val="left"/>
      <w:pPr>
        <w:ind w:left="360" w:hanging="360"/>
      </w:pPr>
      <w:rPr>
        <w:rFonts w:ascii="Symbol" w:hAnsi="Symbol" w:hint="default"/>
      </w:rPr>
    </w:lvl>
    <w:lvl w:ilvl="1" w:tplc="FA10F122">
      <w:start w:val="1"/>
      <w:numFmt w:val="bullet"/>
      <w:lvlText w:val="o"/>
      <w:lvlJc w:val="left"/>
      <w:pPr>
        <w:ind w:left="1080" w:hanging="360"/>
      </w:pPr>
      <w:rPr>
        <w:rFonts w:ascii="Courier New" w:hAnsi="Courier New" w:hint="default"/>
      </w:rPr>
    </w:lvl>
    <w:lvl w:ilvl="2" w:tplc="48C06412">
      <w:start w:val="1"/>
      <w:numFmt w:val="bullet"/>
      <w:lvlText w:val=""/>
      <w:lvlJc w:val="left"/>
      <w:pPr>
        <w:ind w:left="1800" w:hanging="360"/>
      </w:pPr>
      <w:rPr>
        <w:rFonts w:ascii="Wingdings" w:hAnsi="Wingdings" w:hint="default"/>
      </w:rPr>
    </w:lvl>
    <w:lvl w:ilvl="3" w:tplc="628AAAA2">
      <w:start w:val="1"/>
      <w:numFmt w:val="bullet"/>
      <w:lvlText w:val=""/>
      <w:lvlJc w:val="left"/>
      <w:pPr>
        <w:ind w:left="2520" w:hanging="360"/>
      </w:pPr>
      <w:rPr>
        <w:rFonts w:ascii="Symbol" w:hAnsi="Symbol" w:hint="default"/>
      </w:rPr>
    </w:lvl>
    <w:lvl w:ilvl="4" w:tplc="86BC7D14">
      <w:start w:val="1"/>
      <w:numFmt w:val="bullet"/>
      <w:lvlText w:val="o"/>
      <w:lvlJc w:val="left"/>
      <w:pPr>
        <w:ind w:left="3240" w:hanging="360"/>
      </w:pPr>
      <w:rPr>
        <w:rFonts w:ascii="Courier New" w:hAnsi="Courier New" w:hint="default"/>
      </w:rPr>
    </w:lvl>
    <w:lvl w:ilvl="5" w:tplc="CC3EFD48">
      <w:start w:val="1"/>
      <w:numFmt w:val="bullet"/>
      <w:lvlText w:val=""/>
      <w:lvlJc w:val="left"/>
      <w:pPr>
        <w:ind w:left="3960" w:hanging="360"/>
      </w:pPr>
      <w:rPr>
        <w:rFonts w:ascii="Wingdings" w:hAnsi="Wingdings" w:hint="default"/>
      </w:rPr>
    </w:lvl>
    <w:lvl w:ilvl="6" w:tplc="376EDA56">
      <w:start w:val="1"/>
      <w:numFmt w:val="bullet"/>
      <w:lvlText w:val=""/>
      <w:lvlJc w:val="left"/>
      <w:pPr>
        <w:ind w:left="4680" w:hanging="360"/>
      </w:pPr>
      <w:rPr>
        <w:rFonts w:ascii="Symbol" w:hAnsi="Symbol" w:hint="default"/>
      </w:rPr>
    </w:lvl>
    <w:lvl w:ilvl="7" w:tplc="CAB4E640">
      <w:start w:val="1"/>
      <w:numFmt w:val="bullet"/>
      <w:lvlText w:val="o"/>
      <w:lvlJc w:val="left"/>
      <w:pPr>
        <w:ind w:left="5400" w:hanging="360"/>
      </w:pPr>
      <w:rPr>
        <w:rFonts w:ascii="Courier New" w:hAnsi="Courier New" w:hint="default"/>
      </w:rPr>
    </w:lvl>
    <w:lvl w:ilvl="8" w:tplc="DA64D244">
      <w:start w:val="1"/>
      <w:numFmt w:val="bullet"/>
      <w:lvlText w:val=""/>
      <w:lvlJc w:val="left"/>
      <w:pPr>
        <w:ind w:left="612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85762FB"/>
    <w:multiLevelType w:val="hybridMultilevel"/>
    <w:tmpl w:val="F16411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3AF97F"/>
    <w:multiLevelType w:val="hybridMultilevel"/>
    <w:tmpl w:val="FFFFFFFF"/>
    <w:lvl w:ilvl="0" w:tplc="FFFFFFFF">
      <w:start w:val="1"/>
      <w:numFmt w:val="bullet"/>
      <w:lvlText w:val=""/>
      <w:lvlJc w:val="left"/>
      <w:pPr>
        <w:ind w:left="360" w:hanging="360"/>
      </w:pPr>
      <w:rPr>
        <w:rFonts w:ascii="Symbol" w:hAnsi="Symbol" w:hint="default"/>
      </w:rPr>
    </w:lvl>
    <w:lvl w:ilvl="1" w:tplc="0BDC5FEA">
      <w:start w:val="1"/>
      <w:numFmt w:val="bullet"/>
      <w:lvlText w:val="o"/>
      <w:lvlJc w:val="left"/>
      <w:pPr>
        <w:ind w:left="1080" w:hanging="360"/>
      </w:pPr>
      <w:rPr>
        <w:rFonts w:ascii="Courier New" w:hAnsi="Courier New" w:hint="default"/>
      </w:rPr>
    </w:lvl>
    <w:lvl w:ilvl="2" w:tplc="0A720CBE">
      <w:start w:val="1"/>
      <w:numFmt w:val="bullet"/>
      <w:lvlText w:val=""/>
      <w:lvlJc w:val="left"/>
      <w:pPr>
        <w:ind w:left="1800" w:hanging="360"/>
      </w:pPr>
      <w:rPr>
        <w:rFonts w:ascii="Wingdings" w:hAnsi="Wingdings" w:hint="default"/>
      </w:rPr>
    </w:lvl>
    <w:lvl w:ilvl="3" w:tplc="4B7C2F7E">
      <w:start w:val="1"/>
      <w:numFmt w:val="bullet"/>
      <w:lvlText w:val=""/>
      <w:lvlJc w:val="left"/>
      <w:pPr>
        <w:ind w:left="2520" w:hanging="360"/>
      </w:pPr>
      <w:rPr>
        <w:rFonts w:ascii="Symbol" w:hAnsi="Symbol" w:hint="default"/>
      </w:rPr>
    </w:lvl>
    <w:lvl w:ilvl="4" w:tplc="3FD8B1C2">
      <w:start w:val="1"/>
      <w:numFmt w:val="bullet"/>
      <w:lvlText w:val="o"/>
      <w:lvlJc w:val="left"/>
      <w:pPr>
        <w:ind w:left="3240" w:hanging="360"/>
      </w:pPr>
      <w:rPr>
        <w:rFonts w:ascii="Courier New" w:hAnsi="Courier New" w:hint="default"/>
      </w:rPr>
    </w:lvl>
    <w:lvl w:ilvl="5" w:tplc="CDC248AA">
      <w:start w:val="1"/>
      <w:numFmt w:val="bullet"/>
      <w:lvlText w:val=""/>
      <w:lvlJc w:val="left"/>
      <w:pPr>
        <w:ind w:left="3960" w:hanging="360"/>
      </w:pPr>
      <w:rPr>
        <w:rFonts w:ascii="Wingdings" w:hAnsi="Wingdings" w:hint="default"/>
      </w:rPr>
    </w:lvl>
    <w:lvl w:ilvl="6" w:tplc="0CEC1E90">
      <w:start w:val="1"/>
      <w:numFmt w:val="bullet"/>
      <w:lvlText w:val=""/>
      <w:lvlJc w:val="left"/>
      <w:pPr>
        <w:ind w:left="4680" w:hanging="360"/>
      </w:pPr>
      <w:rPr>
        <w:rFonts w:ascii="Symbol" w:hAnsi="Symbol" w:hint="default"/>
      </w:rPr>
    </w:lvl>
    <w:lvl w:ilvl="7" w:tplc="04EAEDA8">
      <w:start w:val="1"/>
      <w:numFmt w:val="bullet"/>
      <w:lvlText w:val="o"/>
      <w:lvlJc w:val="left"/>
      <w:pPr>
        <w:ind w:left="5400" w:hanging="360"/>
      </w:pPr>
      <w:rPr>
        <w:rFonts w:ascii="Courier New" w:hAnsi="Courier New" w:hint="default"/>
      </w:rPr>
    </w:lvl>
    <w:lvl w:ilvl="8" w:tplc="E47E34CC">
      <w:start w:val="1"/>
      <w:numFmt w:val="bullet"/>
      <w:lvlText w:val=""/>
      <w:lvlJc w:val="left"/>
      <w:pPr>
        <w:ind w:left="6120" w:hanging="360"/>
      </w:pPr>
      <w:rPr>
        <w:rFonts w:ascii="Wingdings" w:hAnsi="Wingdings" w:hint="default"/>
      </w:rPr>
    </w:lvl>
  </w:abstractNum>
  <w:abstractNum w:abstractNumId="25" w15:restartNumberingAfterBreak="0">
    <w:nsid w:val="505A4212"/>
    <w:multiLevelType w:val="hybridMultilevel"/>
    <w:tmpl w:val="DDA80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B90727B"/>
    <w:multiLevelType w:val="hybridMultilevel"/>
    <w:tmpl w:val="3EE2B2BC"/>
    <w:lvl w:ilvl="0" w:tplc="679C4C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842049"/>
    <w:multiLevelType w:val="hybridMultilevel"/>
    <w:tmpl w:val="0FCECC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71937634">
    <w:abstractNumId w:val="10"/>
  </w:num>
  <w:num w:numId="2" w16cid:durableId="1368799680">
    <w:abstractNumId w:val="20"/>
  </w:num>
  <w:num w:numId="3" w16cid:durableId="11301725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5107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99231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05267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9753813">
    <w:abstractNumId w:val="27"/>
  </w:num>
  <w:num w:numId="8" w16cid:durableId="96869656">
    <w:abstractNumId w:val="19"/>
  </w:num>
  <w:num w:numId="9" w16cid:durableId="510685313">
    <w:abstractNumId w:val="26"/>
  </w:num>
  <w:num w:numId="10" w16cid:durableId="18379216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4726084">
    <w:abstractNumId w:val="29"/>
  </w:num>
  <w:num w:numId="12" w16cid:durableId="9234155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67903">
    <w:abstractNumId w:val="21"/>
  </w:num>
  <w:num w:numId="14" w16cid:durableId="20883844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21325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38172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67785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8667852">
    <w:abstractNumId w:val="32"/>
  </w:num>
  <w:num w:numId="19" w16cid:durableId="15569629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0527034">
    <w:abstractNumId w:val="14"/>
  </w:num>
  <w:num w:numId="21" w16cid:durableId="405954891">
    <w:abstractNumId w:val="12"/>
  </w:num>
  <w:num w:numId="22" w16cid:durableId="5209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4002152">
    <w:abstractNumId w:val="16"/>
  </w:num>
  <w:num w:numId="24" w16cid:durableId="27263578">
    <w:abstractNumId w:val="33"/>
  </w:num>
  <w:num w:numId="25" w16cid:durableId="302321268">
    <w:abstractNumId w:val="30"/>
  </w:num>
  <w:num w:numId="26" w16cid:durableId="1542286165">
    <w:abstractNumId w:val="23"/>
  </w:num>
  <w:num w:numId="27" w16cid:durableId="101268693">
    <w:abstractNumId w:val="11"/>
  </w:num>
  <w:num w:numId="28" w16cid:durableId="491988135">
    <w:abstractNumId w:val="34"/>
  </w:num>
  <w:num w:numId="29" w16cid:durableId="302777606">
    <w:abstractNumId w:val="9"/>
  </w:num>
  <w:num w:numId="30" w16cid:durableId="2014405631">
    <w:abstractNumId w:val="7"/>
  </w:num>
  <w:num w:numId="31" w16cid:durableId="770397556">
    <w:abstractNumId w:val="6"/>
  </w:num>
  <w:num w:numId="32" w16cid:durableId="174195845">
    <w:abstractNumId w:val="5"/>
  </w:num>
  <w:num w:numId="33" w16cid:durableId="863902223">
    <w:abstractNumId w:val="4"/>
  </w:num>
  <w:num w:numId="34" w16cid:durableId="1392731866">
    <w:abstractNumId w:val="8"/>
  </w:num>
  <w:num w:numId="35" w16cid:durableId="1648244310">
    <w:abstractNumId w:val="3"/>
  </w:num>
  <w:num w:numId="36" w16cid:durableId="1322197951">
    <w:abstractNumId w:val="2"/>
  </w:num>
  <w:num w:numId="37" w16cid:durableId="1540969818">
    <w:abstractNumId w:val="1"/>
  </w:num>
  <w:num w:numId="38" w16cid:durableId="1419134037">
    <w:abstractNumId w:val="0"/>
  </w:num>
  <w:num w:numId="39" w16cid:durableId="1680621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3759141">
    <w:abstractNumId w:val="31"/>
  </w:num>
  <w:num w:numId="41" w16cid:durableId="934291291">
    <w:abstractNumId w:val="28"/>
  </w:num>
  <w:num w:numId="42" w16cid:durableId="931397919">
    <w:abstractNumId w:val="17"/>
  </w:num>
  <w:num w:numId="43" w16cid:durableId="657926021">
    <w:abstractNumId w:val="25"/>
  </w:num>
  <w:num w:numId="44" w16cid:durableId="1362128472">
    <w:abstractNumId w:val="18"/>
  </w:num>
  <w:num w:numId="45" w16cid:durableId="1596287937">
    <w:abstractNumId w:val="22"/>
  </w:num>
  <w:num w:numId="46" w16cid:durableId="599918050">
    <w:abstractNumId w:val="27"/>
  </w:num>
  <w:num w:numId="47" w16cid:durableId="1758749715">
    <w:abstractNumId w:val="24"/>
  </w:num>
  <w:num w:numId="48" w16cid:durableId="185284032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B8C"/>
    <w:rsid w:val="00002D68"/>
    <w:rsid w:val="000033F7"/>
    <w:rsid w:val="00003403"/>
    <w:rsid w:val="00005347"/>
    <w:rsid w:val="00005FA8"/>
    <w:rsid w:val="000064F0"/>
    <w:rsid w:val="000072B6"/>
    <w:rsid w:val="0001021B"/>
    <w:rsid w:val="00010777"/>
    <w:rsid w:val="00010A03"/>
    <w:rsid w:val="0001123C"/>
    <w:rsid w:val="00011A43"/>
    <w:rsid w:val="00011D89"/>
    <w:rsid w:val="00013C85"/>
    <w:rsid w:val="000154FD"/>
    <w:rsid w:val="00015BBF"/>
    <w:rsid w:val="00020678"/>
    <w:rsid w:val="000212A5"/>
    <w:rsid w:val="00021FF7"/>
    <w:rsid w:val="00022271"/>
    <w:rsid w:val="00022A20"/>
    <w:rsid w:val="000235E8"/>
    <w:rsid w:val="00024D89"/>
    <w:rsid w:val="000250B6"/>
    <w:rsid w:val="00025632"/>
    <w:rsid w:val="00025ACB"/>
    <w:rsid w:val="0002647C"/>
    <w:rsid w:val="00031AF7"/>
    <w:rsid w:val="000326CB"/>
    <w:rsid w:val="00032C99"/>
    <w:rsid w:val="00032EA6"/>
    <w:rsid w:val="0003319E"/>
    <w:rsid w:val="0003348C"/>
    <w:rsid w:val="00033D81"/>
    <w:rsid w:val="00033DC9"/>
    <w:rsid w:val="00034727"/>
    <w:rsid w:val="00035258"/>
    <w:rsid w:val="00035450"/>
    <w:rsid w:val="00035985"/>
    <w:rsid w:val="00036A87"/>
    <w:rsid w:val="00037366"/>
    <w:rsid w:val="00041BF0"/>
    <w:rsid w:val="00042C8A"/>
    <w:rsid w:val="00042E6A"/>
    <w:rsid w:val="0004330B"/>
    <w:rsid w:val="00044D06"/>
    <w:rsid w:val="0004536B"/>
    <w:rsid w:val="00045BAB"/>
    <w:rsid w:val="00046B68"/>
    <w:rsid w:val="0005191C"/>
    <w:rsid w:val="00051DE7"/>
    <w:rsid w:val="000527DD"/>
    <w:rsid w:val="00055D39"/>
    <w:rsid w:val="00055DCC"/>
    <w:rsid w:val="00055E68"/>
    <w:rsid w:val="0005628A"/>
    <w:rsid w:val="0005628D"/>
    <w:rsid w:val="00056EC4"/>
    <w:rsid w:val="000574D3"/>
    <w:rsid w:val="000575C1"/>
    <w:rsid w:val="0005782E"/>
    <w:rsid w:val="000578B2"/>
    <w:rsid w:val="00060959"/>
    <w:rsid w:val="00060C8F"/>
    <w:rsid w:val="00060F1E"/>
    <w:rsid w:val="00061A4C"/>
    <w:rsid w:val="0006298A"/>
    <w:rsid w:val="00062A3F"/>
    <w:rsid w:val="000630C7"/>
    <w:rsid w:val="00063DB8"/>
    <w:rsid w:val="000663CD"/>
    <w:rsid w:val="00066EB0"/>
    <w:rsid w:val="000678B0"/>
    <w:rsid w:val="00070839"/>
    <w:rsid w:val="0007252A"/>
    <w:rsid w:val="000733FE"/>
    <w:rsid w:val="0007396F"/>
    <w:rsid w:val="00074219"/>
    <w:rsid w:val="00074456"/>
    <w:rsid w:val="00074842"/>
    <w:rsid w:val="00074ED5"/>
    <w:rsid w:val="00075031"/>
    <w:rsid w:val="0007640C"/>
    <w:rsid w:val="00077D9E"/>
    <w:rsid w:val="0008170F"/>
    <w:rsid w:val="00081C4E"/>
    <w:rsid w:val="0008204A"/>
    <w:rsid w:val="000822E3"/>
    <w:rsid w:val="00083C18"/>
    <w:rsid w:val="000843FE"/>
    <w:rsid w:val="0008508E"/>
    <w:rsid w:val="00087951"/>
    <w:rsid w:val="0009113B"/>
    <w:rsid w:val="00093402"/>
    <w:rsid w:val="000934FA"/>
    <w:rsid w:val="000936BD"/>
    <w:rsid w:val="000939ED"/>
    <w:rsid w:val="00093BCF"/>
    <w:rsid w:val="0009412B"/>
    <w:rsid w:val="00094DA3"/>
    <w:rsid w:val="00095101"/>
    <w:rsid w:val="00096250"/>
    <w:rsid w:val="00096380"/>
    <w:rsid w:val="000967E9"/>
    <w:rsid w:val="00096CD1"/>
    <w:rsid w:val="0009719E"/>
    <w:rsid w:val="0009754E"/>
    <w:rsid w:val="00097AAE"/>
    <w:rsid w:val="000A012C"/>
    <w:rsid w:val="000A0EB9"/>
    <w:rsid w:val="000A186C"/>
    <w:rsid w:val="000A1EA4"/>
    <w:rsid w:val="000A2476"/>
    <w:rsid w:val="000A502C"/>
    <w:rsid w:val="000A5BFD"/>
    <w:rsid w:val="000A625B"/>
    <w:rsid w:val="000A62E3"/>
    <w:rsid w:val="000A641A"/>
    <w:rsid w:val="000A6DF8"/>
    <w:rsid w:val="000A7AE3"/>
    <w:rsid w:val="000B23A0"/>
    <w:rsid w:val="000B3EDB"/>
    <w:rsid w:val="000B543D"/>
    <w:rsid w:val="000B55F9"/>
    <w:rsid w:val="000B5BF7"/>
    <w:rsid w:val="000B6BC8"/>
    <w:rsid w:val="000C0303"/>
    <w:rsid w:val="000C23E7"/>
    <w:rsid w:val="000C2B97"/>
    <w:rsid w:val="000C302A"/>
    <w:rsid w:val="000C32E2"/>
    <w:rsid w:val="000C42EA"/>
    <w:rsid w:val="000C4546"/>
    <w:rsid w:val="000C68FA"/>
    <w:rsid w:val="000C71A6"/>
    <w:rsid w:val="000C789C"/>
    <w:rsid w:val="000D02EC"/>
    <w:rsid w:val="000D1242"/>
    <w:rsid w:val="000D1B43"/>
    <w:rsid w:val="000D1B4C"/>
    <w:rsid w:val="000D2ABA"/>
    <w:rsid w:val="000D2E6B"/>
    <w:rsid w:val="000D59C7"/>
    <w:rsid w:val="000D62F9"/>
    <w:rsid w:val="000D7657"/>
    <w:rsid w:val="000E0457"/>
    <w:rsid w:val="000E07D3"/>
    <w:rsid w:val="000E0970"/>
    <w:rsid w:val="000E1905"/>
    <w:rsid w:val="000E3CC7"/>
    <w:rsid w:val="000E536C"/>
    <w:rsid w:val="000E55E6"/>
    <w:rsid w:val="000E57CE"/>
    <w:rsid w:val="000E6BD4"/>
    <w:rsid w:val="000E6D6D"/>
    <w:rsid w:val="000E6FF1"/>
    <w:rsid w:val="000E7B2B"/>
    <w:rsid w:val="000F1AD6"/>
    <w:rsid w:val="000F1F1E"/>
    <w:rsid w:val="000F2259"/>
    <w:rsid w:val="000F29BA"/>
    <w:rsid w:val="000F2DDA"/>
    <w:rsid w:val="000F2EA0"/>
    <w:rsid w:val="000F2EDD"/>
    <w:rsid w:val="000F40CC"/>
    <w:rsid w:val="000F4B0A"/>
    <w:rsid w:val="000F5213"/>
    <w:rsid w:val="000F5BD2"/>
    <w:rsid w:val="00100560"/>
    <w:rsid w:val="00101001"/>
    <w:rsid w:val="0010108B"/>
    <w:rsid w:val="00101206"/>
    <w:rsid w:val="001018AE"/>
    <w:rsid w:val="00101CA7"/>
    <w:rsid w:val="00103084"/>
    <w:rsid w:val="00103276"/>
    <w:rsid w:val="0010392D"/>
    <w:rsid w:val="0010447F"/>
    <w:rsid w:val="00104FE3"/>
    <w:rsid w:val="001059AC"/>
    <w:rsid w:val="00105A5C"/>
    <w:rsid w:val="00106765"/>
    <w:rsid w:val="0010714F"/>
    <w:rsid w:val="001079F9"/>
    <w:rsid w:val="001110C1"/>
    <w:rsid w:val="001120C5"/>
    <w:rsid w:val="00112877"/>
    <w:rsid w:val="00114327"/>
    <w:rsid w:val="00114466"/>
    <w:rsid w:val="00114F50"/>
    <w:rsid w:val="00115FBA"/>
    <w:rsid w:val="001166B0"/>
    <w:rsid w:val="00116C71"/>
    <w:rsid w:val="00116E33"/>
    <w:rsid w:val="00120BD3"/>
    <w:rsid w:val="00120EDA"/>
    <w:rsid w:val="0012119A"/>
    <w:rsid w:val="0012141D"/>
    <w:rsid w:val="0012259E"/>
    <w:rsid w:val="0012260D"/>
    <w:rsid w:val="0012263F"/>
    <w:rsid w:val="00122FEA"/>
    <w:rsid w:val="001232BD"/>
    <w:rsid w:val="00124E30"/>
    <w:rsid w:val="00124ED5"/>
    <w:rsid w:val="001264E5"/>
    <w:rsid w:val="00127525"/>
    <w:rsid w:val="001276FA"/>
    <w:rsid w:val="0013034A"/>
    <w:rsid w:val="0013115D"/>
    <w:rsid w:val="001406BA"/>
    <w:rsid w:val="00141097"/>
    <w:rsid w:val="00143A60"/>
    <w:rsid w:val="001447B3"/>
    <w:rsid w:val="00147166"/>
    <w:rsid w:val="00147E10"/>
    <w:rsid w:val="00152073"/>
    <w:rsid w:val="00152329"/>
    <w:rsid w:val="00152669"/>
    <w:rsid w:val="00152F86"/>
    <w:rsid w:val="00154473"/>
    <w:rsid w:val="00156598"/>
    <w:rsid w:val="00157E9E"/>
    <w:rsid w:val="00161939"/>
    <w:rsid w:val="00161AA0"/>
    <w:rsid w:val="00161D2E"/>
    <w:rsid w:val="00161F3E"/>
    <w:rsid w:val="00162093"/>
    <w:rsid w:val="00162CA9"/>
    <w:rsid w:val="00163239"/>
    <w:rsid w:val="001634BF"/>
    <w:rsid w:val="00164236"/>
    <w:rsid w:val="00165459"/>
    <w:rsid w:val="00165A57"/>
    <w:rsid w:val="00165CAA"/>
    <w:rsid w:val="00166711"/>
    <w:rsid w:val="001708A9"/>
    <w:rsid w:val="001712C2"/>
    <w:rsid w:val="0017150D"/>
    <w:rsid w:val="00171A9B"/>
    <w:rsid w:val="00171F55"/>
    <w:rsid w:val="0017272F"/>
    <w:rsid w:val="00172BAF"/>
    <w:rsid w:val="00172ED0"/>
    <w:rsid w:val="00174BDE"/>
    <w:rsid w:val="00175C34"/>
    <w:rsid w:val="001761F3"/>
    <w:rsid w:val="0017669A"/>
    <w:rsid w:val="0017674D"/>
    <w:rsid w:val="001771DD"/>
    <w:rsid w:val="00177995"/>
    <w:rsid w:val="00177A8C"/>
    <w:rsid w:val="00180045"/>
    <w:rsid w:val="001816DD"/>
    <w:rsid w:val="00181CDD"/>
    <w:rsid w:val="0018244E"/>
    <w:rsid w:val="00183356"/>
    <w:rsid w:val="00183EAB"/>
    <w:rsid w:val="00184F4C"/>
    <w:rsid w:val="001854C5"/>
    <w:rsid w:val="00185915"/>
    <w:rsid w:val="001864D4"/>
    <w:rsid w:val="00186B33"/>
    <w:rsid w:val="00187E10"/>
    <w:rsid w:val="00187F6E"/>
    <w:rsid w:val="001900D5"/>
    <w:rsid w:val="0019038E"/>
    <w:rsid w:val="00192F9D"/>
    <w:rsid w:val="00194B6C"/>
    <w:rsid w:val="00195768"/>
    <w:rsid w:val="00196EB8"/>
    <w:rsid w:val="00196EFB"/>
    <w:rsid w:val="001979FF"/>
    <w:rsid w:val="00197B17"/>
    <w:rsid w:val="001A07DE"/>
    <w:rsid w:val="001A1950"/>
    <w:rsid w:val="001A1C54"/>
    <w:rsid w:val="001A2DAD"/>
    <w:rsid w:val="001A2FA7"/>
    <w:rsid w:val="001A2FA9"/>
    <w:rsid w:val="001A3307"/>
    <w:rsid w:val="001A359B"/>
    <w:rsid w:val="001A3ACE"/>
    <w:rsid w:val="001A618E"/>
    <w:rsid w:val="001A6272"/>
    <w:rsid w:val="001A64E0"/>
    <w:rsid w:val="001A6591"/>
    <w:rsid w:val="001A7D8A"/>
    <w:rsid w:val="001B0127"/>
    <w:rsid w:val="001B058F"/>
    <w:rsid w:val="001B2F18"/>
    <w:rsid w:val="001B3D41"/>
    <w:rsid w:val="001B6B96"/>
    <w:rsid w:val="001B738B"/>
    <w:rsid w:val="001C09DB"/>
    <w:rsid w:val="001C119E"/>
    <w:rsid w:val="001C222A"/>
    <w:rsid w:val="001C277E"/>
    <w:rsid w:val="001C2A72"/>
    <w:rsid w:val="001C31B7"/>
    <w:rsid w:val="001C370E"/>
    <w:rsid w:val="001C3C23"/>
    <w:rsid w:val="001C4C4A"/>
    <w:rsid w:val="001C5BE3"/>
    <w:rsid w:val="001C6A5B"/>
    <w:rsid w:val="001C7128"/>
    <w:rsid w:val="001D014F"/>
    <w:rsid w:val="001D0B75"/>
    <w:rsid w:val="001D1659"/>
    <w:rsid w:val="001D2084"/>
    <w:rsid w:val="001D3091"/>
    <w:rsid w:val="001D39A5"/>
    <w:rsid w:val="001D3C09"/>
    <w:rsid w:val="001D44E8"/>
    <w:rsid w:val="001D5497"/>
    <w:rsid w:val="001D5B14"/>
    <w:rsid w:val="001D60EC"/>
    <w:rsid w:val="001D68F1"/>
    <w:rsid w:val="001D6F59"/>
    <w:rsid w:val="001E01B2"/>
    <w:rsid w:val="001E0C76"/>
    <w:rsid w:val="001E37E3"/>
    <w:rsid w:val="001E42CE"/>
    <w:rsid w:val="001E44DF"/>
    <w:rsid w:val="001E4F2D"/>
    <w:rsid w:val="001E5D6B"/>
    <w:rsid w:val="001E68A5"/>
    <w:rsid w:val="001E6BB0"/>
    <w:rsid w:val="001E716B"/>
    <w:rsid w:val="001E7282"/>
    <w:rsid w:val="001E7CE9"/>
    <w:rsid w:val="001E7D50"/>
    <w:rsid w:val="001F1131"/>
    <w:rsid w:val="001F22F9"/>
    <w:rsid w:val="001F257B"/>
    <w:rsid w:val="001F28E7"/>
    <w:rsid w:val="001F28F6"/>
    <w:rsid w:val="001F3826"/>
    <w:rsid w:val="001F44A0"/>
    <w:rsid w:val="001F5287"/>
    <w:rsid w:val="001F6AC9"/>
    <w:rsid w:val="001F6E46"/>
    <w:rsid w:val="001F7C91"/>
    <w:rsid w:val="001F7D48"/>
    <w:rsid w:val="00201A2B"/>
    <w:rsid w:val="00202507"/>
    <w:rsid w:val="002033B7"/>
    <w:rsid w:val="00206333"/>
    <w:rsid w:val="00206463"/>
    <w:rsid w:val="00206F2F"/>
    <w:rsid w:val="002071AA"/>
    <w:rsid w:val="00207717"/>
    <w:rsid w:val="00207B31"/>
    <w:rsid w:val="00207CAB"/>
    <w:rsid w:val="00207E0F"/>
    <w:rsid w:val="0021053D"/>
    <w:rsid w:val="00210A92"/>
    <w:rsid w:val="00212B95"/>
    <w:rsid w:val="0021428C"/>
    <w:rsid w:val="00215C2E"/>
    <w:rsid w:val="00215CC8"/>
    <w:rsid w:val="00216C03"/>
    <w:rsid w:val="002200FE"/>
    <w:rsid w:val="00220A1A"/>
    <w:rsid w:val="00220C04"/>
    <w:rsid w:val="00221D39"/>
    <w:rsid w:val="002224F6"/>
    <w:rsid w:val="0022278D"/>
    <w:rsid w:val="00222DE4"/>
    <w:rsid w:val="00223396"/>
    <w:rsid w:val="00223708"/>
    <w:rsid w:val="00224E5A"/>
    <w:rsid w:val="00226496"/>
    <w:rsid w:val="0022653B"/>
    <w:rsid w:val="0022701F"/>
    <w:rsid w:val="00227C68"/>
    <w:rsid w:val="00230AEC"/>
    <w:rsid w:val="00231308"/>
    <w:rsid w:val="00231320"/>
    <w:rsid w:val="00231B13"/>
    <w:rsid w:val="002333F5"/>
    <w:rsid w:val="00233724"/>
    <w:rsid w:val="00233B28"/>
    <w:rsid w:val="00234EA4"/>
    <w:rsid w:val="00235665"/>
    <w:rsid w:val="002365B4"/>
    <w:rsid w:val="00237846"/>
    <w:rsid w:val="0024050D"/>
    <w:rsid w:val="002432E1"/>
    <w:rsid w:val="00244C38"/>
    <w:rsid w:val="00244DBF"/>
    <w:rsid w:val="00246207"/>
    <w:rsid w:val="00246C5E"/>
    <w:rsid w:val="00246E32"/>
    <w:rsid w:val="00247453"/>
    <w:rsid w:val="002503E7"/>
    <w:rsid w:val="002505D1"/>
    <w:rsid w:val="00250960"/>
    <w:rsid w:val="002509D1"/>
    <w:rsid w:val="00251343"/>
    <w:rsid w:val="00252346"/>
    <w:rsid w:val="00252913"/>
    <w:rsid w:val="00252D1D"/>
    <w:rsid w:val="002536A4"/>
    <w:rsid w:val="002536E3"/>
    <w:rsid w:val="00253A3E"/>
    <w:rsid w:val="00254457"/>
    <w:rsid w:val="00254ECE"/>
    <w:rsid w:val="00254F58"/>
    <w:rsid w:val="00255E74"/>
    <w:rsid w:val="00257762"/>
    <w:rsid w:val="00257C49"/>
    <w:rsid w:val="002600BD"/>
    <w:rsid w:val="002603F6"/>
    <w:rsid w:val="00260563"/>
    <w:rsid w:val="00260F01"/>
    <w:rsid w:val="00261B86"/>
    <w:rsid w:val="002620BC"/>
    <w:rsid w:val="00262802"/>
    <w:rsid w:val="00262C89"/>
    <w:rsid w:val="00263A90"/>
    <w:rsid w:val="00263C74"/>
    <w:rsid w:val="0026408B"/>
    <w:rsid w:val="00264625"/>
    <w:rsid w:val="00266A09"/>
    <w:rsid w:val="00266B64"/>
    <w:rsid w:val="00267C3E"/>
    <w:rsid w:val="002709BB"/>
    <w:rsid w:val="00271310"/>
    <w:rsid w:val="0027131C"/>
    <w:rsid w:val="00273B11"/>
    <w:rsid w:val="00273BAC"/>
    <w:rsid w:val="00273E29"/>
    <w:rsid w:val="00274238"/>
    <w:rsid w:val="00274B42"/>
    <w:rsid w:val="00274BD5"/>
    <w:rsid w:val="00275F26"/>
    <w:rsid w:val="002762CC"/>
    <w:rsid w:val="002763B3"/>
    <w:rsid w:val="00277D60"/>
    <w:rsid w:val="002802E3"/>
    <w:rsid w:val="0028154F"/>
    <w:rsid w:val="0028213D"/>
    <w:rsid w:val="00282A7F"/>
    <w:rsid w:val="0028398B"/>
    <w:rsid w:val="002855A5"/>
    <w:rsid w:val="002862F1"/>
    <w:rsid w:val="002864F1"/>
    <w:rsid w:val="00287602"/>
    <w:rsid w:val="00287840"/>
    <w:rsid w:val="00290DC1"/>
    <w:rsid w:val="002910B2"/>
    <w:rsid w:val="00291373"/>
    <w:rsid w:val="002916BA"/>
    <w:rsid w:val="002934F4"/>
    <w:rsid w:val="0029597D"/>
    <w:rsid w:val="00295D64"/>
    <w:rsid w:val="002962C3"/>
    <w:rsid w:val="00297501"/>
    <w:rsid w:val="0029752B"/>
    <w:rsid w:val="002A0323"/>
    <w:rsid w:val="002A0A9C"/>
    <w:rsid w:val="002A119A"/>
    <w:rsid w:val="002A282C"/>
    <w:rsid w:val="002A2E49"/>
    <w:rsid w:val="002A463D"/>
    <w:rsid w:val="002A483C"/>
    <w:rsid w:val="002A492C"/>
    <w:rsid w:val="002B0744"/>
    <w:rsid w:val="002B0C06"/>
    <w:rsid w:val="002B0C7C"/>
    <w:rsid w:val="002B15A7"/>
    <w:rsid w:val="002B1729"/>
    <w:rsid w:val="002B2F63"/>
    <w:rsid w:val="002B3245"/>
    <w:rsid w:val="002B3297"/>
    <w:rsid w:val="002B36C7"/>
    <w:rsid w:val="002B37D6"/>
    <w:rsid w:val="002B4DD4"/>
    <w:rsid w:val="002B5277"/>
    <w:rsid w:val="002B5375"/>
    <w:rsid w:val="002B584F"/>
    <w:rsid w:val="002B71BE"/>
    <w:rsid w:val="002B77C1"/>
    <w:rsid w:val="002C0ED7"/>
    <w:rsid w:val="002C24BD"/>
    <w:rsid w:val="002C25A7"/>
    <w:rsid w:val="002C2728"/>
    <w:rsid w:val="002C3810"/>
    <w:rsid w:val="002C4CE6"/>
    <w:rsid w:val="002C593C"/>
    <w:rsid w:val="002C5B7C"/>
    <w:rsid w:val="002C5BB1"/>
    <w:rsid w:val="002C5C86"/>
    <w:rsid w:val="002C777F"/>
    <w:rsid w:val="002D1E0D"/>
    <w:rsid w:val="002D2208"/>
    <w:rsid w:val="002D5006"/>
    <w:rsid w:val="002D6422"/>
    <w:rsid w:val="002D7C61"/>
    <w:rsid w:val="002E01D0"/>
    <w:rsid w:val="002E0F5B"/>
    <w:rsid w:val="002E1517"/>
    <w:rsid w:val="002E161D"/>
    <w:rsid w:val="002E1F4D"/>
    <w:rsid w:val="002E2199"/>
    <w:rsid w:val="002E28A2"/>
    <w:rsid w:val="002E2D63"/>
    <w:rsid w:val="002E3100"/>
    <w:rsid w:val="002E36A9"/>
    <w:rsid w:val="002E4566"/>
    <w:rsid w:val="002E621D"/>
    <w:rsid w:val="002E6C95"/>
    <w:rsid w:val="002E6D6A"/>
    <w:rsid w:val="002E737A"/>
    <w:rsid w:val="002E7743"/>
    <w:rsid w:val="002E786A"/>
    <w:rsid w:val="002E7BF5"/>
    <w:rsid w:val="002E7C36"/>
    <w:rsid w:val="002F0792"/>
    <w:rsid w:val="002F0C54"/>
    <w:rsid w:val="002F1DCC"/>
    <w:rsid w:val="002F2322"/>
    <w:rsid w:val="002F25F0"/>
    <w:rsid w:val="002F3D32"/>
    <w:rsid w:val="002F5500"/>
    <w:rsid w:val="002F5F31"/>
    <w:rsid w:val="002F5F46"/>
    <w:rsid w:val="002F640E"/>
    <w:rsid w:val="002F6DA6"/>
    <w:rsid w:val="002F76EA"/>
    <w:rsid w:val="0030002E"/>
    <w:rsid w:val="00302216"/>
    <w:rsid w:val="00302555"/>
    <w:rsid w:val="0030347D"/>
    <w:rsid w:val="00303E53"/>
    <w:rsid w:val="00305660"/>
    <w:rsid w:val="003058FD"/>
    <w:rsid w:val="00305CC1"/>
    <w:rsid w:val="00306E5F"/>
    <w:rsid w:val="0030770A"/>
    <w:rsid w:val="00307C1C"/>
    <w:rsid w:val="00307E14"/>
    <w:rsid w:val="0031005D"/>
    <w:rsid w:val="00311E66"/>
    <w:rsid w:val="00314054"/>
    <w:rsid w:val="003148B3"/>
    <w:rsid w:val="00314BCA"/>
    <w:rsid w:val="00316F27"/>
    <w:rsid w:val="003203B6"/>
    <w:rsid w:val="003214F1"/>
    <w:rsid w:val="0032272D"/>
    <w:rsid w:val="00322E4B"/>
    <w:rsid w:val="003230FC"/>
    <w:rsid w:val="00323C3F"/>
    <w:rsid w:val="0032431F"/>
    <w:rsid w:val="003252F0"/>
    <w:rsid w:val="0032667F"/>
    <w:rsid w:val="00327870"/>
    <w:rsid w:val="003303D1"/>
    <w:rsid w:val="0033061E"/>
    <w:rsid w:val="00330779"/>
    <w:rsid w:val="0033259D"/>
    <w:rsid w:val="003333D2"/>
    <w:rsid w:val="00334686"/>
    <w:rsid w:val="003350EA"/>
    <w:rsid w:val="003366D3"/>
    <w:rsid w:val="00337339"/>
    <w:rsid w:val="00337E73"/>
    <w:rsid w:val="00340345"/>
    <w:rsid w:val="003406C6"/>
    <w:rsid w:val="003418CC"/>
    <w:rsid w:val="00341C7A"/>
    <w:rsid w:val="00341F9C"/>
    <w:rsid w:val="00342300"/>
    <w:rsid w:val="00342A37"/>
    <w:rsid w:val="003434EE"/>
    <w:rsid w:val="003459BD"/>
    <w:rsid w:val="00346963"/>
    <w:rsid w:val="00346BF8"/>
    <w:rsid w:val="00346CF2"/>
    <w:rsid w:val="00347CB4"/>
    <w:rsid w:val="00350D38"/>
    <w:rsid w:val="003510A7"/>
    <w:rsid w:val="0035196C"/>
    <w:rsid w:val="00351B36"/>
    <w:rsid w:val="00351ECB"/>
    <w:rsid w:val="00354422"/>
    <w:rsid w:val="003573D1"/>
    <w:rsid w:val="00357B4E"/>
    <w:rsid w:val="00357E2E"/>
    <w:rsid w:val="0036162B"/>
    <w:rsid w:val="00362B3B"/>
    <w:rsid w:val="003636B0"/>
    <w:rsid w:val="00363909"/>
    <w:rsid w:val="00364E37"/>
    <w:rsid w:val="00366328"/>
    <w:rsid w:val="00366BE1"/>
    <w:rsid w:val="003716FD"/>
    <w:rsid w:val="0037204B"/>
    <w:rsid w:val="0037222C"/>
    <w:rsid w:val="00372E67"/>
    <w:rsid w:val="003744CF"/>
    <w:rsid w:val="00374717"/>
    <w:rsid w:val="00375154"/>
    <w:rsid w:val="0037676C"/>
    <w:rsid w:val="00380724"/>
    <w:rsid w:val="00381043"/>
    <w:rsid w:val="00381A59"/>
    <w:rsid w:val="003829E5"/>
    <w:rsid w:val="00382DE5"/>
    <w:rsid w:val="003839D9"/>
    <w:rsid w:val="0038445E"/>
    <w:rsid w:val="003845E3"/>
    <w:rsid w:val="00385EAA"/>
    <w:rsid w:val="00385F94"/>
    <w:rsid w:val="00386109"/>
    <w:rsid w:val="00386944"/>
    <w:rsid w:val="00386AE9"/>
    <w:rsid w:val="00387556"/>
    <w:rsid w:val="003900B7"/>
    <w:rsid w:val="0039029C"/>
    <w:rsid w:val="00391CCD"/>
    <w:rsid w:val="00393345"/>
    <w:rsid w:val="003956CC"/>
    <w:rsid w:val="00395BA5"/>
    <w:rsid w:val="00395C9A"/>
    <w:rsid w:val="003977C9"/>
    <w:rsid w:val="00397989"/>
    <w:rsid w:val="00397A31"/>
    <w:rsid w:val="003A06F5"/>
    <w:rsid w:val="003A0853"/>
    <w:rsid w:val="003A1E21"/>
    <w:rsid w:val="003A4466"/>
    <w:rsid w:val="003A46BF"/>
    <w:rsid w:val="003A5676"/>
    <w:rsid w:val="003A5DEF"/>
    <w:rsid w:val="003A61F3"/>
    <w:rsid w:val="003A6B67"/>
    <w:rsid w:val="003B13B6"/>
    <w:rsid w:val="003B14C3"/>
    <w:rsid w:val="003B15E6"/>
    <w:rsid w:val="003B214C"/>
    <w:rsid w:val="003B22EF"/>
    <w:rsid w:val="003B3FD1"/>
    <w:rsid w:val="003B408A"/>
    <w:rsid w:val="003B5917"/>
    <w:rsid w:val="003B5BEA"/>
    <w:rsid w:val="003B7003"/>
    <w:rsid w:val="003B7898"/>
    <w:rsid w:val="003C08A2"/>
    <w:rsid w:val="003C117B"/>
    <w:rsid w:val="003C2045"/>
    <w:rsid w:val="003C40AC"/>
    <w:rsid w:val="003C40BE"/>
    <w:rsid w:val="003C43A1"/>
    <w:rsid w:val="003C496E"/>
    <w:rsid w:val="003C4FC0"/>
    <w:rsid w:val="003C52D1"/>
    <w:rsid w:val="003C55F4"/>
    <w:rsid w:val="003C5A39"/>
    <w:rsid w:val="003C7897"/>
    <w:rsid w:val="003C7A3F"/>
    <w:rsid w:val="003C7C22"/>
    <w:rsid w:val="003D0442"/>
    <w:rsid w:val="003D0DA0"/>
    <w:rsid w:val="003D17CA"/>
    <w:rsid w:val="003D2490"/>
    <w:rsid w:val="003D2766"/>
    <w:rsid w:val="003D2A74"/>
    <w:rsid w:val="003D2DDA"/>
    <w:rsid w:val="003D3D88"/>
    <w:rsid w:val="003D3E8F"/>
    <w:rsid w:val="003D405C"/>
    <w:rsid w:val="003D494E"/>
    <w:rsid w:val="003D4B8F"/>
    <w:rsid w:val="003D6475"/>
    <w:rsid w:val="003D6EE6"/>
    <w:rsid w:val="003D6F78"/>
    <w:rsid w:val="003D6FA5"/>
    <w:rsid w:val="003D79CB"/>
    <w:rsid w:val="003E1FB9"/>
    <w:rsid w:val="003E375C"/>
    <w:rsid w:val="003E4086"/>
    <w:rsid w:val="003E4497"/>
    <w:rsid w:val="003E4BE4"/>
    <w:rsid w:val="003E4D64"/>
    <w:rsid w:val="003E5EF4"/>
    <w:rsid w:val="003E639E"/>
    <w:rsid w:val="003E71E5"/>
    <w:rsid w:val="003E75F2"/>
    <w:rsid w:val="003F0329"/>
    <w:rsid w:val="003F0445"/>
    <w:rsid w:val="003F0634"/>
    <w:rsid w:val="003F0CF0"/>
    <w:rsid w:val="003F0DAB"/>
    <w:rsid w:val="003F14B1"/>
    <w:rsid w:val="003F286D"/>
    <w:rsid w:val="003F2B20"/>
    <w:rsid w:val="003F3289"/>
    <w:rsid w:val="003F3C62"/>
    <w:rsid w:val="003F3DD6"/>
    <w:rsid w:val="003F4123"/>
    <w:rsid w:val="003F59B1"/>
    <w:rsid w:val="003F5CB9"/>
    <w:rsid w:val="004004AE"/>
    <w:rsid w:val="00400ADE"/>
    <w:rsid w:val="004013C7"/>
    <w:rsid w:val="00401FCF"/>
    <w:rsid w:val="00402BB3"/>
    <w:rsid w:val="00403070"/>
    <w:rsid w:val="00404362"/>
    <w:rsid w:val="004059E2"/>
    <w:rsid w:val="00406285"/>
    <w:rsid w:val="00406FAE"/>
    <w:rsid w:val="004077A3"/>
    <w:rsid w:val="00410599"/>
    <w:rsid w:val="00410ADA"/>
    <w:rsid w:val="004115A2"/>
    <w:rsid w:val="004124E9"/>
    <w:rsid w:val="00414116"/>
    <w:rsid w:val="004148F9"/>
    <w:rsid w:val="00417BF4"/>
    <w:rsid w:val="004205E8"/>
    <w:rsid w:val="0042084E"/>
    <w:rsid w:val="00421077"/>
    <w:rsid w:val="004217E3"/>
    <w:rsid w:val="00421EEF"/>
    <w:rsid w:val="00423817"/>
    <w:rsid w:val="00424D12"/>
    <w:rsid w:val="00424D65"/>
    <w:rsid w:val="0042526D"/>
    <w:rsid w:val="00425A7E"/>
    <w:rsid w:val="00430393"/>
    <w:rsid w:val="00430864"/>
    <w:rsid w:val="00431531"/>
    <w:rsid w:val="00431806"/>
    <w:rsid w:val="00431A70"/>
    <w:rsid w:val="00431DF3"/>
    <w:rsid w:val="00431F42"/>
    <w:rsid w:val="00434BF5"/>
    <w:rsid w:val="00435055"/>
    <w:rsid w:val="00436065"/>
    <w:rsid w:val="00436725"/>
    <w:rsid w:val="00436894"/>
    <w:rsid w:val="00440880"/>
    <w:rsid w:val="0044111F"/>
    <w:rsid w:val="00441D95"/>
    <w:rsid w:val="00442209"/>
    <w:rsid w:val="00442C6C"/>
    <w:rsid w:val="00443CBE"/>
    <w:rsid w:val="00443E8A"/>
    <w:rsid w:val="00444138"/>
    <w:rsid w:val="0044419E"/>
    <w:rsid w:val="004441BC"/>
    <w:rsid w:val="00444AF5"/>
    <w:rsid w:val="004457AD"/>
    <w:rsid w:val="004468B4"/>
    <w:rsid w:val="00446D86"/>
    <w:rsid w:val="00447EEB"/>
    <w:rsid w:val="0045230A"/>
    <w:rsid w:val="004534EA"/>
    <w:rsid w:val="00454AD0"/>
    <w:rsid w:val="004561A4"/>
    <w:rsid w:val="00457337"/>
    <w:rsid w:val="00460F5B"/>
    <w:rsid w:val="00461A09"/>
    <w:rsid w:val="004626D5"/>
    <w:rsid w:val="00462B69"/>
    <w:rsid w:val="00462E3D"/>
    <w:rsid w:val="004630ED"/>
    <w:rsid w:val="00463336"/>
    <w:rsid w:val="0046454C"/>
    <w:rsid w:val="00465E6C"/>
    <w:rsid w:val="00466883"/>
    <w:rsid w:val="00466E79"/>
    <w:rsid w:val="00467725"/>
    <w:rsid w:val="004678B2"/>
    <w:rsid w:val="0046791E"/>
    <w:rsid w:val="004703E9"/>
    <w:rsid w:val="004708D6"/>
    <w:rsid w:val="00470D7D"/>
    <w:rsid w:val="004710FB"/>
    <w:rsid w:val="00472CE1"/>
    <w:rsid w:val="004735E7"/>
    <w:rsid w:val="00473699"/>
    <w:rsid w:val="0047372D"/>
    <w:rsid w:val="00473BA3"/>
    <w:rsid w:val="004743DD"/>
    <w:rsid w:val="00474CEA"/>
    <w:rsid w:val="004750D1"/>
    <w:rsid w:val="00475911"/>
    <w:rsid w:val="0047605E"/>
    <w:rsid w:val="004823D7"/>
    <w:rsid w:val="00482B27"/>
    <w:rsid w:val="00482CFE"/>
    <w:rsid w:val="00483968"/>
    <w:rsid w:val="004841BE"/>
    <w:rsid w:val="00484F86"/>
    <w:rsid w:val="00490746"/>
    <w:rsid w:val="00490852"/>
    <w:rsid w:val="00491C9C"/>
    <w:rsid w:val="00492F30"/>
    <w:rsid w:val="0049327A"/>
    <w:rsid w:val="004946F4"/>
    <w:rsid w:val="0049487E"/>
    <w:rsid w:val="0049632E"/>
    <w:rsid w:val="0049742B"/>
    <w:rsid w:val="004A07BC"/>
    <w:rsid w:val="004A160D"/>
    <w:rsid w:val="004A1B70"/>
    <w:rsid w:val="004A28CE"/>
    <w:rsid w:val="004A3E81"/>
    <w:rsid w:val="004A4195"/>
    <w:rsid w:val="004A4D80"/>
    <w:rsid w:val="004A5C62"/>
    <w:rsid w:val="004A5CD5"/>
    <w:rsid w:val="004A5CE5"/>
    <w:rsid w:val="004A707D"/>
    <w:rsid w:val="004A7913"/>
    <w:rsid w:val="004B0089"/>
    <w:rsid w:val="004B0974"/>
    <w:rsid w:val="004B143C"/>
    <w:rsid w:val="004B14B9"/>
    <w:rsid w:val="004B1A96"/>
    <w:rsid w:val="004B23D8"/>
    <w:rsid w:val="004B2DE4"/>
    <w:rsid w:val="004B3427"/>
    <w:rsid w:val="004B4185"/>
    <w:rsid w:val="004B45FC"/>
    <w:rsid w:val="004B50B5"/>
    <w:rsid w:val="004B530D"/>
    <w:rsid w:val="004B571A"/>
    <w:rsid w:val="004B74ED"/>
    <w:rsid w:val="004B7AD4"/>
    <w:rsid w:val="004C014B"/>
    <w:rsid w:val="004C0511"/>
    <w:rsid w:val="004C25A3"/>
    <w:rsid w:val="004C3686"/>
    <w:rsid w:val="004C40F8"/>
    <w:rsid w:val="004C5273"/>
    <w:rsid w:val="004C5541"/>
    <w:rsid w:val="004C6D3F"/>
    <w:rsid w:val="004C6EEE"/>
    <w:rsid w:val="004C702B"/>
    <w:rsid w:val="004C76EB"/>
    <w:rsid w:val="004D0033"/>
    <w:rsid w:val="004D016B"/>
    <w:rsid w:val="004D0643"/>
    <w:rsid w:val="004D1809"/>
    <w:rsid w:val="004D1B22"/>
    <w:rsid w:val="004D23CC"/>
    <w:rsid w:val="004D2425"/>
    <w:rsid w:val="004D36F2"/>
    <w:rsid w:val="004D59BC"/>
    <w:rsid w:val="004D5BC6"/>
    <w:rsid w:val="004D7095"/>
    <w:rsid w:val="004E0A10"/>
    <w:rsid w:val="004E1106"/>
    <w:rsid w:val="004E138F"/>
    <w:rsid w:val="004E1E42"/>
    <w:rsid w:val="004E2005"/>
    <w:rsid w:val="004E2BDB"/>
    <w:rsid w:val="004E4649"/>
    <w:rsid w:val="004E4809"/>
    <w:rsid w:val="004E4E87"/>
    <w:rsid w:val="004E5C2B"/>
    <w:rsid w:val="004E680F"/>
    <w:rsid w:val="004E7DF1"/>
    <w:rsid w:val="004F00DD"/>
    <w:rsid w:val="004F2133"/>
    <w:rsid w:val="004F2C1D"/>
    <w:rsid w:val="004F32EC"/>
    <w:rsid w:val="004F400F"/>
    <w:rsid w:val="004F45B5"/>
    <w:rsid w:val="004F4B38"/>
    <w:rsid w:val="004F5271"/>
    <w:rsid w:val="004F5398"/>
    <w:rsid w:val="004F5563"/>
    <w:rsid w:val="004F55F1"/>
    <w:rsid w:val="004F6936"/>
    <w:rsid w:val="004F6A9B"/>
    <w:rsid w:val="004F7C56"/>
    <w:rsid w:val="0050262B"/>
    <w:rsid w:val="005037E0"/>
    <w:rsid w:val="00503BA3"/>
    <w:rsid w:val="00503DC6"/>
    <w:rsid w:val="00506F5D"/>
    <w:rsid w:val="005076DB"/>
    <w:rsid w:val="00507AEC"/>
    <w:rsid w:val="00510C37"/>
    <w:rsid w:val="005118B1"/>
    <w:rsid w:val="005126D0"/>
    <w:rsid w:val="00512E88"/>
    <w:rsid w:val="005135AB"/>
    <w:rsid w:val="005139F5"/>
    <w:rsid w:val="005143C6"/>
    <w:rsid w:val="00514667"/>
    <w:rsid w:val="0051539C"/>
    <w:rsid w:val="0051568D"/>
    <w:rsid w:val="005165B7"/>
    <w:rsid w:val="00516ECB"/>
    <w:rsid w:val="00520377"/>
    <w:rsid w:val="005210C8"/>
    <w:rsid w:val="00521791"/>
    <w:rsid w:val="0052223B"/>
    <w:rsid w:val="00523819"/>
    <w:rsid w:val="00523A24"/>
    <w:rsid w:val="00523A25"/>
    <w:rsid w:val="00526AC7"/>
    <w:rsid w:val="00526C15"/>
    <w:rsid w:val="005302C4"/>
    <w:rsid w:val="0053463C"/>
    <w:rsid w:val="00536499"/>
    <w:rsid w:val="005417CF"/>
    <w:rsid w:val="00541929"/>
    <w:rsid w:val="00541CD9"/>
    <w:rsid w:val="00542A03"/>
    <w:rsid w:val="00543903"/>
    <w:rsid w:val="00543BCC"/>
    <w:rsid w:val="00543F11"/>
    <w:rsid w:val="00546305"/>
    <w:rsid w:val="00546937"/>
    <w:rsid w:val="00546B40"/>
    <w:rsid w:val="00547A95"/>
    <w:rsid w:val="0055119B"/>
    <w:rsid w:val="005539F3"/>
    <w:rsid w:val="0055430A"/>
    <w:rsid w:val="00555BC3"/>
    <w:rsid w:val="0055637A"/>
    <w:rsid w:val="00557E7C"/>
    <w:rsid w:val="00561202"/>
    <w:rsid w:val="005612DD"/>
    <w:rsid w:val="00562507"/>
    <w:rsid w:val="00562811"/>
    <w:rsid w:val="00562EC7"/>
    <w:rsid w:val="005636D4"/>
    <w:rsid w:val="005639C2"/>
    <w:rsid w:val="00563EA8"/>
    <w:rsid w:val="00564710"/>
    <w:rsid w:val="00566BD0"/>
    <w:rsid w:val="00567B9A"/>
    <w:rsid w:val="00567E93"/>
    <w:rsid w:val="00572031"/>
    <w:rsid w:val="00572282"/>
    <w:rsid w:val="00573CE3"/>
    <w:rsid w:val="00573D27"/>
    <w:rsid w:val="00573F91"/>
    <w:rsid w:val="00576624"/>
    <w:rsid w:val="00576E84"/>
    <w:rsid w:val="00577390"/>
    <w:rsid w:val="00577F5D"/>
    <w:rsid w:val="00580394"/>
    <w:rsid w:val="005806A9"/>
    <w:rsid w:val="005809CD"/>
    <w:rsid w:val="005813E0"/>
    <w:rsid w:val="00581E3C"/>
    <w:rsid w:val="005820FC"/>
    <w:rsid w:val="00582B8C"/>
    <w:rsid w:val="00584B04"/>
    <w:rsid w:val="00585B09"/>
    <w:rsid w:val="005861E9"/>
    <w:rsid w:val="00586450"/>
    <w:rsid w:val="0058683A"/>
    <w:rsid w:val="0058757E"/>
    <w:rsid w:val="00590EB9"/>
    <w:rsid w:val="00593E19"/>
    <w:rsid w:val="00594088"/>
    <w:rsid w:val="00594D44"/>
    <w:rsid w:val="0059503E"/>
    <w:rsid w:val="00596A4B"/>
    <w:rsid w:val="00596D99"/>
    <w:rsid w:val="00597507"/>
    <w:rsid w:val="005A0C38"/>
    <w:rsid w:val="005A0E12"/>
    <w:rsid w:val="005A199F"/>
    <w:rsid w:val="005A479D"/>
    <w:rsid w:val="005A4A2B"/>
    <w:rsid w:val="005A4A69"/>
    <w:rsid w:val="005A53B3"/>
    <w:rsid w:val="005A61AA"/>
    <w:rsid w:val="005B1C6D"/>
    <w:rsid w:val="005B21B6"/>
    <w:rsid w:val="005B2884"/>
    <w:rsid w:val="005B392B"/>
    <w:rsid w:val="005B3A08"/>
    <w:rsid w:val="005B6AB9"/>
    <w:rsid w:val="005B7A63"/>
    <w:rsid w:val="005C0955"/>
    <w:rsid w:val="005C2C66"/>
    <w:rsid w:val="005C43B5"/>
    <w:rsid w:val="005C49DA"/>
    <w:rsid w:val="005C4F58"/>
    <w:rsid w:val="005C5045"/>
    <w:rsid w:val="005C50F3"/>
    <w:rsid w:val="005C54B5"/>
    <w:rsid w:val="005C5D80"/>
    <w:rsid w:val="005C5D91"/>
    <w:rsid w:val="005C6470"/>
    <w:rsid w:val="005C6DAF"/>
    <w:rsid w:val="005C7313"/>
    <w:rsid w:val="005D013D"/>
    <w:rsid w:val="005D07B8"/>
    <w:rsid w:val="005D0866"/>
    <w:rsid w:val="005D2291"/>
    <w:rsid w:val="005D2639"/>
    <w:rsid w:val="005D4D25"/>
    <w:rsid w:val="005D4E39"/>
    <w:rsid w:val="005D6597"/>
    <w:rsid w:val="005D6861"/>
    <w:rsid w:val="005D6A3A"/>
    <w:rsid w:val="005D7CEF"/>
    <w:rsid w:val="005D7E8D"/>
    <w:rsid w:val="005E1195"/>
    <w:rsid w:val="005E14E7"/>
    <w:rsid w:val="005E152F"/>
    <w:rsid w:val="005E26A3"/>
    <w:rsid w:val="005E2BD3"/>
    <w:rsid w:val="005E2ECB"/>
    <w:rsid w:val="005E3971"/>
    <w:rsid w:val="005E447E"/>
    <w:rsid w:val="005E474A"/>
    <w:rsid w:val="005E4A16"/>
    <w:rsid w:val="005E4FD1"/>
    <w:rsid w:val="005E5307"/>
    <w:rsid w:val="005E5F68"/>
    <w:rsid w:val="005E5FE8"/>
    <w:rsid w:val="005F00D2"/>
    <w:rsid w:val="005F0775"/>
    <w:rsid w:val="005F0BF1"/>
    <w:rsid w:val="005F0CF5"/>
    <w:rsid w:val="005F21EB"/>
    <w:rsid w:val="005F4DFB"/>
    <w:rsid w:val="005F5B61"/>
    <w:rsid w:val="005F64CF"/>
    <w:rsid w:val="005F6C7A"/>
    <w:rsid w:val="006013F4"/>
    <w:rsid w:val="00601E52"/>
    <w:rsid w:val="00603F28"/>
    <w:rsid w:val="006041AD"/>
    <w:rsid w:val="00605908"/>
    <w:rsid w:val="006062A2"/>
    <w:rsid w:val="00606570"/>
    <w:rsid w:val="00606B78"/>
    <w:rsid w:val="00607850"/>
    <w:rsid w:val="00607A51"/>
    <w:rsid w:val="00607EF7"/>
    <w:rsid w:val="006101FE"/>
    <w:rsid w:val="00610A86"/>
    <w:rsid w:val="00610D7C"/>
    <w:rsid w:val="00613414"/>
    <w:rsid w:val="00613DC4"/>
    <w:rsid w:val="006146BE"/>
    <w:rsid w:val="0061643F"/>
    <w:rsid w:val="00616BD3"/>
    <w:rsid w:val="006175B0"/>
    <w:rsid w:val="00620153"/>
    <w:rsid w:val="00620154"/>
    <w:rsid w:val="00621A87"/>
    <w:rsid w:val="006227C5"/>
    <w:rsid w:val="006237C6"/>
    <w:rsid w:val="0062408D"/>
    <w:rsid w:val="006240CC"/>
    <w:rsid w:val="00624940"/>
    <w:rsid w:val="006254F8"/>
    <w:rsid w:val="006261D2"/>
    <w:rsid w:val="00627CDB"/>
    <w:rsid w:val="00627DA7"/>
    <w:rsid w:val="00630259"/>
    <w:rsid w:val="006306C8"/>
    <w:rsid w:val="00630DA4"/>
    <w:rsid w:val="006314B3"/>
    <w:rsid w:val="00631CD4"/>
    <w:rsid w:val="00632597"/>
    <w:rsid w:val="00632A3B"/>
    <w:rsid w:val="00634D13"/>
    <w:rsid w:val="006358B4"/>
    <w:rsid w:val="006359F8"/>
    <w:rsid w:val="00636443"/>
    <w:rsid w:val="00641724"/>
    <w:rsid w:val="006419AA"/>
    <w:rsid w:val="006426E3"/>
    <w:rsid w:val="00644B1F"/>
    <w:rsid w:val="00644B7E"/>
    <w:rsid w:val="006454E6"/>
    <w:rsid w:val="006457F7"/>
    <w:rsid w:val="00645C29"/>
    <w:rsid w:val="00646235"/>
    <w:rsid w:val="006465C8"/>
    <w:rsid w:val="006468B0"/>
    <w:rsid w:val="00646A68"/>
    <w:rsid w:val="00646DCD"/>
    <w:rsid w:val="00647653"/>
    <w:rsid w:val="006505BD"/>
    <w:rsid w:val="006508EA"/>
    <w:rsid w:val="0065092E"/>
    <w:rsid w:val="00651E43"/>
    <w:rsid w:val="00653969"/>
    <w:rsid w:val="0065491B"/>
    <w:rsid w:val="006554F0"/>
    <w:rsid w:val="006557A7"/>
    <w:rsid w:val="00656290"/>
    <w:rsid w:val="006565B4"/>
    <w:rsid w:val="00656C2F"/>
    <w:rsid w:val="006574E9"/>
    <w:rsid w:val="00657ED0"/>
    <w:rsid w:val="006600C6"/>
    <w:rsid w:val="006601C9"/>
    <w:rsid w:val="006608D8"/>
    <w:rsid w:val="00660AD3"/>
    <w:rsid w:val="006621D7"/>
    <w:rsid w:val="006629D2"/>
    <w:rsid w:val="0066302A"/>
    <w:rsid w:val="00664234"/>
    <w:rsid w:val="00664254"/>
    <w:rsid w:val="00666927"/>
    <w:rsid w:val="00667770"/>
    <w:rsid w:val="00670597"/>
    <w:rsid w:val="006706D0"/>
    <w:rsid w:val="00671125"/>
    <w:rsid w:val="00671B29"/>
    <w:rsid w:val="006726BB"/>
    <w:rsid w:val="00674DF8"/>
    <w:rsid w:val="00677574"/>
    <w:rsid w:val="006812ED"/>
    <w:rsid w:val="00682EB0"/>
    <w:rsid w:val="00683878"/>
    <w:rsid w:val="00684380"/>
    <w:rsid w:val="0068454C"/>
    <w:rsid w:val="006848A1"/>
    <w:rsid w:val="006852F4"/>
    <w:rsid w:val="00686D27"/>
    <w:rsid w:val="00686D92"/>
    <w:rsid w:val="00687ED9"/>
    <w:rsid w:val="0069086E"/>
    <w:rsid w:val="00690C12"/>
    <w:rsid w:val="00691B62"/>
    <w:rsid w:val="00692145"/>
    <w:rsid w:val="006933B5"/>
    <w:rsid w:val="00693546"/>
    <w:rsid w:val="00693B3D"/>
    <w:rsid w:val="00693D14"/>
    <w:rsid w:val="00696F27"/>
    <w:rsid w:val="006A0252"/>
    <w:rsid w:val="006A0F1F"/>
    <w:rsid w:val="006A15E5"/>
    <w:rsid w:val="006A18C2"/>
    <w:rsid w:val="006A2717"/>
    <w:rsid w:val="006A287D"/>
    <w:rsid w:val="006A3383"/>
    <w:rsid w:val="006A4D94"/>
    <w:rsid w:val="006A50DD"/>
    <w:rsid w:val="006A654D"/>
    <w:rsid w:val="006B077C"/>
    <w:rsid w:val="006B0C81"/>
    <w:rsid w:val="006B0C8B"/>
    <w:rsid w:val="006B0F81"/>
    <w:rsid w:val="006B14FD"/>
    <w:rsid w:val="006B20AC"/>
    <w:rsid w:val="006B47D8"/>
    <w:rsid w:val="006B6803"/>
    <w:rsid w:val="006C1881"/>
    <w:rsid w:val="006C26B8"/>
    <w:rsid w:val="006C3752"/>
    <w:rsid w:val="006C4E4A"/>
    <w:rsid w:val="006C5354"/>
    <w:rsid w:val="006C55A8"/>
    <w:rsid w:val="006C5D54"/>
    <w:rsid w:val="006C6E20"/>
    <w:rsid w:val="006C7842"/>
    <w:rsid w:val="006D0F16"/>
    <w:rsid w:val="006D1DAF"/>
    <w:rsid w:val="006D2A3F"/>
    <w:rsid w:val="006D2FBC"/>
    <w:rsid w:val="006D3EF9"/>
    <w:rsid w:val="006D4CD9"/>
    <w:rsid w:val="006D63F5"/>
    <w:rsid w:val="006D6BF8"/>
    <w:rsid w:val="006D6E34"/>
    <w:rsid w:val="006D79CD"/>
    <w:rsid w:val="006D7E1C"/>
    <w:rsid w:val="006D7F94"/>
    <w:rsid w:val="006E0916"/>
    <w:rsid w:val="006E127F"/>
    <w:rsid w:val="006E138B"/>
    <w:rsid w:val="006E1814"/>
    <w:rsid w:val="006E1867"/>
    <w:rsid w:val="006E50D3"/>
    <w:rsid w:val="006E5B0E"/>
    <w:rsid w:val="006E7EFF"/>
    <w:rsid w:val="006F0330"/>
    <w:rsid w:val="006F1FDC"/>
    <w:rsid w:val="006F2D5E"/>
    <w:rsid w:val="006F3249"/>
    <w:rsid w:val="006F5076"/>
    <w:rsid w:val="006F6B76"/>
    <w:rsid w:val="006F6B8C"/>
    <w:rsid w:val="006F6EE2"/>
    <w:rsid w:val="0070124F"/>
    <w:rsid w:val="007013EF"/>
    <w:rsid w:val="0070179D"/>
    <w:rsid w:val="00703550"/>
    <w:rsid w:val="0070498F"/>
    <w:rsid w:val="007055BD"/>
    <w:rsid w:val="007059F2"/>
    <w:rsid w:val="007077A0"/>
    <w:rsid w:val="00707ACD"/>
    <w:rsid w:val="00707DB7"/>
    <w:rsid w:val="00711D6B"/>
    <w:rsid w:val="00713E5F"/>
    <w:rsid w:val="007141E3"/>
    <w:rsid w:val="0071461B"/>
    <w:rsid w:val="00714DCD"/>
    <w:rsid w:val="007158C0"/>
    <w:rsid w:val="00716309"/>
    <w:rsid w:val="00716A95"/>
    <w:rsid w:val="007173CA"/>
    <w:rsid w:val="007216AA"/>
    <w:rsid w:val="00721AB5"/>
    <w:rsid w:val="00721CFB"/>
    <w:rsid w:val="00721DEF"/>
    <w:rsid w:val="00723553"/>
    <w:rsid w:val="00724A43"/>
    <w:rsid w:val="00727247"/>
    <w:rsid w:val="007273AC"/>
    <w:rsid w:val="00730942"/>
    <w:rsid w:val="00730A5D"/>
    <w:rsid w:val="00731AD4"/>
    <w:rsid w:val="00731BE5"/>
    <w:rsid w:val="00733D25"/>
    <w:rsid w:val="0073434D"/>
    <w:rsid w:val="007343F5"/>
    <w:rsid w:val="007346E4"/>
    <w:rsid w:val="00734ECE"/>
    <w:rsid w:val="00735564"/>
    <w:rsid w:val="00736FEE"/>
    <w:rsid w:val="0074093E"/>
    <w:rsid w:val="00740F22"/>
    <w:rsid w:val="00741CF0"/>
    <w:rsid w:val="00741CFE"/>
    <w:rsid w:val="00741E5F"/>
    <w:rsid w:val="00741F1A"/>
    <w:rsid w:val="007428F1"/>
    <w:rsid w:val="00742AB0"/>
    <w:rsid w:val="007441EE"/>
    <w:rsid w:val="007447DA"/>
    <w:rsid w:val="00744D4F"/>
    <w:rsid w:val="007450F8"/>
    <w:rsid w:val="00745363"/>
    <w:rsid w:val="0074696E"/>
    <w:rsid w:val="00746FBC"/>
    <w:rsid w:val="00747959"/>
    <w:rsid w:val="00750135"/>
    <w:rsid w:val="00750EC2"/>
    <w:rsid w:val="007528BB"/>
    <w:rsid w:val="00752B28"/>
    <w:rsid w:val="00752FFE"/>
    <w:rsid w:val="007536BC"/>
    <w:rsid w:val="00754024"/>
    <w:rsid w:val="007541A9"/>
    <w:rsid w:val="00754E36"/>
    <w:rsid w:val="00754FB2"/>
    <w:rsid w:val="007550EA"/>
    <w:rsid w:val="007557B8"/>
    <w:rsid w:val="00757252"/>
    <w:rsid w:val="0076092C"/>
    <w:rsid w:val="0076253E"/>
    <w:rsid w:val="00762B5F"/>
    <w:rsid w:val="00763139"/>
    <w:rsid w:val="00763D40"/>
    <w:rsid w:val="00765083"/>
    <w:rsid w:val="00765174"/>
    <w:rsid w:val="00765A05"/>
    <w:rsid w:val="00765BEC"/>
    <w:rsid w:val="00765EAA"/>
    <w:rsid w:val="00766F8B"/>
    <w:rsid w:val="00767260"/>
    <w:rsid w:val="00770F37"/>
    <w:rsid w:val="007711A0"/>
    <w:rsid w:val="00771532"/>
    <w:rsid w:val="00772D5E"/>
    <w:rsid w:val="0077367B"/>
    <w:rsid w:val="0077463E"/>
    <w:rsid w:val="00776928"/>
    <w:rsid w:val="00776D56"/>
    <w:rsid w:val="00776E0F"/>
    <w:rsid w:val="007774B1"/>
    <w:rsid w:val="00777BE1"/>
    <w:rsid w:val="007804F2"/>
    <w:rsid w:val="00780B8B"/>
    <w:rsid w:val="00781601"/>
    <w:rsid w:val="007816CD"/>
    <w:rsid w:val="00782222"/>
    <w:rsid w:val="00782496"/>
    <w:rsid w:val="0078297E"/>
    <w:rsid w:val="007833D8"/>
    <w:rsid w:val="00784AF5"/>
    <w:rsid w:val="00785552"/>
    <w:rsid w:val="00785677"/>
    <w:rsid w:val="00786595"/>
    <w:rsid w:val="00786B84"/>
    <w:rsid w:val="00786F16"/>
    <w:rsid w:val="00790857"/>
    <w:rsid w:val="007912AD"/>
    <w:rsid w:val="00791BD7"/>
    <w:rsid w:val="00791CAB"/>
    <w:rsid w:val="00792FF4"/>
    <w:rsid w:val="007933F7"/>
    <w:rsid w:val="00795A18"/>
    <w:rsid w:val="00795A4E"/>
    <w:rsid w:val="00795C39"/>
    <w:rsid w:val="00795CC2"/>
    <w:rsid w:val="00795FA6"/>
    <w:rsid w:val="00795FC1"/>
    <w:rsid w:val="00796E20"/>
    <w:rsid w:val="00797805"/>
    <w:rsid w:val="00797B2E"/>
    <w:rsid w:val="00797C32"/>
    <w:rsid w:val="007A113A"/>
    <w:rsid w:val="007A11E8"/>
    <w:rsid w:val="007A2BF1"/>
    <w:rsid w:val="007A5302"/>
    <w:rsid w:val="007A5DF2"/>
    <w:rsid w:val="007B014D"/>
    <w:rsid w:val="007B034A"/>
    <w:rsid w:val="007B0914"/>
    <w:rsid w:val="007B098C"/>
    <w:rsid w:val="007B0DF8"/>
    <w:rsid w:val="007B12DC"/>
    <w:rsid w:val="007B1374"/>
    <w:rsid w:val="007B1D92"/>
    <w:rsid w:val="007B2B64"/>
    <w:rsid w:val="007B32E5"/>
    <w:rsid w:val="007B3DB9"/>
    <w:rsid w:val="007B55B8"/>
    <w:rsid w:val="007B589F"/>
    <w:rsid w:val="007B6186"/>
    <w:rsid w:val="007B73BC"/>
    <w:rsid w:val="007C0B58"/>
    <w:rsid w:val="007C1838"/>
    <w:rsid w:val="007C1AE6"/>
    <w:rsid w:val="007C20B9"/>
    <w:rsid w:val="007C3ED0"/>
    <w:rsid w:val="007C5DA3"/>
    <w:rsid w:val="007C6679"/>
    <w:rsid w:val="007C69C8"/>
    <w:rsid w:val="007C7301"/>
    <w:rsid w:val="007C7859"/>
    <w:rsid w:val="007C7F28"/>
    <w:rsid w:val="007D1185"/>
    <w:rsid w:val="007D1466"/>
    <w:rsid w:val="007D20C8"/>
    <w:rsid w:val="007D2BDE"/>
    <w:rsid w:val="007D2E8D"/>
    <w:rsid w:val="007D2FB6"/>
    <w:rsid w:val="007D49EB"/>
    <w:rsid w:val="007D4BA1"/>
    <w:rsid w:val="007D57FF"/>
    <w:rsid w:val="007D5B32"/>
    <w:rsid w:val="007D5E1C"/>
    <w:rsid w:val="007E0DE2"/>
    <w:rsid w:val="007E32CD"/>
    <w:rsid w:val="007E3667"/>
    <w:rsid w:val="007E3B66"/>
    <w:rsid w:val="007E3B98"/>
    <w:rsid w:val="007E3CCB"/>
    <w:rsid w:val="007E417A"/>
    <w:rsid w:val="007E4307"/>
    <w:rsid w:val="007E4FAD"/>
    <w:rsid w:val="007E5426"/>
    <w:rsid w:val="007E567F"/>
    <w:rsid w:val="007E62EF"/>
    <w:rsid w:val="007E7746"/>
    <w:rsid w:val="007F1EF7"/>
    <w:rsid w:val="007F233A"/>
    <w:rsid w:val="007F31B6"/>
    <w:rsid w:val="007F3C2C"/>
    <w:rsid w:val="007F4BC6"/>
    <w:rsid w:val="007F546C"/>
    <w:rsid w:val="007F625F"/>
    <w:rsid w:val="007F665E"/>
    <w:rsid w:val="00800412"/>
    <w:rsid w:val="00800636"/>
    <w:rsid w:val="00800A59"/>
    <w:rsid w:val="008017C7"/>
    <w:rsid w:val="00801829"/>
    <w:rsid w:val="00802ACA"/>
    <w:rsid w:val="00802F10"/>
    <w:rsid w:val="008035F2"/>
    <w:rsid w:val="0080481A"/>
    <w:rsid w:val="00805844"/>
    <w:rsid w:val="0080587B"/>
    <w:rsid w:val="00805A08"/>
    <w:rsid w:val="00806468"/>
    <w:rsid w:val="008066B7"/>
    <w:rsid w:val="00806CA3"/>
    <w:rsid w:val="00807E4A"/>
    <w:rsid w:val="00810673"/>
    <w:rsid w:val="008116A8"/>
    <w:rsid w:val="008119CA"/>
    <w:rsid w:val="008130C4"/>
    <w:rsid w:val="00814C6F"/>
    <w:rsid w:val="00814E42"/>
    <w:rsid w:val="00814EE3"/>
    <w:rsid w:val="008155F0"/>
    <w:rsid w:val="00815AD2"/>
    <w:rsid w:val="00816735"/>
    <w:rsid w:val="00816760"/>
    <w:rsid w:val="00820141"/>
    <w:rsid w:val="00820E0C"/>
    <w:rsid w:val="00823275"/>
    <w:rsid w:val="0082344D"/>
    <w:rsid w:val="0082366F"/>
    <w:rsid w:val="0082449E"/>
    <w:rsid w:val="0082493D"/>
    <w:rsid w:val="00825BDA"/>
    <w:rsid w:val="00825E20"/>
    <w:rsid w:val="00826554"/>
    <w:rsid w:val="008265F3"/>
    <w:rsid w:val="00826D13"/>
    <w:rsid w:val="00826D74"/>
    <w:rsid w:val="00827DEC"/>
    <w:rsid w:val="00830BF3"/>
    <w:rsid w:val="00831B47"/>
    <w:rsid w:val="00832057"/>
    <w:rsid w:val="00832FD4"/>
    <w:rsid w:val="008338A2"/>
    <w:rsid w:val="0083495E"/>
    <w:rsid w:val="00834E0F"/>
    <w:rsid w:val="00835BBE"/>
    <w:rsid w:val="008363F8"/>
    <w:rsid w:val="0084074A"/>
    <w:rsid w:val="00841472"/>
    <w:rsid w:val="00841AA9"/>
    <w:rsid w:val="00841CFC"/>
    <w:rsid w:val="00843198"/>
    <w:rsid w:val="00843CFE"/>
    <w:rsid w:val="00843D4F"/>
    <w:rsid w:val="0084541B"/>
    <w:rsid w:val="008474FE"/>
    <w:rsid w:val="00847946"/>
    <w:rsid w:val="008506BA"/>
    <w:rsid w:val="0085392E"/>
    <w:rsid w:val="00853EE4"/>
    <w:rsid w:val="00854A3C"/>
    <w:rsid w:val="00855535"/>
    <w:rsid w:val="00857C5A"/>
    <w:rsid w:val="00861186"/>
    <w:rsid w:val="00861BAB"/>
    <w:rsid w:val="0086255E"/>
    <w:rsid w:val="008633F0"/>
    <w:rsid w:val="00863B7C"/>
    <w:rsid w:val="008661FE"/>
    <w:rsid w:val="0086675A"/>
    <w:rsid w:val="00867D9D"/>
    <w:rsid w:val="00870556"/>
    <w:rsid w:val="0087270B"/>
    <w:rsid w:val="00872E0A"/>
    <w:rsid w:val="00873594"/>
    <w:rsid w:val="00875285"/>
    <w:rsid w:val="008758D8"/>
    <w:rsid w:val="00876E56"/>
    <w:rsid w:val="0087712F"/>
    <w:rsid w:val="008775C2"/>
    <w:rsid w:val="00877635"/>
    <w:rsid w:val="00881806"/>
    <w:rsid w:val="00881A1C"/>
    <w:rsid w:val="00883369"/>
    <w:rsid w:val="00884881"/>
    <w:rsid w:val="00884B62"/>
    <w:rsid w:val="0088529C"/>
    <w:rsid w:val="00887903"/>
    <w:rsid w:val="0089151D"/>
    <w:rsid w:val="0089270A"/>
    <w:rsid w:val="00892F59"/>
    <w:rsid w:val="00893AF6"/>
    <w:rsid w:val="00894BC4"/>
    <w:rsid w:val="008967A5"/>
    <w:rsid w:val="00896890"/>
    <w:rsid w:val="008A24B2"/>
    <w:rsid w:val="008A28A8"/>
    <w:rsid w:val="008A3EEC"/>
    <w:rsid w:val="008A4DE4"/>
    <w:rsid w:val="008A534B"/>
    <w:rsid w:val="008A5810"/>
    <w:rsid w:val="008A5B32"/>
    <w:rsid w:val="008A68A2"/>
    <w:rsid w:val="008A71FE"/>
    <w:rsid w:val="008B046D"/>
    <w:rsid w:val="008B05C2"/>
    <w:rsid w:val="008B0E57"/>
    <w:rsid w:val="008B2029"/>
    <w:rsid w:val="008B26A9"/>
    <w:rsid w:val="008B2EE4"/>
    <w:rsid w:val="008B3821"/>
    <w:rsid w:val="008B44DB"/>
    <w:rsid w:val="008B4D3D"/>
    <w:rsid w:val="008B4EAC"/>
    <w:rsid w:val="008B57C7"/>
    <w:rsid w:val="008B74E0"/>
    <w:rsid w:val="008C1306"/>
    <w:rsid w:val="008C2C73"/>
    <w:rsid w:val="008C2F92"/>
    <w:rsid w:val="008C3546"/>
    <w:rsid w:val="008C4444"/>
    <w:rsid w:val="008C452A"/>
    <w:rsid w:val="008C4BE0"/>
    <w:rsid w:val="008C589D"/>
    <w:rsid w:val="008C6384"/>
    <w:rsid w:val="008C6B5C"/>
    <w:rsid w:val="008C6D51"/>
    <w:rsid w:val="008C7786"/>
    <w:rsid w:val="008D013A"/>
    <w:rsid w:val="008D224A"/>
    <w:rsid w:val="008D2846"/>
    <w:rsid w:val="008D4236"/>
    <w:rsid w:val="008D462F"/>
    <w:rsid w:val="008D6DCF"/>
    <w:rsid w:val="008D7C98"/>
    <w:rsid w:val="008E1909"/>
    <w:rsid w:val="008E23DE"/>
    <w:rsid w:val="008E2A0C"/>
    <w:rsid w:val="008E2EE4"/>
    <w:rsid w:val="008E4376"/>
    <w:rsid w:val="008E5A59"/>
    <w:rsid w:val="008E7807"/>
    <w:rsid w:val="008E7A0A"/>
    <w:rsid w:val="008E7B49"/>
    <w:rsid w:val="008F1D26"/>
    <w:rsid w:val="008F24A8"/>
    <w:rsid w:val="008F2756"/>
    <w:rsid w:val="008F3BC3"/>
    <w:rsid w:val="008F3F92"/>
    <w:rsid w:val="008F59F6"/>
    <w:rsid w:val="0090057E"/>
    <w:rsid w:val="00900719"/>
    <w:rsid w:val="00900BA5"/>
    <w:rsid w:val="009017AC"/>
    <w:rsid w:val="00901EA5"/>
    <w:rsid w:val="00902A9A"/>
    <w:rsid w:val="00904A1C"/>
    <w:rsid w:val="00905030"/>
    <w:rsid w:val="00905315"/>
    <w:rsid w:val="00905767"/>
    <w:rsid w:val="00905F38"/>
    <w:rsid w:val="00906490"/>
    <w:rsid w:val="00906D18"/>
    <w:rsid w:val="009072A3"/>
    <w:rsid w:val="00910486"/>
    <w:rsid w:val="009111B2"/>
    <w:rsid w:val="009117B5"/>
    <w:rsid w:val="009151F5"/>
    <w:rsid w:val="00915EE4"/>
    <w:rsid w:val="009169A4"/>
    <w:rsid w:val="009208A9"/>
    <w:rsid w:val="00920A91"/>
    <w:rsid w:val="009223EE"/>
    <w:rsid w:val="00922661"/>
    <w:rsid w:val="00923B1A"/>
    <w:rsid w:val="009240A6"/>
    <w:rsid w:val="009243E3"/>
    <w:rsid w:val="00924AE1"/>
    <w:rsid w:val="00924B57"/>
    <w:rsid w:val="009267AE"/>
    <w:rsid w:val="009269B1"/>
    <w:rsid w:val="00926ACF"/>
    <w:rsid w:val="00926BD7"/>
    <w:rsid w:val="0092724D"/>
    <w:rsid w:val="009272B3"/>
    <w:rsid w:val="00927FED"/>
    <w:rsid w:val="009315BE"/>
    <w:rsid w:val="0093161C"/>
    <w:rsid w:val="00931D5C"/>
    <w:rsid w:val="009326DD"/>
    <w:rsid w:val="00933383"/>
    <w:rsid w:val="0093338F"/>
    <w:rsid w:val="009335EF"/>
    <w:rsid w:val="00934A8D"/>
    <w:rsid w:val="00936E2B"/>
    <w:rsid w:val="00937BD9"/>
    <w:rsid w:val="00941258"/>
    <w:rsid w:val="00942639"/>
    <w:rsid w:val="0094312F"/>
    <w:rsid w:val="009439CB"/>
    <w:rsid w:val="00946C99"/>
    <w:rsid w:val="00946FE1"/>
    <w:rsid w:val="00947C59"/>
    <w:rsid w:val="00947DAF"/>
    <w:rsid w:val="00950E2C"/>
    <w:rsid w:val="00951D50"/>
    <w:rsid w:val="009525EB"/>
    <w:rsid w:val="0095369C"/>
    <w:rsid w:val="0095470B"/>
    <w:rsid w:val="00954874"/>
    <w:rsid w:val="00954979"/>
    <w:rsid w:val="0095615A"/>
    <w:rsid w:val="009609D2"/>
    <w:rsid w:val="00961278"/>
    <w:rsid w:val="00961400"/>
    <w:rsid w:val="00963274"/>
    <w:rsid w:val="00963646"/>
    <w:rsid w:val="00963F8E"/>
    <w:rsid w:val="00964777"/>
    <w:rsid w:val="0096506F"/>
    <w:rsid w:val="0096517C"/>
    <w:rsid w:val="009658D4"/>
    <w:rsid w:val="00965A14"/>
    <w:rsid w:val="0096632D"/>
    <w:rsid w:val="00967124"/>
    <w:rsid w:val="009674E2"/>
    <w:rsid w:val="00971246"/>
    <w:rsid w:val="00971640"/>
    <w:rsid w:val="0097166C"/>
    <w:rsid w:val="009718C7"/>
    <w:rsid w:val="00971BB8"/>
    <w:rsid w:val="0097343B"/>
    <w:rsid w:val="0097488E"/>
    <w:rsid w:val="00974DC4"/>
    <w:rsid w:val="0097559F"/>
    <w:rsid w:val="009761EA"/>
    <w:rsid w:val="0097761E"/>
    <w:rsid w:val="009814D7"/>
    <w:rsid w:val="00982454"/>
    <w:rsid w:val="00982CF0"/>
    <w:rsid w:val="00984AB6"/>
    <w:rsid w:val="009853E1"/>
    <w:rsid w:val="00985983"/>
    <w:rsid w:val="009862A2"/>
    <w:rsid w:val="00986E6B"/>
    <w:rsid w:val="00990032"/>
    <w:rsid w:val="009907E4"/>
    <w:rsid w:val="00990B19"/>
    <w:rsid w:val="009912F3"/>
    <w:rsid w:val="0099153B"/>
    <w:rsid w:val="00991769"/>
    <w:rsid w:val="0099232C"/>
    <w:rsid w:val="00994386"/>
    <w:rsid w:val="00994991"/>
    <w:rsid w:val="009973A5"/>
    <w:rsid w:val="00997F6D"/>
    <w:rsid w:val="009A1095"/>
    <w:rsid w:val="009A13D8"/>
    <w:rsid w:val="009A20D7"/>
    <w:rsid w:val="009A279E"/>
    <w:rsid w:val="009A3015"/>
    <w:rsid w:val="009A3490"/>
    <w:rsid w:val="009A384A"/>
    <w:rsid w:val="009A3861"/>
    <w:rsid w:val="009A3DD8"/>
    <w:rsid w:val="009A3E63"/>
    <w:rsid w:val="009A3EA6"/>
    <w:rsid w:val="009A40FE"/>
    <w:rsid w:val="009A47BC"/>
    <w:rsid w:val="009A57D2"/>
    <w:rsid w:val="009A7C33"/>
    <w:rsid w:val="009B05FD"/>
    <w:rsid w:val="009B0A6F"/>
    <w:rsid w:val="009B0A94"/>
    <w:rsid w:val="009B0C62"/>
    <w:rsid w:val="009B2AE8"/>
    <w:rsid w:val="009B5622"/>
    <w:rsid w:val="009B59E9"/>
    <w:rsid w:val="009B5A64"/>
    <w:rsid w:val="009B5C49"/>
    <w:rsid w:val="009B631A"/>
    <w:rsid w:val="009B70AA"/>
    <w:rsid w:val="009C04DB"/>
    <w:rsid w:val="009C0833"/>
    <w:rsid w:val="009C1F43"/>
    <w:rsid w:val="009C245E"/>
    <w:rsid w:val="009C2D3F"/>
    <w:rsid w:val="009C2F31"/>
    <w:rsid w:val="009C3CF1"/>
    <w:rsid w:val="009C5209"/>
    <w:rsid w:val="009C53D0"/>
    <w:rsid w:val="009C5E77"/>
    <w:rsid w:val="009C6A8E"/>
    <w:rsid w:val="009C7A7E"/>
    <w:rsid w:val="009D02E8"/>
    <w:rsid w:val="009D29DC"/>
    <w:rsid w:val="009D2B4B"/>
    <w:rsid w:val="009D2D3F"/>
    <w:rsid w:val="009D328F"/>
    <w:rsid w:val="009D49AB"/>
    <w:rsid w:val="009D50A5"/>
    <w:rsid w:val="009D51D0"/>
    <w:rsid w:val="009D6AAC"/>
    <w:rsid w:val="009D70A4"/>
    <w:rsid w:val="009D748C"/>
    <w:rsid w:val="009D7A44"/>
    <w:rsid w:val="009D7B14"/>
    <w:rsid w:val="009E073C"/>
    <w:rsid w:val="009E08D1"/>
    <w:rsid w:val="009E0A5A"/>
    <w:rsid w:val="009E0D96"/>
    <w:rsid w:val="009E1337"/>
    <w:rsid w:val="009E1B95"/>
    <w:rsid w:val="009E1CAE"/>
    <w:rsid w:val="009E2D74"/>
    <w:rsid w:val="009E31B2"/>
    <w:rsid w:val="009E495F"/>
    <w:rsid w:val="009E496F"/>
    <w:rsid w:val="009E4B0D"/>
    <w:rsid w:val="009E5250"/>
    <w:rsid w:val="009E7A69"/>
    <w:rsid w:val="009E7F92"/>
    <w:rsid w:val="009F02A3"/>
    <w:rsid w:val="009F1531"/>
    <w:rsid w:val="009F2182"/>
    <w:rsid w:val="009F2F27"/>
    <w:rsid w:val="009F34AA"/>
    <w:rsid w:val="009F3C8B"/>
    <w:rsid w:val="009F6BCB"/>
    <w:rsid w:val="009F7602"/>
    <w:rsid w:val="009F76C5"/>
    <w:rsid w:val="009F7B78"/>
    <w:rsid w:val="00A0057A"/>
    <w:rsid w:val="00A00A05"/>
    <w:rsid w:val="00A0143D"/>
    <w:rsid w:val="00A01FB1"/>
    <w:rsid w:val="00A020E1"/>
    <w:rsid w:val="00A0250D"/>
    <w:rsid w:val="00A02DE6"/>
    <w:rsid w:val="00A02FA1"/>
    <w:rsid w:val="00A0321D"/>
    <w:rsid w:val="00A04CCE"/>
    <w:rsid w:val="00A04EE0"/>
    <w:rsid w:val="00A06398"/>
    <w:rsid w:val="00A0673A"/>
    <w:rsid w:val="00A068AC"/>
    <w:rsid w:val="00A07421"/>
    <w:rsid w:val="00A0776B"/>
    <w:rsid w:val="00A10FB9"/>
    <w:rsid w:val="00A11421"/>
    <w:rsid w:val="00A11E8A"/>
    <w:rsid w:val="00A12537"/>
    <w:rsid w:val="00A1389F"/>
    <w:rsid w:val="00A1439D"/>
    <w:rsid w:val="00A1511F"/>
    <w:rsid w:val="00A157B1"/>
    <w:rsid w:val="00A16B05"/>
    <w:rsid w:val="00A17731"/>
    <w:rsid w:val="00A20196"/>
    <w:rsid w:val="00A20636"/>
    <w:rsid w:val="00A213EC"/>
    <w:rsid w:val="00A21D41"/>
    <w:rsid w:val="00A22229"/>
    <w:rsid w:val="00A222C5"/>
    <w:rsid w:val="00A23A89"/>
    <w:rsid w:val="00A24442"/>
    <w:rsid w:val="00A24ADA"/>
    <w:rsid w:val="00A25326"/>
    <w:rsid w:val="00A307D2"/>
    <w:rsid w:val="00A31871"/>
    <w:rsid w:val="00A31DDD"/>
    <w:rsid w:val="00A322F0"/>
    <w:rsid w:val="00A32577"/>
    <w:rsid w:val="00A330BB"/>
    <w:rsid w:val="00A35A9E"/>
    <w:rsid w:val="00A36E7A"/>
    <w:rsid w:val="00A415ED"/>
    <w:rsid w:val="00A41B62"/>
    <w:rsid w:val="00A44547"/>
    <w:rsid w:val="00A446F5"/>
    <w:rsid w:val="00A44882"/>
    <w:rsid w:val="00A45125"/>
    <w:rsid w:val="00A455EC"/>
    <w:rsid w:val="00A46C0D"/>
    <w:rsid w:val="00A54715"/>
    <w:rsid w:val="00A5474B"/>
    <w:rsid w:val="00A547C9"/>
    <w:rsid w:val="00A56111"/>
    <w:rsid w:val="00A5666A"/>
    <w:rsid w:val="00A56E9F"/>
    <w:rsid w:val="00A6061C"/>
    <w:rsid w:val="00A61C59"/>
    <w:rsid w:val="00A620D6"/>
    <w:rsid w:val="00A62CCF"/>
    <w:rsid w:val="00A62D44"/>
    <w:rsid w:val="00A656D1"/>
    <w:rsid w:val="00A66948"/>
    <w:rsid w:val="00A67263"/>
    <w:rsid w:val="00A7161C"/>
    <w:rsid w:val="00A71967"/>
    <w:rsid w:val="00A71CE4"/>
    <w:rsid w:val="00A76E1E"/>
    <w:rsid w:val="00A77166"/>
    <w:rsid w:val="00A77284"/>
    <w:rsid w:val="00A77AA3"/>
    <w:rsid w:val="00A803B1"/>
    <w:rsid w:val="00A80CAC"/>
    <w:rsid w:val="00A82186"/>
    <w:rsid w:val="00A8236D"/>
    <w:rsid w:val="00A82CB0"/>
    <w:rsid w:val="00A83EE9"/>
    <w:rsid w:val="00A844DD"/>
    <w:rsid w:val="00A84570"/>
    <w:rsid w:val="00A854EB"/>
    <w:rsid w:val="00A85BAE"/>
    <w:rsid w:val="00A872E5"/>
    <w:rsid w:val="00A87AFD"/>
    <w:rsid w:val="00A91406"/>
    <w:rsid w:val="00A92312"/>
    <w:rsid w:val="00A93C39"/>
    <w:rsid w:val="00A9407F"/>
    <w:rsid w:val="00A95175"/>
    <w:rsid w:val="00A95E7A"/>
    <w:rsid w:val="00A96E65"/>
    <w:rsid w:val="00A96ECE"/>
    <w:rsid w:val="00A97C72"/>
    <w:rsid w:val="00AA003D"/>
    <w:rsid w:val="00AA0B1E"/>
    <w:rsid w:val="00AA0FE7"/>
    <w:rsid w:val="00AA310B"/>
    <w:rsid w:val="00AA46C6"/>
    <w:rsid w:val="00AA63D4"/>
    <w:rsid w:val="00AA64DF"/>
    <w:rsid w:val="00AA72AA"/>
    <w:rsid w:val="00AB06E8"/>
    <w:rsid w:val="00AB0722"/>
    <w:rsid w:val="00AB1CD3"/>
    <w:rsid w:val="00AB2C89"/>
    <w:rsid w:val="00AB31A8"/>
    <w:rsid w:val="00AB352F"/>
    <w:rsid w:val="00AB49C9"/>
    <w:rsid w:val="00AB4B13"/>
    <w:rsid w:val="00AB5582"/>
    <w:rsid w:val="00AB603C"/>
    <w:rsid w:val="00AB638C"/>
    <w:rsid w:val="00AB6AFE"/>
    <w:rsid w:val="00AB7805"/>
    <w:rsid w:val="00AB7D3B"/>
    <w:rsid w:val="00AB7EF6"/>
    <w:rsid w:val="00AC0528"/>
    <w:rsid w:val="00AC274B"/>
    <w:rsid w:val="00AC2C5F"/>
    <w:rsid w:val="00AC3B8D"/>
    <w:rsid w:val="00AC3BDA"/>
    <w:rsid w:val="00AC3E92"/>
    <w:rsid w:val="00AC4623"/>
    <w:rsid w:val="00AC4750"/>
    <w:rsid w:val="00AC4764"/>
    <w:rsid w:val="00AC59E2"/>
    <w:rsid w:val="00AC5D5B"/>
    <w:rsid w:val="00AC6D05"/>
    <w:rsid w:val="00AC6D36"/>
    <w:rsid w:val="00AC7030"/>
    <w:rsid w:val="00AC778A"/>
    <w:rsid w:val="00AC7DAE"/>
    <w:rsid w:val="00AD0007"/>
    <w:rsid w:val="00AD0CBA"/>
    <w:rsid w:val="00AD26E2"/>
    <w:rsid w:val="00AD3282"/>
    <w:rsid w:val="00AD3780"/>
    <w:rsid w:val="00AD42C1"/>
    <w:rsid w:val="00AD782C"/>
    <w:rsid w:val="00AD784C"/>
    <w:rsid w:val="00AE06D3"/>
    <w:rsid w:val="00AE0C9C"/>
    <w:rsid w:val="00AE0E2C"/>
    <w:rsid w:val="00AE1112"/>
    <w:rsid w:val="00AE126A"/>
    <w:rsid w:val="00AE1BAE"/>
    <w:rsid w:val="00AE2447"/>
    <w:rsid w:val="00AE3005"/>
    <w:rsid w:val="00AE3BD5"/>
    <w:rsid w:val="00AE3F47"/>
    <w:rsid w:val="00AE59A0"/>
    <w:rsid w:val="00AE6317"/>
    <w:rsid w:val="00AE6A22"/>
    <w:rsid w:val="00AE6D97"/>
    <w:rsid w:val="00AE6F38"/>
    <w:rsid w:val="00AF0C57"/>
    <w:rsid w:val="00AF26F3"/>
    <w:rsid w:val="00AF38A4"/>
    <w:rsid w:val="00AF5595"/>
    <w:rsid w:val="00AF5D8A"/>
    <w:rsid w:val="00AF5F04"/>
    <w:rsid w:val="00AF69A3"/>
    <w:rsid w:val="00AF7C9A"/>
    <w:rsid w:val="00AF7CF9"/>
    <w:rsid w:val="00B0020E"/>
    <w:rsid w:val="00B00672"/>
    <w:rsid w:val="00B01882"/>
    <w:rsid w:val="00B01B4D"/>
    <w:rsid w:val="00B027C9"/>
    <w:rsid w:val="00B035F2"/>
    <w:rsid w:val="00B03D28"/>
    <w:rsid w:val="00B04489"/>
    <w:rsid w:val="00B04844"/>
    <w:rsid w:val="00B06571"/>
    <w:rsid w:val="00B068BA"/>
    <w:rsid w:val="00B06E2E"/>
    <w:rsid w:val="00B07217"/>
    <w:rsid w:val="00B07C4A"/>
    <w:rsid w:val="00B07F84"/>
    <w:rsid w:val="00B1028E"/>
    <w:rsid w:val="00B10CAD"/>
    <w:rsid w:val="00B11C2C"/>
    <w:rsid w:val="00B12AF1"/>
    <w:rsid w:val="00B13851"/>
    <w:rsid w:val="00B13B1C"/>
    <w:rsid w:val="00B13CEE"/>
    <w:rsid w:val="00B14855"/>
    <w:rsid w:val="00B14B5F"/>
    <w:rsid w:val="00B165A4"/>
    <w:rsid w:val="00B21110"/>
    <w:rsid w:val="00B21F90"/>
    <w:rsid w:val="00B22291"/>
    <w:rsid w:val="00B23252"/>
    <w:rsid w:val="00B23803"/>
    <w:rsid w:val="00B23AD1"/>
    <w:rsid w:val="00B23F9A"/>
    <w:rsid w:val="00B2417B"/>
    <w:rsid w:val="00B24226"/>
    <w:rsid w:val="00B24E6F"/>
    <w:rsid w:val="00B25421"/>
    <w:rsid w:val="00B269A3"/>
    <w:rsid w:val="00B26CB5"/>
    <w:rsid w:val="00B2752E"/>
    <w:rsid w:val="00B30087"/>
    <w:rsid w:val="00B307CC"/>
    <w:rsid w:val="00B31D0D"/>
    <w:rsid w:val="00B326B7"/>
    <w:rsid w:val="00B34847"/>
    <w:rsid w:val="00B34F2D"/>
    <w:rsid w:val="00B35322"/>
    <w:rsid w:val="00B353CA"/>
    <w:rsid w:val="00B354B2"/>
    <w:rsid w:val="00B3588E"/>
    <w:rsid w:val="00B36F23"/>
    <w:rsid w:val="00B40222"/>
    <w:rsid w:val="00B4172D"/>
    <w:rsid w:val="00B4198F"/>
    <w:rsid w:val="00B41F3D"/>
    <w:rsid w:val="00B42B7D"/>
    <w:rsid w:val="00B43051"/>
    <w:rsid w:val="00B431E8"/>
    <w:rsid w:val="00B43C51"/>
    <w:rsid w:val="00B443D1"/>
    <w:rsid w:val="00B44577"/>
    <w:rsid w:val="00B44BFB"/>
    <w:rsid w:val="00B45141"/>
    <w:rsid w:val="00B45ECB"/>
    <w:rsid w:val="00B45F44"/>
    <w:rsid w:val="00B47552"/>
    <w:rsid w:val="00B50B60"/>
    <w:rsid w:val="00B519CD"/>
    <w:rsid w:val="00B5273A"/>
    <w:rsid w:val="00B53FF5"/>
    <w:rsid w:val="00B55CD5"/>
    <w:rsid w:val="00B56CA7"/>
    <w:rsid w:val="00B57329"/>
    <w:rsid w:val="00B57A0C"/>
    <w:rsid w:val="00B60E61"/>
    <w:rsid w:val="00B6260B"/>
    <w:rsid w:val="00B62B50"/>
    <w:rsid w:val="00B631BF"/>
    <w:rsid w:val="00B635B7"/>
    <w:rsid w:val="00B63AE8"/>
    <w:rsid w:val="00B63D52"/>
    <w:rsid w:val="00B65950"/>
    <w:rsid w:val="00B65F7C"/>
    <w:rsid w:val="00B66615"/>
    <w:rsid w:val="00B66D64"/>
    <w:rsid w:val="00B66D83"/>
    <w:rsid w:val="00B672C0"/>
    <w:rsid w:val="00B676FD"/>
    <w:rsid w:val="00B678B6"/>
    <w:rsid w:val="00B67BED"/>
    <w:rsid w:val="00B735E5"/>
    <w:rsid w:val="00B743AB"/>
    <w:rsid w:val="00B75646"/>
    <w:rsid w:val="00B7629E"/>
    <w:rsid w:val="00B764BA"/>
    <w:rsid w:val="00B770D6"/>
    <w:rsid w:val="00B7789C"/>
    <w:rsid w:val="00B801FE"/>
    <w:rsid w:val="00B80B2F"/>
    <w:rsid w:val="00B80F6C"/>
    <w:rsid w:val="00B818D6"/>
    <w:rsid w:val="00B81C9C"/>
    <w:rsid w:val="00B81CBC"/>
    <w:rsid w:val="00B8239A"/>
    <w:rsid w:val="00B84E8C"/>
    <w:rsid w:val="00B85490"/>
    <w:rsid w:val="00B85FBB"/>
    <w:rsid w:val="00B90729"/>
    <w:rsid w:val="00B907DA"/>
    <w:rsid w:val="00B91ECD"/>
    <w:rsid w:val="00B91FC9"/>
    <w:rsid w:val="00B94C5E"/>
    <w:rsid w:val="00B950BC"/>
    <w:rsid w:val="00B9714C"/>
    <w:rsid w:val="00BA2458"/>
    <w:rsid w:val="00BA29AD"/>
    <w:rsid w:val="00BA31D3"/>
    <w:rsid w:val="00BA33CF"/>
    <w:rsid w:val="00BA3B50"/>
    <w:rsid w:val="00BA3F8D"/>
    <w:rsid w:val="00BA49D9"/>
    <w:rsid w:val="00BA6030"/>
    <w:rsid w:val="00BA7EFC"/>
    <w:rsid w:val="00BB0CE1"/>
    <w:rsid w:val="00BB115A"/>
    <w:rsid w:val="00BB13FC"/>
    <w:rsid w:val="00BB2986"/>
    <w:rsid w:val="00BB29A3"/>
    <w:rsid w:val="00BB5544"/>
    <w:rsid w:val="00BB6FDE"/>
    <w:rsid w:val="00BB77C1"/>
    <w:rsid w:val="00BB7A10"/>
    <w:rsid w:val="00BC358A"/>
    <w:rsid w:val="00BC4041"/>
    <w:rsid w:val="00BC6017"/>
    <w:rsid w:val="00BC60BE"/>
    <w:rsid w:val="00BC6C26"/>
    <w:rsid w:val="00BC7468"/>
    <w:rsid w:val="00BC7D4F"/>
    <w:rsid w:val="00BC7ED7"/>
    <w:rsid w:val="00BD042D"/>
    <w:rsid w:val="00BD05F8"/>
    <w:rsid w:val="00BD065F"/>
    <w:rsid w:val="00BD14FD"/>
    <w:rsid w:val="00BD18EE"/>
    <w:rsid w:val="00BD2850"/>
    <w:rsid w:val="00BD3216"/>
    <w:rsid w:val="00BD3BA4"/>
    <w:rsid w:val="00BD4393"/>
    <w:rsid w:val="00BD499C"/>
    <w:rsid w:val="00BD4E95"/>
    <w:rsid w:val="00BD6D63"/>
    <w:rsid w:val="00BE0154"/>
    <w:rsid w:val="00BE28D2"/>
    <w:rsid w:val="00BE3ADD"/>
    <w:rsid w:val="00BE45CC"/>
    <w:rsid w:val="00BE4A64"/>
    <w:rsid w:val="00BE4C2C"/>
    <w:rsid w:val="00BE5E43"/>
    <w:rsid w:val="00BE6437"/>
    <w:rsid w:val="00BF251E"/>
    <w:rsid w:val="00BF2FC1"/>
    <w:rsid w:val="00BF46A1"/>
    <w:rsid w:val="00BF4D27"/>
    <w:rsid w:val="00BF557D"/>
    <w:rsid w:val="00BF619A"/>
    <w:rsid w:val="00BF658D"/>
    <w:rsid w:val="00BF6F31"/>
    <w:rsid w:val="00BF7F58"/>
    <w:rsid w:val="00C00BB1"/>
    <w:rsid w:val="00C00EA2"/>
    <w:rsid w:val="00C01381"/>
    <w:rsid w:val="00C01AB1"/>
    <w:rsid w:val="00C026A0"/>
    <w:rsid w:val="00C06137"/>
    <w:rsid w:val="00C06929"/>
    <w:rsid w:val="00C07044"/>
    <w:rsid w:val="00C079B8"/>
    <w:rsid w:val="00C10037"/>
    <w:rsid w:val="00C115E1"/>
    <w:rsid w:val="00C123EA"/>
    <w:rsid w:val="00C12A49"/>
    <w:rsid w:val="00C12B05"/>
    <w:rsid w:val="00C133EE"/>
    <w:rsid w:val="00C149D0"/>
    <w:rsid w:val="00C14D48"/>
    <w:rsid w:val="00C14F9B"/>
    <w:rsid w:val="00C15D95"/>
    <w:rsid w:val="00C17356"/>
    <w:rsid w:val="00C217B4"/>
    <w:rsid w:val="00C238E8"/>
    <w:rsid w:val="00C261F6"/>
    <w:rsid w:val="00C26588"/>
    <w:rsid w:val="00C27223"/>
    <w:rsid w:val="00C27DE9"/>
    <w:rsid w:val="00C319AD"/>
    <w:rsid w:val="00C3206C"/>
    <w:rsid w:val="00C322E5"/>
    <w:rsid w:val="00C32989"/>
    <w:rsid w:val="00C33388"/>
    <w:rsid w:val="00C336BC"/>
    <w:rsid w:val="00C33D65"/>
    <w:rsid w:val="00C34117"/>
    <w:rsid w:val="00C35484"/>
    <w:rsid w:val="00C3653A"/>
    <w:rsid w:val="00C36FC1"/>
    <w:rsid w:val="00C378AF"/>
    <w:rsid w:val="00C40FE2"/>
    <w:rsid w:val="00C4173A"/>
    <w:rsid w:val="00C440F1"/>
    <w:rsid w:val="00C44B4D"/>
    <w:rsid w:val="00C44C74"/>
    <w:rsid w:val="00C45390"/>
    <w:rsid w:val="00C45785"/>
    <w:rsid w:val="00C50DED"/>
    <w:rsid w:val="00C52217"/>
    <w:rsid w:val="00C53092"/>
    <w:rsid w:val="00C602FF"/>
    <w:rsid w:val="00C60411"/>
    <w:rsid w:val="00C607CE"/>
    <w:rsid w:val="00C607EC"/>
    <w:rsid w:val="00C60920"/>
    <w:rsid w:val="00C60D8E"/>
    <w:rsid w:val="00C61174"/>
    <w:rsid w:val="00C6148F"/>
    <w:rsid w:val="00C621B1"/>
    <w:rsid w:val="00C62783"/>
    <w:rsid w:val="00C62F6A"/>
    <w:rsid w:val="00C62F7A"/>
    <w:rsid w:val="00C63A40"/>
    <w:rsid w:val="00C63B9C"/>
    <w:rsid w:val="00C63F5D"/>
    <w:rsid w:val="00C6429F"/>
    <w:rsid w:val="00C643F0"/>
    <w:rsid w:val="00C64758"/>
    <w:rsid w:val="00C64981"/>
    <w:rsid w:val="00C65150"/>
    <w:rsid w:val="00C65FA3"/>
    <w:rsid w:val="00C6620F"/>
    <w:rsid w:val="00C6682F"/>
    <w:rsid w:val="00C67BF4"/>
    <w:rsid w:val="00C706C9"/>
    <w:rsid w:val="00C708BA"/>
    <w:rsid w:val="00C70AE5"/>
    <w:rsid w:val="00C70F0C"/>
    <w:rsid w:val="00C7112F"/>
    <w:rsid w:val="00C71AE4"/>
    <w:rsid w:val="00C7275E"/>
    <w:rsid w:val="00C731AF"/>
    <w:rsid w:val="00C74731"/>
    <w:rsid w:val="00C74C5D"/>
    <w:rsid w:val="00C7546C"/>
    <w:rsid w:val="00C80295"/>
    <w:rsid w:val="00C81E10"/>
    <w:rsid w:val="00C83AA7"/>
    <w:rsid w:val="00C863C4"/>
    <w:rsid w:val="00C867D8"/>
    <w:rsid w:val="00C87054"/>
    <w:rsid w:val="00C87188"/>
    <w:rsid w:val="00C90DAB"/>
    <w:rsid w:val="00C91137"/>
    <w:rsid w:val="00C916FD"/>
    <w:rsid w:val="00C920EA"/>
    <w:rsid w:val="00C939B4"/>
    <w:rsid w:val="00C93C3E"/>
    <w:rsid w:val="00C949D7"/>
    <w:rsid w:val="00C94BDD"/>
    <w:rsid w:val="00C95855"/>
    <w:rsid w:val="00C961E6"/>
    <w:rsid w:val="00CA12E3"/>
    <w:rsid w:val="00CA1476"/>
    <w:rsid w:val="00CA14E1"/>
    <w:rsid w:val="00CA1CDE"/>
    <w:rsid w:val="00CA363D"/>
    <w:rsid w:val="00CA497B"/>
    <w:rsid w:val="00CA5547"/>
    <w:rsid w:val="00CA6611"/>
    <w:rsid w:val="00CA6AE6"/>
    <w:rsid w:val="00CA782F"/>
    <w:rsid w:val="00CA7F33"/>
    <w:rsid w:val="00CB0480"/>
    <w:rsid w:val="00CB187B"/>
    <w:rsid w:val="00CB2835"/>
    <w:rsid w:val="00CB3285"/>
    <w:rsid w:val="00CB4500"/>
    <w:rsid w:val="00CB46BE"/>
    <w:rsid w:val="00CB5EA8"/>
    <w:rsid w:val="00CB6267"/>
    <w:rsid w:val="00CB6842"/>
    <w:rsid w:val="00CB6F2D"/>
    <w:rsid w:val="00CB719B"/>
    <w:rsid w:val="00CB7E18"/>
    <w:rsid w:val="00CC0C72"/>
    <w:rsid w:val="00CC29B0"/>
    <w:rsid w:val="00CC2BFD"/>
    <w:rsid w:val="00CC42D1"/>
    <w:rsid w:val="00CC6F40"/>
    <w:rsid w:val="00CC7573"/>
    <w:rsid w:val="00CC7730"/>
    <w:rsid w:val="00CD001A"/>
    <w:rsid w:val="00CD04ED"/>
    <w:rsid w:val="00CD05E4"/>
    <w:rsid w:val="00CD3476"/>
    <w:rsid w:val="00CD3760"/>
    <w:rsid w:val="00CD481C"/>
    <w:rsid w:val="00CD4E93"/>
    <w:rsid w:val="00CD550B"/>
    <w:rsid w:val="00CD64DF"/>
    <w:rsid w:val="00CD744D"/>
    <w:rsid w:val="00CD768F"/>
    <w:rsid w:val="00CD76DE"/>
    <w:rsid w:val="00CD7D4E"/>
    <w:rsid w:val="00CE0339"/>
    <w:rsid w:val="00CE225F"/>
    <w:rsid w:val="00CE3758"/>
    <w:rsid w:val="00CE6AD5"/>
    <w:rsid w:val="00CE744F"/>
    <w:rsid w:val="00CE7FAD"/>
    <w:rsid w:val="00CF0B3B"/>
    <w:rsid w:val="00CF230C"/>
    <w:rsid w:val="00CF2F50"/>
    <w:rsid w:val="00CF6198"/>
    <w:rsid w:val="00CF6398"/>
    <w:rsid w:val="00CF6F50"/>
    <w:rsid w:val="00CF769A"/>
    <w:rsid w:val="00D00CC9"/>
    <w:rsid w:val="00D00DF4"/>
    <w:rsid w:val="00D022B6"/>
    <w:rsid w:val="00D02919"/>
    <w:rsid w:val="00D03735"/>
    <w:rsid w:val="00D04C61"/>
    <w:rsid w:val="00D05408"/>
    <w:rsid w:val="00D05B8D"/>
    <w:rsid w:val="00D05B9B"/>
    <w:rsid w:val="00D05EE6"/>
    <w:rsid w:val="00D065A2"/>
    <w:rsid w:val="00D069FA"/>
    <w:rsid w:val="00D0747E"/>
    <w:rsid w:val="00D079AA"/>
    <w:rsid w:val="00D07F00"/>
    <w:rsid w:val="00D100B5"/>
    <w:rsid w:val="00D1130F"/>
    <w:rsid w:val="00D12A4D"/>
    <w:rsid w:val="00D1362B"/>
    <w:rsid w:val="00D14286"/>
    <w:rsid w:val="00D14526"/>
    <w:rsid w:val="00D1571F"/>
    <w:rsid w:val="00D17398"/>
    <w:rsid w:val="00D17B72"/>
    <w:rsid w:val="00D20F71"/>
    <w:rsid w:val="00D2312F"/>
    <w:rsid w:val="00D24BDF"/>
    <w:rsid w:val="00D2660D"/>
    <w:rsid w:val="00D26B12"/>
    <w:rsid w:val="00D30CF4"/>
    <w:rsid w:val="00D3153F"/>
    <w:rsid w:val="00D3185C"/>
    <w:rsid w:val="00D3205F"/>
    <w:rsid w:val="00D3226B"/>
    <w:rsid w:val="00D3318E"/>
    <w:rsid w:val="00D339D6"/>
    <w:rsid w:val="00D33E72"/>
    <w:rsid w:val="00D34157"/>
    <w:rsid w:val="00D34F6B"/>
    <w:rsid w:val="00D35BD6"/>
    <w:rsid w:val="00D3611A"/>
    <w:rsid w:val="00D361B5"/>
    <w:rsid w:val="00D374F5"/>
    <w:rsid w:val="00D40D74"/>
    <w:rsid w:val="00D411A2"/>
    <w:rsid w:val="00D4596E"/>
    <w:rsid w:val="00D4606D"/>
    <w:rsid w:val="00D50967"/>
    <w:rsid w:val="00D50B9C"/>
    <w:rsid w:val="00D513AF"/>
    <w:rsid w:val="00D52482"/>
    <w:rsid w:val="00D52D73"/>
    <w:rsid w:val="00D52E58"/>
    <w:rsid w:val="00D534D1"/>
    <w:rsid w:val="00D53A73"/>
    <w:rsid w:val="00D54666"/>
    <w:rsid w:val="00D54F35"/>
    <w:rsid w:val="00D56B20"/>
    <w:rsid w:val="00D578B3"/>
    <w:rsid w:val="00D60829"/>
    <w:rsid w:val="00D618F4"/>
    <w:rsid w:val="00D63636"/>
    <w:rsid w:val="00D6392E"/>
    <w:rsid w:val="00D63997"/>
    <w:rsid w:val="00D63C67"/>
    <w:rsid w:val="00D640AD"/>
    <w:rsid w:val="00D6480E"/>
    <w:rsid w:val="00D64B07"/>
    <w:rsid w:val="00D65092"/>
    <w:rsid w:val="00D661D9"/>
    <w:rsid w:val="00D70007"/>
    <w:rsid w:val="00D712AF"/>
    <w:rsid w:val="00D714CC"/>
    <w:rsid w:val="00D71629"/>
    <w:rsid w:val="00D729F9"/>
    <w:rsid w:val="00D72A61"/>
    <w:rsid w:val="00D73ECB"/>
    <w:rsid w:val="00D75DDA"/>
    <w:rsid w:val="00D75EA7"/>
    <w:rsid w:val="00D77252"/>
    <w:rsid w:val="00D804F6"/>
    <w:rsid w:val="00D806CA"/>
    <w:rsid w:val="00D80B99"/>
    <w:rsid w:val="00D81ADF"/>
    <w:rsid w:val="00D81B64"/>
    <w:rsid w:val="00D81F21"/>
    <w:rsid w:val="00D836B6"/>
    <w:rsid w:val="00D83B3B"/>
    <w:rsid w:val="00D83D06"/>
    <w:rsid w:val="00D84392"/>
    <w:rsid w:val="00D864F2"/>
    <w:rsid w:val="00D870A7"/>
    <w:rsid w:val="00D87F0A"/>
    <w:rsid w:val="00D90122"/>
    <w:rsid w:val="00D9074C"/>
    <w:rsid w:val="00D91127"/>
    <w:rsid w:val="00D9384E"/>
    <w:rsid w:val="00D943F8"/>
    <w:rsid w:val="00D94E72"/>
    <w:rsid w:val="00D95470"/>
    <w:rsid w:val="00D96B55"/>
    <w:rsid w:val="00D96FAE"/>
    <w:rsid w:val="00D973E5"/>
    <w:rsid w:val="00DA053E"/>
    <w:rsid w:val="00DA0E68"/>
    <w:rsid w:val="00DA1A31"/>
    <w:rsid w:val="00DA2619"/>
    <w:rsid w:val="00DA4239"/>
    <w:rsid w:val="00DA588C"/>
    <w:rsid w:val="00DA65DE"/>
    <w:rsid w:val="00DA6CA4"/>
    <w:rsid w:val="00DB045F"/>
    <w:rsid w:val="00DB0AF6"/>
    <w:rsid w:val="00DB0B61"/>
    <w:rsid w:val="00DB1474"/>
    <w:rsid w:val="00DB1EE7"/>
    <w:rsid w:val="00DB1F84"/>
    <w:rsid w:val="00DB2962"/>
    <w:rsid w:val="00DB52FB"/>
    <w:rsid w:val="00DB5F92"/>
    <w:rsid w:val="00DB6F8D"/>
    <w:rsid w:val="00DB70F0"/>
    <w:rsid w:val="00DC00C1"/>
    <w:rsid w:val="00DC013B"/>
    <w:rsid w:val="00DC090B"/>
    <w:rsid w:val="00DC1679"/>
    <w:rsid w:val="00DC219B"/>
    <w:rsid w:val="00DC25E2"/>
    <w:rsid w:val="00DC2CF1"/>
    <w:rsid w:val="00DC2DC7"/>
    <w:rsid w:val="00DC3A7C"/>
    <w:rsid w:val="00DC47DD"/>
    <w:rsid w:val="00DC4FCF"/>
    <w:rsid w:val="00DC50E0"/>
    <w:rsid w:val="00DC52BA"/>
    <w:rsid w:val="00DC5A87"/>
    <w:rsid w:val="00DC6386"/>
    <w:rsid w:val="00DD08A6"/>
    <w:rsid w:val="00DD1130"/>
    <w:rsid w:val="00DD13BE"/>
    <w:rsid w:val="00DD1578"/>
    <w:rsid w:val="00DD1951"/>
    <w:rsid w:val="00DD2CBF"/>
    <w:rsid w:val="00DD487D"/>
    <w:rsid w:val="00DD4E83"/>
    <w:rsid w:val="00DD5188"/>
    <w:rsid w:val="00DD5A18"/>
    <w:rsid w:val="00DD5BA9"/>
    <w:rsid w:val="00DD65C0"/>
    <w:rsid w:val="00DD6628"/>
    <w:rsid w:val="00DD6945"/>
    <w:rsid w:val="00DE2D04"/>
    <w:rsid w:val="00DE3250"/>
    <w:rsid w:val="00DE442B"/>
    <w:rsid w:val="00DE6028"/>
    <w:rsid w:val="00DE6C85"/>
    <w:rsid w:val="00DE78A3"/>
    <w:rsid w:val="00DF10E6"/>
    <w:rsid w:val="00DF1A71"/>
    <w:rsid w:val="00DF3065"/>
    <w:rsid w:val="00DF39AF"/>
    <w:rsid w:val="00DF50FC"/>
    <w:rsid w:val="00DF5F31"/>
    <w:rsid w:val="00DF68C7"/>
    <w:rsid w:val="00DF731A"/>
    <w:rsid w:val="00DF7D3A"/>
    <w:rsid w:val="00DF7E6A"/>
    <w:rsid w:val="00E02FE1"/>
    <w:rsid w:val="00E04BBB"/>
    <w:rsid w:val="00E06706"/>
    <w:rsid w:val="00E06B75"/>
    <w:rsid w:val="00E1029D"/>
    <w:rsid w:val="00E11332"/>
    <w:rsid w:val="00E11352"/>
    <w:rsid w:val="00E12E52"/>
    <w:rsid w:val="00E14BBC"/>
    <w:rsid w:val="00E1555F"/>
    <w:rsid w:val="00E170DC"/>
    <w:rsid w:val="00E17546"/>
    <w:rsid w:val="00E179E5"/>
    <w:rsid w:val="00E20673"/>
    <w:rsid w:val="00E20CEF"/>
    <w:rsid w:val="00E210B5"/>
    <w:rsid w:val="00E21DBA"/>
    <w:rsid w:val="00E220FA"/>
    <w:rsid w:val="00E23B30"/>
    <w:rsid w:val="00E2422F"/>
    <w:rsid w:val="00E25A4D"/>
    <w:rsid w:val="00E261B3"/>
    <w:rsid w:val="00E26818"/>
    <w:rsid w:val="00E26C0B"/>
    <w:rsid w:val="00E27196"/>
    <w:rsid w:val="00E27FFC"/>
    <w:rsid w:val="00E3011D"/>
    <w:rsid w:val="00E306B3"/>
    <w:rsid w:val="00E30B15"/>
    <w:rsid w:val="00E31525"/>
    <w:rsid w:val="00E31D58"/>
    <w:rsid w:val="00E31D95"/>
    <w:rsid w:val="00E324AD"/>
    <w:rsid w:val="00E33237"/>
    <w:rsid w:val="00E33DEB"/>
    <w:rsid w:val="00E341C2"/>
    <w:rsid w:val="00E40181"/>
    <w:rsid w:val="00E40440"/>
    <w:rsid w:val="00E419ED"/>
    <w:rsid w:val="00E42D7A"/>
    <w:rsid w:val="00E43790"/>
    <w:rsid w:val="00E45193"/>
    <w:rsid w:val="00E45233"/>
    <w:rsid w:val="00E47E11"/>
    <w:rsid w:val="00E524EB"/>
    <w:rsid w:val="00E52FDC"/>
    <w:rsid w:val="00E53FEA"/>
    <w:rsid w:val="00E54950"/>
    <w:rsid w:val="00E54D3A"/>
    <w:rsid w:val="00E55FB3"/>
    <w:rsid w:val="00E566C0"/>
    <w:rsid w:val="00E56A01"/>
    <w:rsid w:val="00E5728D"/>
    <w:rsid w:val="00E57547"/>
    <w:rsid w:val="00E57944"/>
    <w:rsid w:val="00E61238"/>
    <w:rsid w:val="00E62083"/>
    <w:rsid w:val="00E629A1"/>
    <w:rsid w:val="00E62D60"/>
    <w:rsid w:val="00E6317A"/>
    <w:rsid w:val="00E66851"/>
    <w:rsid w:val="00E66A85"/>
    <w:rsid w:val="00E67881"/>
    <w:rsid w:val="00E6794C"/>
    <w:rsid w:val="00E71591"/>
    <w:rsid w:val="00E71CEB"/>
    <w:rsid w:val="00E7474F"/>
    <w:rsid w:val="00E80DE3"/>
    <w:rsid w:val="00E827B9"/>
    <w:rsid w:val="00E82C55"/>
    <w:rsid w:val="00E8311C"/>
    <w:rsid w:val="00E8787E"/>
    <w:rsid w:val="00E87D47"/>
    <w:rsid w:val="00E92AC3"/>
    <w:rsid w:val="00E960EE"/>
    <w:rsid w:val="00E964C0"/>
    <w:rsid w:val="00E96B70"/>
    <w:rsid w:val="00E97A53"/>
    <w:rsid w:val="00EA2F6A"/>
    <w:rsid w:val="00EA377F"/>
    <w:rsid w:val="00EA3782"/>
    <w:rsid w:val="00EA382F"/>
    <w:rsid w:val="00EA602C"/>
    <w:rsid w:val="00EA704A"/>
    <w:rsid w:val="00EB00E0"/>
    <w:rsid w:val="00EB017C"/>
    <w:rsid w:val="00EB05D5"/>
    <w:rsid w:val="00EB06B0"/>
    <w:rsid w:val="00EB3681"/>
    <w:rsid w:val="00EB453B"/>
    <w:rsid w:val="00EB476E"/>
    <w:rsid w:val="00EB4BC7"/>
    <w:rsid w:val="00EB63F8"/>
    <w:rsid w:val="00EB7720"/>
    <w:rsid w:val="00EC059F"/>
    <w:rsid w:val="00EC125A"/>
    <w:rsid w:val="00EC1F24"/>
    <w:rsid w:val="00EC216D"/>
    <w:rsid w:val="00EC22F6"/>
    <w:rsid w:val="00EC3DB9"/>
    <w:rsid w:val="00EC45BA"/>
    <w:rsid w:val="00EC54CA"/>
    <w:rsid w:val="00EC6753"/>
    <w:rsid w:val="00EC6CBB"/>
    <w:rsid w:val="00EC78DF"/>
    <w:rsid w:val="00ED0A01"/>
    <w:rsid w:val="00ED5354"/>
    <w:rsid w:val="00ED5B9B"/>
    <w:rsid w:val="00ED6BAD"/>
    <w:rsid w:val="00ED7447"/>
    <w:rsid w:val="00ED754E"/>
    <w:rsid w:val="00ED7762"/>
    <w:rsid w:val="00EE00D6"/>
    <w:rsid w:val="00EE11E7"/>
    <w:rsid w:val="00EE1488"/>
    <w:rsid w:val="00EE1A85"/>
    <w:rsid w:val="00EE230B"/>
    <w:rsid w:val="00EE2415"/>
    <w:rsid w:val="00EE29AD"/>
    <w:rsid w:val="00EE3C3B"/>
    <w:rsid w:val="00EE3E24"/>
    <w:rsid w:val="00EE4450"/>
    <w:rsid w:val="00EE4D5D"/>
    <w:rsid w:val="00EE5131"/>
    <w:rsid w:val="00EF0389"/>
    <w:rsid w:val="00EF0F51"/>
    <w:rsid w:val="00EF109B"/>
    <w:rsid w:val="00EF1686"/>
    <w:rsid w:val="00EF201C"/>
    <w:rsid w:val="00EF22F0"/>
    <w:rsid w:val="00EF2C72"/>
    <w:rsid w:val="00EF3219"/>
    <w:rsid w:val="00EF35D6"/>
    <w:rsid w:val="00EF36AF"/>
    <w:rsid w:val="00EF582C"/>
    <w:rsid w:val="00EF59A3"/>
    <w:rsid w:val="00EF65E0"/>
    <w:rsid w:val="00EF6675"/>
    <w:rsid w:val="00EF6E81"/>
    <w:rsid w:val="00F0063D"/>
    <w:rsid w:val="00F00B64"/>
    <w:rsid w:val="00F00F9C"/>
    <w:rsid w:val="00F01938"/>
    <w:rsid w:val="00F01B6E"/>
    <w:rsid w:val="00F01E5F"/>
    <w:rsid w:val="00F01FBE"/>
    <w:rsid w:val="00F024F3"/>
    <w:rsid w:val="00F02ABA"/>
    <w:rsid w:val="00F031D6"/>
    <w:rsid w:val="00F03BF1"/>
    <w:rsid w:val="00F0437A"/>
    <w:rsid w:val="00F05073"/>
    <w:rsid w:val="00F070F3"/>
    <w:rsid w:val="00F072D3"/>
    <w:rsid w:val="00F101B8"/>
    <w:rsid w:val="00F11037"/>
    <w:rsid w:val="00F11204"/>
    <w:rsid w:val="00F14496"/>
    <w:rsid w:val="00F1496C"/>
    <w:rsid w:val="00F15144"/>
    <w:rsid w:val="00F15660"/>
    <w:rsid w:val="00F16F1B"/>
    <w:rsid w:val="00F1758A"/>
    <w:rsid w:val="00F17D35"/>
    <w:rsid w:val="00F21C0C"/>
    <w:rsid w:val="00F22E71"/>
    <w:rsid w:val="00F23A3C"/>
    <w:rsid w:val="00F24138"/>
    <w:rsid w:val="00F24E86"/>
    <w:rsid w:val="00F250A9"/>
    <w:rsid w:val="00F2612C"/>
    <w:rsid w:val="00F267AF"/>
    <w:rsid w:val="00F27B23"/>
    <w:rsid w:val="00F30555"/>
    <w:rsid w:val="00F30FF4"/>
    <w:rsid w:val="00F3122E"/>
    <w:rsid w:val="00F31D2F"/>
    <w:rsid w:val="00F32368"/>
    <w:rsid w:val="00F32FC0"/>
    <w:rsid w:val="00F32FD5"/>
    <w:rsid w:val="00F331AD"/>
    <w:rsid w:val="00F344A2"/>
    <w:rsid w:val="00F34685"/>
    <w:rsid w:val="00F349A1"/>
    <w:rsid w:val="00F35287"/>
    <w:rsid w:val="00F360C5"/>
    <w:rsid w:val="00F36EE3"/>
    <w:rsid w:val="00F37772"/>
    <w:rsid w:val="00F40A70"/>
    <w:rsid w:val="00F40EAC"/>
    <w:rsid w:val="00F41807"/>
    <w:rsid w:val="00F427E1"/>
    <w:rsid w:val="00F42CFE"/>
    <w:rsid w:val="00F43A37"/>
    <w:rsid w:val="00F455E3"/>
    <w:rsid w:val="00F45D9A"/>
    <w:rsid w:val="00F4641B"/>
    <w:rsid w:val="00F46EB8"/>
    <w:rsid w:val="00F479CC"/>
    <w:rsid w:val="00F50CD1"/>
    <w:rsid w:val="00F511E4"/>
    <w:rsid w:val="00F51B58"/>
    <w:rsid w:val="00F52C5D"/>
    <w:rsid w:val="00F52D09"/>
    <w:rsid w:val="00F52D8C"/>
    <w:rsid w:val="00F52E08"/>
    <w:rsid w:val="00F53A66"/>
    <w:rsid w:val="00F5462D"/>
    <w:rsid w:val="00F54F11"/>
    <w:rsid w:val="00F55B21"/>
    <w:rsid w:val="00F56EF6"/>
    <w:rsid w:val="00F57E0D"/>
    <w:rsid w:val="00F60082"/>
    <w:rsid w:val="00F604D7"/>
    <w:rsid w:val="00F60870"/>
    <w:rsid w:val="00F61A9F"/>
    <w:rsid w:val="00F61B5F"/>
    <w:rsid w:val="00F64696"/>
    <w:rsid w:val="00F64993"/>
    <w:rsid w:val="00F652DF"/>
    <w:rsid w:val="00F655AA"/>
    <w:rsid w:val="00F65AA9"/>
    <w:rsid w:val="00F66B59"/>
    <w:rsid w:val="00F66E85"/>
    <w:rsid w:val="00F6768F"/>
    <w:rsid w:val="00F72C2C"/>
    <w:rsid w:val="00F741F2"/>
    <w:rsid w:val="00F74BF9"/>
    <w:rsid w:val="00F76CAB"/>
    <w:rsid w:val="00F77053"/>
    <w:rsid w:val="00F772C6"/>
    <w:rsid w:val="00F815B5"/>
    <w:rsid w:val="00F81814"/>
    <w:rsid w:val="00F83096"/>
    <w:rsid w:val="00F83D8D"/>
    <w:rsid w:val="00F848CC"/>
    <w:rsid w:val="00F84BE5"/>
    <w:rsid w:val="00F84F1C"/>
    <w:rsid w:val="00F85195"/>
    <w:rsid w:val="00F856EE"/>
    <w:rsid w:val="00F857D4"/>
    <w:rsid w:val="00F868E3"/>
    <w:rsid w:val="00F86D2F"/>
    <w:rsid w:val="00F9115D"/>
    <w:rsid w:val="00F91518"/>
    <w:rsid w:val="00F933B1"/>
    <w:rsid w:val="00F938BA"/>
    <w:rsid w:val="00F94356"/>
    <w:rsid w:val="00F9644A"/>
    <w:rsid w:val="00F97919"/>
    <w:rsid w:val="00F97FD9"/>
    <w:rsid w:val="00FA0892"/>
    <w:rsid w:val="00FA1140"/>
    <w:rsid w:val="00FA2004"/>
    <w:rsid w:val="00FA230B"/>
    <w:rsid w:val="00FA2C46"/>
    <w:rsid w:val="00FA3525"/>
    <w:rsid w:val="00FA3EE0"/>
    <w:rsid w:val="00FA5442"/>
    <w:rsid w:val="00FA5A53"/>
    <w:rsid w:val="00FA6449"/>
    <w:rsid w:val="00FA6D1C"/>
    <w:rsid w:val="00FA7E69"/>
    <w:rsid w:val="00FB0539"/>
    <w:rsid w:val="00FB1572"/>
    <w:rsid w:val="00FB1F6E"/>
    <w:rsid w:val="00FB3D86"/>
    <w:rsid w:val="00FB4769"/>
    <w:rsid w:val="00FB4CDA"/>
    <w:rsid w:val="00FB6481"/>
    <w:rsid w:val="00FB6852"/>
    <w:rsid w:val="00FB6865"/>
    <w:rsid w:val="00FB6D36"/>
    <w:rsid w:val="00FB7F0A"/>
    <w:rsid w:val="00FC0965"/>
    <w:rsid w:val="00FC0BD0"/>
    <w:rsid w:val="00FC0F81"/>
    <w:rsid w:val="00FC1A0A"/>
    <w:rsid w:val="00FC252F"/>
    <w:rsid w:val="00FC3269"/>
    <w:rsid w:val="00FC395C"/>
    <w:rsid w:val="00FC5745"/>
    <w:rsid w:val="00FC5E8E"/>
    <w:rsid w:val="00FC686D"/>
    <w:rsid w:val="00FC6E50"/>
    <w:rsid w:val="00FC7CD1"/>
    <w:rsid w:val="00FC7E3A"/>
    <w:rsid w:val="00FD09D4"/>
    <w:rsid w:val="00FD0B13"/>
    <w:rsid w:val="00FD1D0C"/>
    <w:rsid w:val="00FD3502"/>
    <w:rsid w:val="00FD3766"/>
    <w:rsid w:val="00FD3D05"/>
    <w:rsid w:val="00FD40D4"/>
    <w:rsid w:val="00FD451A"/>
    <w:rsid w:val="00FD47C4"/>
    <w:rsid w:val="00FD5AA8"/>
    <w:rsid w:val="00FD5F4B"/>
    <w:rsid w:val="00FD5F64"/>
    <w:rsid w:val="00FD72BE"/>
    <w:rsid w:val="00FE0119"/>
    <w:rsid w:val="00FE2312"/>
    <w:rsid w:val="00FE2D04"/>
    <w:rsid w:val="00FE2DCF"/>
    <w:rsid w:val="00FE331E"/>
    <w:rsid w:val="00FE3FA7"/>
    <w:rsid w:val="00FE4081"/>
    <w:rsid w:val="00FE4323"/>
    <w:rsid w:val="00FE6AAF"/>
    <w:rsid w:val="00FE6E41"/>
    <w:rsid w:val="00FF03F2"/>
    <w:rsid w:val="00FF09B4"/>
    <w:rsid w:val="00FF1814"/>
    <w:rsid w:val="00FF1D16"/>
    <w:rsid w:val="00FF2A4E"/>
    <w:rsid w:val="00FF2FCE"/>
    <w:rsid w:val="00FF462D"/>
    <w:rsid w:val="00FF4F7D"/>
    <w:rsid w:val="00FF591D"/>
    <w:rsid w:val="00FF5C22"/>
    <w:rsid w:val="00FF6D9D"/>
    <w:rsid w:val="00FF6FE1"/>
    <w:rsid w:val="00FF7620"/>
    <w:rsid w:val="00FF7CB2"/>
    <w:rsid w:val="00FF7DD5"/>
    <w:rsid w:val="09AF91BB"/>
    <w:rsid w:val="17430B5F"/>
    <w:rsid w:val="1D0432D6"/>
    <w:rsid w:val="24EE28B9"/>
    <w:rsid w:val="3D053432"/>
    <w:rsid w:val="5FDE4C41"/>
    <w:rsid w:val="72AD9BE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749FD539-F7E0-40E4-99A4-73E6C5AC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425A7E"/>
    <w:pPr>
      <w:keepNext/>
      <w:keepLines/>
      <w:spacing w:before="36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876E56"/>
    <w:pPr>
      <w:keepNext/>
      <w:keepLines/>
      <w:spacing w:before="36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425A7E"/>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876E56"/>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table" w:customStyle="1" w:styleId="Pridetable">
    <w:name w:val="Pride table"/>
    <w:basedOn w:val="TableNormal"/>
    <w:uiPriority w:val="99"/>
    <w:rsid w:val="00223396"/>
    <w:tblPr>
      <w:tblBorders>
        <w:bottom w:val="single" w:sz="4" w:space="0" w:color="auto"/>
        <w:insideH w:val="single" w:sz="4" w:space="0" w:color="auto"/>
      </w:tblBorders>
    </w:tblPr>
  </w:style>
  <w:style w:type="paragraph" w:styleId="ListParagraph">
    <w:name w:val="List Paragraph"/>
    <w:basedOn w:val="Normal"/>
    <w:uiPriority w:val="34"/>
    <w:qFormat/>
    <w:rsid w:val="00800636"/>
    <w:pPr>
      <w:spacing w:after="160" w:line="259" w:lineRule="auto"/>
      <w:ind w:left="720"/>
      <w:contextualSpacing/>
    </w:pPr>
    <w:rPr>
      <w:rFonts w:asciiTheme="minorHAnsi" w:eastAsiaTheme="minorHAnsi" w:hAnsiTheme="minorHAnsi" w:cstheme="minorBidi"/>
      <w:sz w:val="22"/>
      <w:szCs w:val="22"/>
      <w:lang w:val="en-GB"/>
    </w:rPr>
  </w:style>
  <w:style w:type="paragraph" w:styleId="Caption">
    <w:name w:val="caption"/>
    <w:basedOn w:val="Normal"/>
    <w:next w:val="Normal"/>
    <w:uiPriority w:val="35"/>
    <w:unhideWhenUsed/>
    <w:qFormat/>
    <w:rsid w:val="007B0DF8"/>
    <w:pPr>
      <w:spacing w:after="200" w:line="240" w:lineRule="auto"/>
    </w:pPr>
    <w:rPr>
      <w:i/>
      <w:iCs/>
      <w:color w:val="1F497D" w:themeColor="text2"/>
      <w:sz w:val="18"/>
      <w:szCs w:val="18"/>
    </w:rPr>
  </w:style>
  <w:style w:type="character" w:styleId="Mention">
    <w:name w:val="Mention"/>
    <w:basedOn w:val="DefaultParagraphFont"/>
    <w:uiPriority w:val="99"/>
    <w:unhideWhenUsed/>
    <w:rsid w:val="00AE0C9C"/>
    <w:rPr>
      <w:color w:val="2B579A"/>
      <w:shd w:val="clear" w:color="auto" w:fill="E1DFDD"/>
    </w:rPr>
  </w:style>
  <w:style w:type="paragraph" w:customStyle="1" w:styleId="PAECNormal">
    <w:name w:val="PAEC Normal"/>
    <w:uiPriority w:val="8"/>
    <w:qFormat/>
    <w:rsid w:val="00D1362B"/>
    <w:rPr>
      <w:rFonts w:ascii="Arial" w:hAnsi="Arial"/>
      <w:sz w:val="22"/>
    </w:rPr>
  </w:style>
  <w:style w:type="paragraph" w:customStyle="1" w:styleId="PAECTalkingPoints1">
    <w:name w:val="PAEC Talking Points 1"/>
    <w:link w:val="PAECTalkingPoints1Char"/>
    <w:rsid w:val="00D1362B"/>
    <w:pPr>
      <w:numPr>
        <w:numId w:val="48"/>
      </w:numPr>
      <w:spacing w:after="120"/>
    </w:pPr>
    <w:rPr>
      <w:rFonts w:ascii="Arial" w:hAnsi="Arial"/>
      <w:sz w:val="28"/>
      <w:szCs w:val="28"/>
    </w:rPr>
  </w:style>
  <w:style w:type="character" w:customStyle="1" w:styleId="PAECTalkingPoints1Char">
    <w:name w:val="PAEC Talking Points 1 Char"/>
    <w:basedOn w:val="DefaultParagraphFont"/>
    <w:link w:val="PAECTalkingPoints1"/>
    <w:rsid w:val="00D1362B"/>
    <w:rPr>
      <w:rFonts w:ascii="Arial" w:hAnsi="Arial"/>
      <w:sz w:val="28"/>
      <w:szCs w:val="28"/>
    </w:rPr>
  </w:style>
  <w:style w:type="character" w:customStyle="1" w:styleId="normaltextrun">
    <w:name w:val="normaltextrun"/>
    <w:basedOn w:val="DefaultParagraphFont"/>
    <w:rsid w:val="00D1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500401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44533837">
      <w:bodyDiv w:val="1"/>
      <w:marLeft w:val="0"/>
      <w:marRight w:val="0"/>
      <w:marTop w:val="0"/>
      <w:marBottom w:val="0"/>
      <w:divBdr>
        <w:top w:val="none" w:sz="0" w:space="0" w:color="auto"/>
        <w:left w:val="none" w:sz="0" w:space="0" w:color="auto"/>
        <w:bottom w:val="none" w:sz="0" w:space="0" w:color="auto"/>
        <w:right w:val="none" w:sz="0" w:space="0" w:color="auto"/>
      </w:divBdr>
    </w:div>
    <w:div w:id="139712254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804306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989735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617383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quality@dffh.vic.gov.au"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dhhsvicgovau.sharepoint.com/sites/Equality/Shared%20Documents/8.%20Strategy/Outcomes%20framework/Pride%20in%20our%20future:%20outco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vahi.vic.gov.au/reports/population-health/victorian-population-health-survey-2020-dashboards" TargetMode="External"/><Relationship Id="rId3" Type="http://schemas.openxmlformats.org/officeDocument/2006/relationships/hyperlink" Target="https://vahi.vic.gov.au/reports/population-health/victorian-population-health-survey-2020-dashboards" TargetMode="External"/><Relationship Id="rId7" Type="http://schemas.openxmlformats.org/officeDocument/2006/relationships/hyperlink" Target="https://vahi.vic.gov.au/reports/population-health/victorian-population-health-survey-2020-dashboards" TargetMode="External"/><Relationship Id="rId2" Type="http://schemas.openxmlformats.org/officeDocument/2006/relationships/hyperlink" Target="https://www.latrobe.edu.au/__data/assets/pdf_file/0005/1229468/Private-Lives-3-The-health-and-wellbeing-of-LGBTQ-people-in-Victoria.pdf" TargetMode="External"/><Relationship Id="rId1" Type="http://schemas.openxmlformats.org/officeDocument/2006/relationships/hyperlink" Target="https://vahi.vic.gov.au/reports/population-health/victorian-population-health-survey-2020-dashboards" TargetMode="External"/><Relationship Id="rId6" Type="http://schemas.openxmlformats.org/officeDocument/2006/relationships/hyperlink" Target="https://www.latrobe.edu.au/arcshs/work/writing-themselves-in-4" TargetMode="External"/><Relationship Id="rId5" Type="http://schemas.openxmlformats.org/officeDocument/2006/relationships/hyperlink" Target="https://www.latrobe.edu.au/__data/assets/pdf_file/0005/1229468/Private-Lives-3-The-health-and-wellbeing-of-LGBTQ-people-in-Victoria.pdf" TargetMode="External"/><Relationship Id="rId4" Type="http://schemas.openxmlformats.org/officeDocument/2006/relationships/hyperlink" Target="https://vahi.vic.gov.au/reports/population-health/victorian-population-health-survey-2020-dash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7296EA1D751A4798FB6B0DFFB81F87" ma:contentTypeVersion="19" ma:contentTypeDescription="Create a new document." ma:contentTypeScope="" ma:versionID="b21252757d258916ea4e9ffc55649994">
  <xsd:schema xmlns:xsd="http://www.w3.org/2001/XMLSchema" xmlns:xs="http://www.w3.org/2001/XMLSchema" xmlns:p="http://schemas.microsoft.com/office/2006/metadata/properties" xmlns:ns2="81a669a9-4c03-4d16-87ee-6a524753b854" xmlns:ns3="12e4350b-c9ec-4cf9-8bf5-5701c567b7cd" xmlns:ns4="5ce0f2b5-5be5-4508-bce9-d7011ece0659" targetNamespace="http://schemas.microsoft.com/office/2006/metadata/properties" ma:root="true" ma:fieldsID="14be08ae98e9c97026084396fcd12ec0" ns2:_="" ns3:_="" ns4:_="">
    <xsd:import namespace="81a669a9-4c03-4d16-87ee-6a524753b854"/>
    <xsd:import namespace="12e4350b-c9ec-4cf9-8bf5-5701c567b7c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element ref="ns3:Identity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69a9-4c03-4d16-87ee-6a524753b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4350b-c9ec-4cf9-8bf5-5701c567b7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dentityTags" ma:index="26" nillable="true" ma:displayName="Identity Tags" ma:description="Tags that we want to be able to search by " ma:format="Dropdown" ma:internalName="IdentityTags">
      <xsd:simpleType>
        <xsd:restriction base="dms:Choice">
          <xsd:enumeration value="Bi Sexual "/>
          <xsd:enumeration value="Trans and Gender Diverse "/>
          <xsd:enumeration value="Asexual"/>
          <xsd:enumeration value="First Nations "/>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a711e9-d6c2-4062-96bc-83b67a63cb7e}" ma:internalName="TaxCatchAll" ma:showField="CatchAllData" ma:web="81a669a9-4c03-4d16-87ee-6a524753b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81a669a9-4c03-4d16-87ee-6a524753b854">
      <UserInfo>
        <DisplayName>Helen Kelly (DFFH)</DisplayName>
        <AccountId>21</AccountId>
        <AccountType/>
      </UserInfo>
      <UserInfo>
        <DisplayName>Sarah Alexander (DFFH)</DisplayName>
        <AccountId>582</AccountId>
        <AccountType/>
      </UserInfo>
      <UserInfo>
        <DisplayName>Fiona Buchanan (DFFH)</DisplayName>
        <AccountId>321</AccountId>
        <AccountType/>
      </UserInfo>
      <UserInfo>
        <DisplayName>PJ Jacobs (DFFH)</DisplayName>
        <AccountId>502</AccountId>
        <AccountType/>
      </UserInfo>
      <UserInfo>
        <DisplayName>Michael West (DFFH)</DisplayName>
        <AccountId>182</AccountId>
        <AccountType/>
      </UserInfo>
    </SharedWithUsers>
    <lcf76f155ced4ddcb4097134ff3c332f xmlns="12e4350b-c9ec-4cf9-8bf5-5701c567b7cd">
      <Terms xmlns="http://schemas.microsoft.com/office/infopath/2007/PartnerControls"/>
    </lcf76f155ced4ddcb4097134ff3c332f>
    <IdentityTags xmlns="12e4350b-c9ec-4cf9-8bf5-5701c567b7cd"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78D2D0B6-061D-4C76-B4BE-060BD1684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69a9-4c03-4d16-87ee-6a524753b854"/>
    <ds:schemaRef ds:uri="12e4350b-c9ec-4cf9-8bf5-5701c567b7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81a669a9-4c03-4d16-87ee-6a524753b854"/>
    <ds:schemaRef ds:uri="http://purl.org/dc/terms/"/>
    <ds:schemaRef ds:uri="http://schemas.microsoft.com/office/2006/documentManagement/types"/>
    <ds:schemaRef ds:uri="12e4350b-c9ec-4cf9-8bf5-5701c567b7cd"/>
    <ds:schemaRef ds:uri="http://purl.org/dc/elements/1.1/"/>
    <ds:schemaRef ds:uri="http://schemas.openxmlformats.org/package/2006/metadata/core-properties"/>
    <ds:schemaRef ds:uri="http://schemas.microsoft.com/office/infopath/2007/PartnerControls"/>
    <ds:schemaRef ds:uri="http://www.w3.org/XML/1998/namespace"/>
    <ds:schemaRef ds:uri="5ce0f2b5-5be5-4508-bce9-d7011ece065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8470</Words>
  <Characters>48279</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Pride in our future - outcomes framework</vt:lpstr>
    </vt:vector>
  </TitlesOfParts>
  <Manager/>
  <Company>Victoria State Government, Department of Families, Fairness and Housing</Company>
  <LinksUpToDate>false</LinksUpToDate>
  <CharactersWithSpaces>56636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in our future - outcomes framework</dc:title>
  <dc:subject/>
  <dc:creator>Equality</dc:creator>
  <cp:keywords>Pride in our future; outcomes framework</cp:keywords>
  <dc:description/>
  <cp:revision>63</cp:revision>
  <cp:lastPrinted>2024-07-25T10:42:00Z</cp:lastPrinted>
  <dcterms:created xsi:type="dcterms:W3CDTF">2024-11-12T21:16:00Z</dcterms:created>
  <dcterms:modified xsi:type="dcterms:W3CDTF">2024-11-29T00:04:00Z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0x010100E57296EA1D751A4798FB6B0DFFB81F87</vt:lpwstr>
  </property>
  <property fmtid="{D5CDD505-2E9C-101B-9397-08002B2CF9AE}" pid="4" name="version">
    <vt:lpwstr>2022v1 15032022</vt:lpwstr>
  </property>
  <property fmtid="{D5CDD505-2E9C-101B-9397-08002B2CF9AE}" pid="5" name="Order">
    <vt:i4>2400</vt:i4>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https://dhhsvicgovau.sharepoint.com/:w:/s/dffh/EUFx9wiVtCxIpqmWHMxnErYBmFzUz4wEpq_QdLjy8AuQaA</vt:lpwstr>
  </property>
  <property fmtid="{D5CDD505-2E9C-101B-9397-08002B2CF9AE}" pid="14" name="Link">
    <vt:lpwstr>https://dhhsvicgovau.sharepoint.com/:w:/s/dffh/EUFx9wiVtCxIpqmWHMxnErYBmFzUz4wEpq_QdLjy8AuQaA, https://dhhsvicgovau.sharepoint.com/:w:/s/dffh/EUFx9wiVtCxIpqmWHMxnErYBmFzUz4wEpq_QdLjy8AuQaA</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y fmtid="{D5CDD505-2E9C-101B-9397-08002B2CF9AE}" pid="18" name="MSIP_Label_43e64453-338c-4f93-8a4d-0039a0a41f2a_Enabled">
    <vt:lpwstr>true</vt:lpwstr>
  </property>
  <property fmtid="{D5CDD505-2E9C-101B-9397-08002B2CF9AE}" pid="19" name="MSIP_Label_43e64453-338c-4f93-8a4d-0039a0a41f2a_SetDate">
    <vt:lpwstr>2024-08-19T06:13:22Z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1dbae21d-c5cd-4ea0-b79e-930c8067f129</vt:lpwstr>
  </property>
  <property fmtid="{D5CDD505-2E9C-101B-9397-08002B2CF9AE}" pid="24" name="MSIP_Label_43e64453-338c-4f93-8a4d-0039a0a41f2a_ContentBits">
    <vt:lpwstr>2</vt:lpwstr>
  </property>
</Properties>
</file>