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112B" w14:textId="77777777" w:rsidR="0074696E" w:rsidRPr="00280C4B" w:rsidRDefault="00B95AB9" w:rsidP="00793266">
      <w:pPr>
        <w:pStyle w:val="Sectionbreakfirstpage"/>
        <w:spacing w:line="360" w:lineRule="auto"/>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FE87C0" w14:textId="77777777" w:rsidR="00A62D44" w:rsidRPr="00280C4B" w:rsidRDefault="00A62D44" w:rsidP="00793266">
      <w:pPr>
        <w:pStyle w:val="Sectionbreakfirstpage"/>
        <w:spacing w:line="360" w:lineRule="auto"/>
        <w:sectPr w:rsidR="00A62D44" w:rsidRPr="00280C4B" w:rsidSect="00A9710C">
          <w:footerReference w:type="default" r:id="rId14"/>
          <w:footerReference w:type="first" r:id="rId15"/>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5B6A137" w14:textId="77777777" w:rsidTr="6AE44419">
        <w:trPr>
          <w:trHeight w:val="1418"/>
        </w:trPr>
        <w:tc>
          <w:tcPr>
            <w:tcW w:w="7825" w:type="dxa"/>
            <w:vAlign w:val="bottom"/>
          </w:tcPr>
          <w:p w14:paraId="26AA7E29" w14:textId="77777777" w:rsidR="00AD784C" w:rsidRPr="00035BCB" w:rsidRDefault="424ED30A" w:rsidP="00793266">
            <w:pPr>
              <w:pStyle w:val="Heading1"/>
              <w:spacing w:line="360" w:lineRule="auto"/>
            </w:pPr>
            <w:bookmarkStart w:id="0" w:name="_Toc180054020"/>
            <w:bookmarkStart w:id="1" w:name="_Toc180055172"/>
            <w:r w:rsidRPr="00035BCB">
              <w:t>Guide to r</w:t>
            </w:r>
            <w:r w:rsidR="5AF333B0" w:rsidRPr="00035BCB">
              <w:t>eporting a notifiable incident</w:t>
            </w:r>
            <w:r w:rsidR="67C222D8" w:rsidRPr="00035BCB">
              <w:t xml:space="preserve"> </w:t>
            </w:r>
            <w:bookmarkEnd w:id="0"/>
            <w:bookmarkEnd w:id="1"/>
          </w:p>
        </w:tc>
      </w:tr>
      <w:tr w:rsidR="000B2117" w14:paraId="7777C04E" w14:textId="77777777" w:rsidTr="6AE44419">
        <w:trPr>
          <w:trHeight w:val="1247"/>
        </w:trPr>
        <w:tc>
          <w:tcPr>
            <w:tcW w:w="7825" w:type="dxa"/>
          </w:tcPr>
          <w:p w14:paraId="7A53AF44" w14:textId="77777777" w:rsidR="000B2117" w:rsidRPr="0016037B" w:rsidRDefault="00A4173E" w:rsidP="00793266">
            <w:pPr>
              <w:pStyle w:val="Documentsubtitle"/>
              <w:spacing w:line="360" w:lineRule="auto"/>
              <w:jc w:val="both"/>
            </w:pPr>
            <w:r>
              <w:t xml:space="preserve">For incidents </w:t>
            </w:r>
            <w:r w:rsidR="009A0284">
              <w:t xml:space="preserve">that happen during </w:t>
            </w:r>
            <w:r w:rsidR="005620A3">
              <w:t>service delivery</w:t>
            </w:r>
          </w:p>
        </w:tc>
      </w:tr>
      <w:tr w:rsidR="00CF4148" w14:paraId="1366AB3A" w14:textId="77777777" w:rsidTr="6AE44419">
        <w:trPr>
          <w:trHeight w:val="284"/>
        </w:trPr>
        <w:tc>
          <w:tcPr>
            <w:tcW w:w="7825" w:type="dxa"/>
          </w:tcPr>
          <w:p w14:paraId="4819733C" w14:textId="77777777" w:rsidR="00CF4148" w:rsidRPr="00250DC4" w:rsidRDefault="00CF4148" w:rsidP="00793266">
            <w:pPr>
              <w:pStyle w:val="Bannermarking"/>
              <w:spacing w:line="360" w:lineRule="auto"/>
            </w:pPr>
            <w:fldSimple w:instr="FILLIN  &quot;Type the protective marking&quot; \d OFFICIAL \o  \* MERGEFORMAT">
              <w:r>
                <w:t>OFFICIAL</w:t>
              </w:r>
            </w:fldSimple>
          </w:p>
        </w:tc>
      </w:tr>
    </w:tbl>
    <w:p w14:paraId="64C38F28" w14:textId="77777777" w:rsidR="00AD784C" w:rsidRPr="0082480F" w:rsidRDefault="00AD784C" w:rsidP="00793266">
      <w:pPr>
        <w:pStyle w:val="Heading2"/>
        <w:spacing w:line="360" w:lineRule="auto"/>
      </w:pPr>
      <w:r w:rsidRPr="0082480F">
        <w:t>Contents</w:t>
      </w:r>
    </w:p>
    <w:p w14:paraId="3D57EF7C" w14:textId="77777777" w:rsidR="00643606" w:rsidRDefault="00AD784C" w:rsidP="00793266">
      <w:pPr>
        <w:pStyle w:val="TOC1"/>
        <w:spacing w:line="360" w:lineRule="auto"/>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0055173" w:history="1">
        <w:r w:rsidR="00643606" w:rsidRPr="007738F2">
          <w:rPr>
            <w:rStyle w:val="Hyperlink"/>
          </w:rPr>
          <w:t>Introduction</w:t>
        </w:r>
        <w:r w:rsidR="00643606">
          <w:rPr>
            <w:webHidden/>
          </w:rPr>
          <w:tab/>
        </w:r>
        <w:r w:rsidR="00643606">
          <w:rPr>
            <w:webHidden/>
          </w:rPr>
          <w:fldChar w:fldCharType="begin"/>
        </w:r>
        <w:r w:rsidR="00643606">
          <w:rPr>
            <w:webHidden/>
          </w:rPr>
          <w:instrText xml:space="preserve"> PAGEREF _Toc180055173 \h </w:instrText>
        </w:r>
        <w:r w:rsidR="00643606">
          <w:rPr>
            <w:webHidden/>
          </w:rPr>
        </w:r>
        <w:r w:rsidR="00643606">
          <w:rPr>
            <w:webHidden/>
          </w:rPr>
          <w:fldChar w:fldCharType="separate"/>
        </w:r>
        <w:r w:rsidR="00643606">
          <w:rPr>
            <w:webHidden/>
          </w:rPr>
          <w:t>1</w:t>
        </w:r>
        <w:r w:rsidR="00643606">
          <w:rPr>
            <w:webHidden/>
          </w:rPr>
          <w:fldChar w:fldCharType="end"/>
        </w:r>
      </w:hyperlink>
    </w:p>
    <w:p w14:paraId="718B4ED9" w14:textId="77777777" w:rsidR="00643606" w:rsidRDefault="00643606" w:rsidP="00793266">
      <w:pPr>
        <w:pStyle w:val="TOC1"/>
        <w:spacing w:line="360" w:lineRule="auto"/>
        <w:rPr>
          <w:rFonts w:asciiTheme="minorHAnsi" w:eastAsiaTheme="minorEastAsia" w:hAnsiTheme="minorHAnsi" w:cstheme="minorBidi"/>
          <w:b w:val="0"/>
          <w:kern w:val="2"/>
          <w:sz w:val="24"/>
          <w:szCs w:val="24"/>
          <w:lang w:eastAsia="en-AU"/>
          <w14:ligatures w14:val="standardContextual"/>
        </w:rPr>
      </w:pPr>
      <w:hyperlink w:anchor="_Toc180055174" w:history="1">
        <w:r w:rsidRPr="007738F2">
          <w:rPr>
            <w:rStyle w:val="Hyperlink"/>
          </w:rPr>
          <w:t>What is a notifiable incident?</w:t>
        </w:r>
        <w:r>
          <w:rPr>
            <w:webHidden/>
          </w:rPr>
          <w:tab/>
        </w:r>
        <w:r>
          <w:rPr>
            <w:webHidden/>
          </w:rPr>
          <w:fldChar w:fldCharType="begin"/>
        </w:r>
        <w:r>
          <w:rPr>
            <w:webHidden/>
          </w:rPr>
          <w:instrText xml:space="preserve"> PAGEREF _Toc180055174 \h </w:instrText>
        </w:r>
        <w:r>
          <w:rPr>
            <w:webHidden/>
          </w:rPr>
        </w:r>
        <w:r>
          <w:rPr>
            <w:webHidden/>
          </w:rPr>
          <w:fldChar w:fldCharType="separate"/>
        </w:r>
        <w:r>
          <w:rPr>
            <w:webHidden/>
          </w:rPr>
          <w:t>1</w:t>
        </w:r>
        <w:r>
          <w:rPr>
            <w:webHidden/>
          </w:rPr>
          <w:fldChar w:fldCharType="end"/>
        </w:r>
      </w:hyperlink>
    </w:p>
    <w:p w14:paraId="085CBCC4" w14:textId="77777777" w:rsidR="00643606" w:rsidRDefault="00643606" w:rsidP="00793266">
      <w:pPr>
        <w:pStyle w:val="TOC2"/>
        <w:spacing w:line="360" w:lineRule="auto"/>
        <w:rPr>
          <w:rFonts w:asciiTheme="minorHAnsi" w:eastAsiaTheme="minorEastAsia" w:hAnsiTheme="minorHAnsi" w:cstheme="minorBidi"/>
          <w:kern w:val="2"/>
          <w:sz w:val="24"/>
          <w:szCs w:val="24"/>
          <w:lang w:eastAsia="en-AU"/>
          <w14:ligatures w14:val="standardContextual"/>
        </w:rPr>
      </w:pPr>
      <w:hyperlink w:anchor="_Toc180055175" w:history="1">
        <w:r w:rsidRPr="007738F2">
          <w:rPr>
            <w:rStyle w:val="Hyperlink"/>
          </w:rPr>
          <w:t>What incidents must be reported?</w:t>
        </w:r>
        <w:r>
          <w:rPr>
            <w:webHidden/>
          </w:rPr>
          <w:tab/>
        </w:r>
        <w:r>
          <w:rPr>
            <w:webHidden/>
          </w:rPr>
          <w:fldChar w:fldCharType="begin"/>
        </w:r>
        <w:r>
          <w:rPr>
            <w:webHidden/>
          </w:rPr>
          <w:instrText xml:space="preserve"> PAGEREF _Toc180055175 \h </w:instrText>
        </w:r>
        <w:r>
          <w:rPr>
            <w:webHidden/>
          </w:rPr>
        </w:r>
        <w:r>
          <w:rPr>
            <w:webHidden/>
          </w:rPr>
          <w:fldChar w:fldCharType="separate"/>
        </w:r>
        <w:r>
          <w:rPr>
            <w:webHidden/>
          </w:rPr>
          <w:t>2</w:t>
        </w:r>
        <w:r>
          <w:rPr>
            <w:webHidden/>
          </w:rPr>
          <w:fldChar w:fldCharType="end"/>
        </w:r>
      </w:hyperlink>
    </w:p>
    <w:p w14:paraId="68C26E43" w14:textId="30410FE8" w:rsidR="00643606" w:rsidRDefault="00AE4673" w:rsidP="00793266">
      <w:pPr>
        <w:pStyle w:val="TOC1"/>
        <w:spacing w:line="360" w:lineRule="auto"/>
        <w:rPr>
          <w:rFonts w:asciiTheme="minorHAnsi" w:eastAsiaTheme="minorEastAsia" w:hAnsiTheme="minorHAnsi" w:cstheme="minorBidi"/>
          <w:b w:val="0"/>
          <w:kern w:val="2"/>
          <w:sz w:val="24"/>
          <w:szCs w:val="24"/>
          <w:lang w:eastAsia="en-AU"/>
          <w14:ligatures w14:val="standardContextual"/>
        </w:rPr>
      </w:pPr>
      <w:r>
        <w:t>Reporting serious risk and serious harm</w:t>
      </w:r>
      <w:hyperlink w:anchor="_Toc180055176" w:history="1">
        <w:r w:rsidR="00643606">
          <w:rPr>
            <w:webHidden/>
          </w:rPr>
          <w:tab/>
        </w:r>
        <w:r w:rsidR="00643606">
          <w:rPr>
            <w:webHidden/>
          </w:rPr>
          <w:fldChar w:fldCharType="begin"/>
        </w:r>
        <w:r w:rsidR="00643606">
          <w:rPr>
            <w:webHidden/>
          </w:rPr>
          <w:instrText xml:space="preserve"> PAGEREF _Toc180055176 \h </w:instrText>
        </w:r>
        <w:r w:rsidR="00643606">
          <w:rPr>
            <w:webHidden/>
          </w:rPr>
        </w:r>
        <w:r w:rsidR="00643606">
          <w:rPr>
            <w:webHidden/>
          </w:rPr>
          <w:fldChar w:fldCharType="separate"/>
        </w:r>
        <w:r w:rsidR="00643606">
          <w:rPr>
            <w:webHidden/>
          </w:rPr>
          <w:t>2</w:t>
        </w:r>
        <w:r w:rsidR="00643606">
          <w:rPr>
            <w:webHidden/>
          </w:rPr>
          <w:fldChar w:fldCharType="end"/>
        </w:r>
      </w:hyperlink>
    </w:p>
    <w:p w14:paraId="060CEFFD" w14:textId="4B0BFD90" w:rsidR="00643606" w:rsidRDefault="00AE4673" w:rsidP="00793266">
      <w:pPr>
        <w:pStyle w:val="TOC2"/>
        <w:spacing w:line="360" w:lineRule="auto"/>
        <w:rPr>
          <w:rFonts w:asciiTheme="minorHAnsi" w:eastAsiaTheme="minorEastAsia" w:hAnsiTheme="minorHAnsi" w:cstheme="minorBidi"/>
          <w:kern w:val="2"/>
          <w:sz w:val="24"/>
          <w:szCs w:val="24"/>
          <w:lang w:eastAsia="en-AU"/>
          <w14:ligatures w14:val="standardContextual"/>
        </w:rPr>
      </w:pPr>
      <w:hyperlink w:anchor="_Toc180055177" w:history="1">
        <w:r>
          <w:rPr>
            <w:rStyle w:val="Hyperlink"/>
          </w:rPr>
          <w:t>Notifiable incidents</w:t>
        </w:r>
        <w:r w:rsidR="00643606">
          <w:rPr>
            <w:webHidden/>
          </w:rPr>
          <w:tab/>
        </w:r>
        <w:r w:rsidR="00643606">
          <w:rPr>
            <w:webHidden/>
          </w:rPr>
          <w:fldChar w:fldCharType="begin"/>
        </w:r>
        <w:r w:rsidR="00643606">
          <w:rPr>
            <w:webHidden/>
          </w:rPr>
          <w:instrText xml:space="preserve"> PAGEREF _Toc180055177 \h </w:instrText>
        </w:r>
        <w:r w:rsidR="00643606">
          <w:rPr>
            <w:webHidden/>
          </w:rPr>
        </w:r>
        <w:r w:rsidR="00643606">
          <w:rPr>
            <w:webHidden/>
          </w:rPr>
          <w:fldChar w:fldCharType="separate"/>
        </w:r>
        <w:r w:rsidR="00643606">
          <w:rPr>
            <w:webHidden/>
          </w:rPr>
          <w:t>2</w:t>
        </w:r>
        <w:r w:rsidR="00643606">
          <w:rPr>
            <w:webHidden/>
          </w:rPr>
          <w:fldChar w:fldCharType="end"/>
        </w:r>
      </w:hyperlink>
    </w:p>
    <w:p w14:paraId="395F62C0" w14:textId="77777777" w:rsidR="00643606" w:rsidRDefault="00643606" w:rsidP="00793266">
      <w:pPr>
        <w:pStyle w:val="TOC2"/>
        <w:spacing w:line="360" w:lineRule="auto"/>
        <w:rPr>
          <w:rFonts w:asciiTheme="minorHAnsi" w:eastAsiaTheme="minorEastAsia" w:hAnsiTheme="minorHAnsi" w:cstheme="minorBidi"/>
          <w:kern w:val="2"/>
          <w:sz w:val="24"/>
          <w:szCs w:val="24"/>
          <w:lang w:eastAsia="en-AU"/>
          <w14:ligatures w14:val="standardContextual"/>
        </w:rPr>
      </w:pPr>
      <w:hyperlink w:anchor="_Toc180055178" w:history="1">
        <w:r w:rsidRPr="007738F2">
          <w:rPr>
            <w:rStyle w:val="Hyperlink"/>
          </w:rPr>
          <w:t xml:space="preserve">Extra reporting step for </w:t>
        </w:r>
        <w:r w:rsidRPr="007738F2">
          <w:rPr>
            <w:rStyle w:val="Hyperlink"/>
            <w:iCs/>
          </w:rPr>
          <w:t xml:space="preserve">critical </w:t>
        </w:r>
        <w:r w:rsidRPr="007738F2">
          <w:rPr>
            <w:rStyle w:val="Hyperlink"/>
          </w:rPr>
          <w:t>notifiable incidents</w:t>
        </w:r>
        <w:r>
          <w:rPr>
            <w:webHidden/>
          </w:rPr>
          <w:tab/>
        </w:r>
        <w:r>
          <w:rPr>
            <w:webHidden/>
          </w:rPr>
          <w:fldChar w:fldCharType="begin"/>
        </w:r>
        <w:r>
          <w:rPr>
            <w:webHidden/>
          </w:rPr>
          <w:instrText xml:space="preserve"> PAGEREF _Toc180055178 \h </w:instrText>
        </w:r>
        <w:r>
          <w:rPr>
            <w:webHidden/>
          </w:rPr>
        </w:r>
        <w:r>
          <w:rPr>
            <w:webHidden/>
          </w:rPr>
          <w:fldChar w:fldCharType="separate"/>
        </w:r>
        <w:r>
          <w:rPr>
            <w:webHidden/>
          </w:rPr>
          <w:t>4</w:t>
        </w:r>
        <w:r>
          <w:rPr>
            <w:webHidden/>
          </w:rPr>
          <w:fldChar w:fldCharType="end"/>
        </w:r>
      </w:hyperlink>
    </w:p>
    <w:p w14:paraId="1B5C2F2D" w14:textId="260B65B1" w:rsidR="00643606" w:rsidRDefault="00643606" w:rsidP="00793266">
      <w:pPr>
        <w:pStyle w:val="TOC2"/>
        <w:spacing w:line="360" w:lineRule="auto"/>
        <w:rPr>
          <w:rFonts w:asciiTheme="minorHAnsi" w:eastAsiaTheme="minorEastAsia" w:hAnsiTheme="minorHAnsi" w:cstheme="minorBidi"/>
          <w:kern w:val="2"/>
          <w:sz w:val="24"/>
          <w:szCs w:val="24"/>
          <w:lang w:eastAsia="en-AU"/>
          <w14:ligatures w14:val="standardContextual"/>
        </w:rPr>
      </w:pPr>
      <w:hyperlink w:anchor="_Toc180055179" w:history="1">
        <w:r w:rsidRPr="007738F2">
          <w:rPr>
            <w:rStyle w:val="Hyperlink"/>
          </w:rPr>
          <w:t xml:space="preserve">Further reporting </w:t>
        </w:r>
        <w:r w:rsidR="009B28FB">
          <w:rPr>
            <w:rStyle w:val="Hyperlink"/>
          </w:rPr>
          <w:t>protocols</w:t>
        </w:r>
        <w:r w:rsidRPr="007738F2">
          <w:rPr>
            <w:rStyle w:val="Hyperlink"/>
          </w:rPr>
          <w:t xml:space="preserve"> for supported residential services</w:t>
        </w:r>
        <w:r>
          <w:rPr>
            <w:webHidden/>
          </w:rPr>
          <w:tab/>
        </w:r>
        <w:r>
          <w:rPr>
            <w:webHidden/>
          </w:rPr>
          <w:fldChar w:fldCharType="begin"/>
        </w:r>
        <w:r>
          <w:rPr>
            <w:webHidden/>
          </w:rPr>
          <w:instrText xml:space="preserve"> PAGEREF _Toc180055179 \h </w:instrText>
        </w:r>
        <w:r>
          <w:rPr>
            <w:webHidden/>
          </w:rPr>
        </w:r>
        <w:r>
          <w:rPr>
            <w:webHidden/>
          </w:rPr>
          <w:fldChar w:fldCharType="separate"/>
        </w:r>
        <w:r>
          <w:rPr>
            <w:webHidden/>
          </w:rPr>
          <w:t>6</w:t>
        </w:r>
        <w:r>
          <w:rPr>
            <w:webHidden/>
          </w:rPr>
          <w:fldChar w:fldCharType="end"/>
        </w:r>
      </w:hyperlink>
    </w:p>
    <w:p w14:paraId="41682B0D" w14:textId="19762EB4" w:rsidR="004E7570" w:rsidRDefault="00643606" w:rsidP="00793266">
      <w:pPr>
        <w:pStyle w:val="Body"/>
        <w:spacing w:line="360" w:lineRule="auto"/>
      </w:pPr>
      <w:hyperlink w:anchor="_Toc180055180" w:history="1">
        <w:r w:rsidRPr="00CC60E6">
          <w:rPr>
            <w:rStyle w:val="Hyperlink"/>
            <w:b/>
            <w:bCs/>
          </w:rPr>
          <w:t>How to report</w:t>
        </w:r>
        <w:r w:rsidR="004E7570">
          <w:rPr>
            <w:rStyle w:val="Hyperlink"/>
            <w:b/>
            <w:bCs/>
          </w:rPr>
          <w:tab/>
        </w:r>
        <w:r w:rsidR="004E7570">
          <w:rPr>
            <w:rStyle w:val="Hyperlink"/>
            <w:b/>
            <w:bCs/>
          </w:rPr>
          <w:tab/>
        </w:r>
        <w:r w:rsidR="004E7570">
          <w:rPr>
            <w:rStyle w:val="Hyperlink"/>
            <w:b/>
            <w:bCs/>
          </w:rPr>
          <w:tab/>
        </w:r>
        <w:r w:rsidR="004E7570">
          <w:rPr>
            <w:rStyle w:val="Hyperlink"/>
            <w:b/>
            <w:bCs/>
          </w:rPr>
          <w:tab/>
        </w:r>
        <w:r w:rsidR="004E7570">
          <w:rPr>
            <w:rStyle w:val="Hyperlink"/>
            <w:b/>
            <w:bCs/>
          </w:rPr>
          <w:tab/>
        </w:r>
        <w:r w:rsidR="004E7570">
          <w:rPr>
            <w:rStyle w:val="Hyperlink"/>
            <w:b/>
            <w:bCs/>
          </w:rPr>
          <w:tab/>
        </w:r>
        <w:r w:rsidR="004E7570">
          <w:rPr>
            <w:rStyle w:val="Hyperlink"/>
            <w:b/>
            <w:bCs/>
          </w:rPr>
          <w:tab/>
        </w:r>
        <w:r w:rsidR="004E7570">
          <w:rPr>
            <w:rStyle w:val="Hyperlink"/>
            <w:b/>
            <w:bCs/>
          </w:rPr>
          <w:tab/>
        </w:r>
        <w:r w:rsidR="004E7570">
          <w:rPr>
            <w:rStyle w:val="Hyperlink"/>
            <w:b/>
            <w:bCs/>
          </w:rPr>
          <w:tab/>
        </w:r>
        <w:r w:rsidR="004E7570">
          <w:rPr>
            <w:rStyle w:val="Hyperlink"/>
            <w:b/>
            <w:bCs/>
          </w:rPr>
          <w:tab/>
        </w:r>
        <w:r w:rsidR="004E7570">
          <w:rPr>
            <w:rStyle w:val="Hyperlink"/>
            <w:b/>
            <w:bCs/>
          </w:rPr>
          <w:tab/>
        </w:r>
        <w:r w:rsidR="004E7570">
          <w:rPr>
            <w:rStyle w:val="Hyperlink"/>
            <w:b/>
            <w:bCs/>
          </w:rPr>
          <w:tab/>
        </w:r>
        <w:r w:rsidRPr="00CC60E6">
          <w:rPr>
            <w:b/>
            <w:bCs/>
            <w:webHidden/>
          </w:rPr>
          <w:tab/>
        </w:r>
        <w:r w:rsidRPr="00CC60E6">
          <w:rPr>
            <w:b/>
            <w:bCs/>
            <w:noProof/>
            <w:webHidden/>
          </w:rPr>
          <w:fldChar w:fldCharType="begin"/>
        </w:r>
        <w:r w:rsidRPr="00CC60E6">
          <w:rPr>
            <w:b/>
            <w:bCs/>
            <w:webHidden/>
          </w:rPr>
          <w:instrText xml:space="preserve"> PAGEREF _Toc180055180 \h </w:instrText>
        </w:r>
        <w:r w:rsidRPr="00CC60E6">
          <w:rPr>
            <w:b/>
            <w:bCs/>
            <w:noProof/>
            <w:webHidden/>
          </w:rPr>
        </w:r>
        <w:r w:rsidRPr="00CC60E6">
          <w:rPr>
            <w:b/>
            <w:bCs/>
            <w:noProof/>
            <w:webHidden/>
          </w:rPr>
          <w:fldChar w:fldCharType="separate"/>
        </w:r>
        <w:r w:rsidRPr="00CC60E6">
          <w:rPr>
            <w:b/>
            <w:bCs/>
            <w:webHidden/>
          </w:rPr>
          <w:t>7</w:t>
        </w:r>
        <w:r w:rsidRPr="00CC60E6">
          <w:rPr>
            <w:b/>
            <w:bCs/>
            <w:noProof/>
            <w:webHidden/>
          </w:rPr>
          <w:fldChar w:fldCharType="end"/>
        </w:r>
      </w:hyperlink>
      <w:r w:rsidR="00AD784C">
        <w:fldChar w:fldCharType="end"/>
      </w:r>
    </w:p>
    <w:p w14:paraId="722FC0A1" w14:textId="010FA8D1" w:rsidR="007173CA" w:rsidRDefault="005E42BA" w:rsidP="00793266">
      <w:pPr>
        <w:pStyle w:val="Body"/>
        <w:spacing w:line="360" w:lineRule="auto"/>
      </w:pPr>
      <w:r>
        <w:t>Repo</w:t>
      </w:r>
      <w:r w:rsidR="00D56DCE">
        <w:t>r</w:t>
      </w:r>
      <w:r>
        <w:t>ting a criti</w:t>
      </w:r>
      <w:r w:rsidR="00D56DCE">
        <w:t>c</w:t>
      </w:r>
      <w:r>
        <w:t>al notifiable incident</w:t>
      </w:r>
      <w:r w:rsidR="004E7570">
        <w:tab/>
      </w:r>
      <w:r w:rsidR="004E7570">
        <w:tab/>
      </w:r>
      <w:r w:rsidR="004E7570">
        <w:tab/>
      </w:r>
      <w:r w:rsidR="004E7570">
        <w:tab/>
      </w:r>
      <w:r w:rsidR="004E7570">
        <w:tab/>
      </w:r>
      <w:r w:rsidR="004E7570">
        <w:tab/>
      </w:r>
      <w:r w:rsidR="004E7570">
        <w:tab/>
      </w:r>
      <w:r w:rsidR="004E7570">
        <w:tab/>
      </w:r>
      <w:r w:rsidR="004E7570">
        <w:tab/>
      </w:r>
      <w:r w:rsidR="004E7570">
        <w:tab/>
      </w:r>
    </w:p>
    <w:p w14:paraId="3CB4F3F6" w14:textId="35E58FD1" w:rsidR="005E42BA" w:rsidRDefault="005E42BA" w:rsidP="00793266">
      <w:pPr>
        <w:pStyle w:val="Body"/>
        <w:spacing w:line="360" w:lineRule="auto"/>
      </w:pPr>
      <w:r>
        <w:t>What happens after I report a notifiable incident</w:t>
      </w:r>
      <w:r w:rsidR="00D56DCE">
        <w:t>?</w:t>
      </w:r>
    </w:p>
    <w:p w14:paraId="2DA2BCD3" w14:textId="77777777" w:rsidR="00D56DCE" w:rsidRDefault="00D56DCE" w:rsidP="00793266">
      <w:pPr>
        <w:pStyle w:val="Body"/>
        <w:spacing w:line="360" w:lineRule="auto"/>
      </w:pPr>
    </w:p>
    <w:p w14:paraId="75EBE0BC" w14:textId="6706A965" w:rsidR="000B3A2A" w:rsidRDefault="000B3A2A" w:rsidP="00793266">
      <w:pPr>
        <w:pStyle w:val="Body"/>
        <w:spacing w:line="360" w:lineRule="auto"/>
      </w:pPr>
      <w:r>
        <w:t xml:space="preserve">[Breakout box </w:t>
      </w:r>
      <w:r w:rsidR="009F061F">
        <w:t>“</w:t>
      </w:r>
      <w:r>
        <w:t>For the purpose of the guidance below, serious incidents are identified as ‘notifiable incidents’.</w:t>
      </w:r>
      <w:r w:rsidR="00453CC1">
        <w:t>”</w:t>
      </w:r>
      <w:r w:rsidR="005C4027">
        <w:t>]</w:t>
      </w:r>
    </w:p>
    <w:p w14:paraId="2CFDC75E" w14:textId="77777777" w:rsidR="00580394" w:rsidRPr="00B519CD" w:rsidRDefault="00580394" w:rsidP="00793266">
      <w:pPr>
        <w:pStyle w:val="Body"/>
        <w:spacing w:line="360" w:lineRule="auto"/>
        <w:sectPr w:rsidR="00580394" w:rsidRPr="00B519CD" w:rsidSect="00A9710C">
          <w:headerReference w:type="default" r:id="rId16"/>
          <w:footerReference w:type="default" r:id="rId17"/>
          <w:type w:val="continuous"/>
          <w:pgSz w:w="11906" w:h="16838" w:code="9"/>
          <w:pgMar w:top="1418" w:right="851" w:bottom="851" w:left="851" w:header="851" w:footer="567" w:gutter="0"/>
          <w:cols w:space="340"/>
          <w:titlePg/>
          <w:docGrid w:linePitch="360"/>
        </w:sectPr>
      </w:pPr>
    </w:p>
    <w:p w14:paraId="1ED623C3" w14:textId="77777777" w:rsidR="00F32368" w:rsidRPr="00292C84" w:rsidRDefault="006523D1" w:rsidP="00793266">
      <w:pPr>
        <w:pStyle w:val="Heading2"/>
        <w:spacing w:line="360" w:lineRule="auto"/>
      </w:pPr>
      <w:bookmarkStart w:id="2" w:name="_Toc180055173"/>
      <w:bookmarkStart w:id="3" w:name="_Hlk41913885"/>
      <w:r w:rsidRPr="00292C84">
        <w:t>Introduction</w:t>
      </w:r>
      <w:bookmarkEnd w:id="2"/>
    </w:p>
    <w:p w14:paraId="0FBF4300" w14:textId="173FFDD7" w:rsidR="00744F5C" w:rsidRDefault="00744F5C" w:rsidP="00793266">
      <w:pPr>
        <w:pStyle w:val="Body"/>
        <w:spacing w:line="360" w:lineRule="auto"/>
      </w:pPr>
      <w:r>
        <w:t xml:space="preserve">Under section 7 of the Act, one of the Regulator’s objects is ‘to promote and support the delivery of safe and effective social </w:t>
      </w:r>
      <w:proofErr w:type="gramStart"/>
      <w:r>
        <w:t>services</w:t>
      </w:r>
      <w:r w:rsidR="00D80C9F">
        <w:t>’</w:t>
      </w:r>
      <w:proofErr w:type="gramEnd"/>
      <w:r w:rsidR="00D80C9F">
        <w:t>.</w:t>
      </w:r>
    </w:p>
    <w:p w14:paraId="53D173EC" w14:textId="0AC3C381" w:rsidR="00D80C9F" w:rsidRDefault="00D80C9F" w:rsidP="00793266">
      <w:pPr>
        <w:pStyle w:val="Body"/>
        <w:spacing w:line="360" w:lineRule="auto"/>
      </w:pPr>
      <w:r>
        <w:t>Monitoring notifiable incide</w:t>
      </w:r>
      <w:r w:rsidR="00D60500">
        <w:t>n</w:t>
      </w:r>
      <w:r>
        <w:t>ts in a timely fashion h</w:t>
      </w:r>
      <w:r w:rsidR="00D60500">
        <w:t>e</w:t>
      </w:r>
      <w:r>
        <w:t>lps the Regulator promote</w:t>
      </w:r>
      <w:r w:rsidR="00D60500">
        <w:t xml:space="preserve"> and support the delivery of safe and effective social services.</w:t>
      </w:r>
    </w:p>
    <w:p w14:paraId="6C7A4A7D" w14:textId="77404AB1" w:rsidR="00EF0B22" w:rsidRDefault="00EF0B22" w:rsidP="00793266">
      <w:pPr>
        <w:pStyle w:val="Body"/>
        <w:spacing w:line="360" w:lineRule="auto"/>
      </w:pPr>
      <w:r>
        <w:t>The Regulator employs an integrated, intelligence-drive strategy to make decision regarding reported incidents. By gathering and examining data, including from</w:t>
      </w:r>
      <w:r w:rsidR="00351948">
        <w:t xml:space="preserve"> notifiable incident reports</w:t>
      </w:r>
      <w:r w:rsidR="00D2790B">
        <w:t>, we discern trends and needs within the sector. This decision-making approach aligns with one of the Regulator’s legislative guiding principles under section 8 of the Act, to ‘make decisions using an intelligence-led and integrated approach that is proportionate to risk and minimises regulatory burden’</w:t>
      </w:r>
      <w:r w:rsidR="00A12FD0">
        <w:t>.</w:t>
      </w:r>
    </w:p>
    <w:p w14:paraId="7C08E441" w14:textId="1FBA3812" w:rsidR="00A12FD0" w:rsidRDefault="00A12FD0" w:rsidP="00793266">
      <w:pPr>
        <w:pStyle w:val="Body"/>
        <w:spacing w:line="360" w:lineRule="auto"/>
      </w:pPr>
      <w:r>
        <w:t>For this reason, the Regulator has developed the following guidance</w:t>
      </w:r>
      <w:r w:rsidR="00BB29BE">
        <w:t>.</w:t>
      </w:r>
    </w:p>
    <w:p w14:paraId="7C7B932D" w14:textId="1E8C55E1" w:rsidR="00BB29BE" w:rsidRDefault="00BB29BE" w:rsidP="00793266">
      <w:pPr>
        <w:pStyle w:val="Body"/>
        <w:spacing w:line="360" w:lineRule="auto"/>
      </w:pPr>
      <w:r>
        <w:t>The guidance outlines:</w:t>
      </w:r>
    </w:p>
    <w:p w14:paraId="7C25D16C" w14:textId="5B91E4E2" w:rsidR="00BB29BE" w:rsidRDefault="008B6728" w:rsidP="00793266">
      <w:pPr>
        <w:pStyle w:val="Body"/>
        <w:numPr>
          <w:ilvl w:val="0"/>
          <w:numId w:val="42"/>
        </w:numPr>
        <w:spacing w:line="360" w:lineRule="auto"/>
      </w:pPr>
      <w:r>
        <w:t>s</w:t>
      </w:r>
      <w:r w:rsidR="00BB29BE">
        <w:t>erious incidents that must be reported to us, and</w:t>
      </w:r>
    </w:p>
    <w:p w14:paraId="58C6FBAD" w14:textId="1A4F753E" w:rsidR="00BB29BE" w:rsidRDefault="008B6728" w:rsidP="00793266">
      <w:pPr>
        <w:pStyle w:val="Body"/>
        <w:numPr>
          <w:ilvl w:val="0"/>
          <w:numId w:val="42"/>
        </w:numPr>
        <w:spacing w:line="360" w:lineRule="auto"/>
      </w:pPr>
      <w:r>
        <w:t>t</w:t>
      </w:r>
      <w:r w:rsidR="00BB29BE">
        <w:t>he steps for service providers to take to report these incidents</w:t>
      </w:r>
      <w:r w:rsidR="00330824">
        <w:t>, and forms to access and complete, to provide this information.</w:t>
      </w:r>
    </w:p>
    <w:p w14:paraId="20146C6A" w14:textId="3F37AECC" w:rsidR="00292C84" w:rsidRDefault="00292C84" w:rsidP="00793266">
      <w:pPr>
        <w:pStyle w:val="Body"/>
        <w:spacing w:line="360" w:lineRule="auto"/>
      </w:pPr>
      <w:r>
        <w:t xml:space="preserve"> </w:t>
      </w:r>
    </w:p>
    <w:p w14:paraId="4A8FEBAF" w14:textId="5639AADE" w:rsidR="006523D1" w:rsidRDefault="00292C84" w:rsidP="00793266">
      <w:pPr>
        <w:pStyle w:val="Body"/>
        <w:spacing w:line="360" w:lineRule="auto"/>
      </w:pPr>
      <w:r w:rsidRPr="009B2E89">
        <w:t xml:space="preserve">This </w:t>
      </w:r>
      <w:r>
        <w:t>information</w:t>
      </w:r>
      <w:r w:rsidRPr="009B2E89">
        <w:t xml:space="preserve"> does not cover Worker Carer Exclusion Scheme (WCES) notifications.</w:t>
      </w:r>
      <w:r>
        <w:t xml:space="preserve"> More information on WCES notifications </w:t>
      </w:r>
      <w:r w:rsidR="006332F1">
        <w:t>visit</w:t>
      </w:r>
      <w:r>
        <w:t xml:space="preserve"> </w:t>
      </w:r>
      <w:hyperlink r:id="rId18" w:history="1">
        <w:r w:rsidRPr="000D7620">
          <w:rPr>
            <w:rStyle w:val="Hyperlink"/>
          </w:rPr>
          <w:t>The Worker and Carer Exclusion Scheme</w:t>
        </w:r>
      </w:hyperlink>
      <w:r w:rsidR="000D7620" w:rsidRPr="000D7620">
        <w:t>.</w:t>
      </w:r>
    </w:p>
    <w:p w14:paraId="16239146" w14:textId="5A3BAB97" w:rsidR="006A46D1" w:rsidRPr="00E976C8" w:rsidRDefault="006A46D1" w:rsidP="00793266">
      <w:pPr>
        <w:pStyle w:val="Body"/>
        <w:spacing w:line="360" w:lineRule="auto"/>
        <w:rPr>
          <w:b/>
          <w:bCs/>
        </w:rPr>
      </w:pPr>
      <w:r>
        <w:rPr>
          <w:b/>
          <w:bCs/>
        </w:rPr>
        <w:t>This content was updated on 25 June 2025.</w:t>
      </w:r>
    </w:p>
    <w:p w14:paraId="0F7D0519" w14:textId="43F85126" w:rsidR="00130ABD" w:rsidRDefault="00130ABD" w:rsidP="00793266">
      <w:pPr>
        <w:pStyle w:val="Body"/>
        <w:spacing w:line="360" w:lineRule="auto"/>
      </w:pPr>
      <w:r>
        <w:t>Service providers registered with the Social Services Regulator are responsible for reporting notifiable incidents that occur during the delivery of a registered social service</w:t>
      </w:r>
      <w:r w:rsidR="006E085D">
        <w:t>.</w:t>
      </w:r>
    </w:p>
    <w:p w14:paraId="74C2CF5E" w14:textId="2DADC1CD" w:rsidR="006E085D" w:rsidRDefault="006E085D" w:rsidP="00793266">
      <w:pPr>
        <w:pStyle w:val="Body"/>
        <w:spacing w:line="360" w:lineRule="auto"/>
      </w:pPr>
      <w:r>
        <w:t>The requirement to report starts once a service providers is registered.</w:t>
      </w:r>
    </w:p>
    <w:p w14:paraId="0E5175DD" w14:textId="1ED293CE" w:rsidR="006D0CFC" w:rsidRDefault="00270A70" w:rsidP="00793266">
      <w:pPr>
        <w:pStyle w:val="Body"/>
        <w:spacing w:line="360" w:lineRule="auto"/>
      </w:pPr>
      <w:r>
        <w:t xml:space="preserve">This guide is a downloadable </w:t>
      </w:r>
      <w:r w:rsidR="00BD35B9">
        <w:t xml:space="preserve">version of </w:t>
      </w:r>
      <w:hyperlink r:id="rId19" w:history="1">
        <w:r w:rsidR="008A3868" w:rsidRPr="00B64922">
          <w:rPr>
            <w:rStyle w:val="Hyperlink"/>
          </w:rPr>
          <w:t xml:space="preserve">this </w:t>
        </w:r>
        <w:r w:rsidR="00D36296" w:rsidRPr="00B64922">
          <w:rPr>
            <w:rStyle w:val="Hyperlink"/>
          </w:rPr>
          <w:t>webpage</w:t>
        </w:r>
      </w:hyperlink>
      <w:r w:rsidR="008A3868">
        <w:t>.</w:t>
      </w:r>
    </w:p>
    <w:p w14:paraId="6623583B" w14:textId="320681FC" w:rsidR="002F3B7F" w:rsidRPr="00F32368" w:rsidRDefault="008A3868" w:rsidP="00793266">
      <w:pPr>
        <w:pStyle w:val="Body"/>
        <w:spacing w:line="360" w:lineRule="auto"/>
      </w:pPr>
      <w:r>
        <w:t xml:space="preserve"> </w:t>
      </w:r>
    </w:p>
    <w:p w14:paraId="74FCAB11" w14:textId="77777777" w:rsidR="00D44376" w:rsidRPr="00292C84" w:rsidRDefault="00D44376" w:rsidP="00793266">
      <w:pPr>
        <w:pStyle w:val="Heading2"/>
        <w:spacing w:line="360" w:lineRule="auto"/>
      </w:pPr>
      <w:bookmarkStart w:id="4" w:name="_Toc180055174"/>
      <w:bookmarkStart w:id="5" w:name="_Hlk66275438"/>
      <w:bookmarkStart w:id="6" w:name="_Toc66794859"/>
      <w:bookmarkEnd w:id="3"/>
      <w:r w:rsidRPr="00292C84">
        <w:t>What is a notifiable incident?</w:t>
      </w:r>
      <w:bookmarkEnd w:id="4"/>
    </w:p>
    <w:p w14:paraId="1C3BB100" w14:textId="223D6C2E" w:rsidR="00D44376" w:rsidRDefault="007A5B21" w:rsidP="00793266">
      <w:pPr>
        <w:pStyle w:val="Body"/>
        <w:spacing w:line="360" w:lineRule="auto"/>
      </w:pPr>
      <w:r>
        <w:t>N</w:t>
      </w:r>
      <w:r w:rsidR="00D44376" w:rsidRPr="00CB0F06">
        <w:t>otifiable incidents</w:t>
      </w:r>
      <w:r w:rsidR="00B0120C">
        <w:t xml:space="preserve"> include</w:t>
      </w:r>
      <w:r w:rsidR="00E936BB">
        <w:t xml:space="preserve"> incidents that the Regulator considers critical based on the impact they have</w:t>
      </w:r>
      <w:r w:rsidR="00811C7C">
        <w:t>, where</w:t>
      </w:r>
      <w:r w:rsidR="00E936BB">
        <w:t>:</w:t>
      </w:r>
    </w:p>
    <w:p w14:paraId="3902105C" w14:textId="77777777" w:rsidR="00A97596" w:rsidRPr="004853A2" w:rsidRDefault="00A97596" w:rsidP="00793266">
      <w:pPr>
        <w:numPr>
          <w:ilvl w:val="0"/>
          <w:numId w:val="38"/>
        </w:numPr>
        <w:shd w:val="clear" w:color="auto" w:fill="FFFFFF"/>
        <w:spacing w:before="100" w:beforeAutospacing="1" w:after="100" w:afterAutospacing="1" w:line="360" w:lineRule="auto"/>
        <w:rPr>
          <w:rFonts w:cs="Arial"/>
        </w:rPr>
      </w:pPr>
      <w:r w:rsidRPr="004853A2">
        <w:rPr>
          <w:rFonts w:cs="Arial"/>
          <w:b/>
        </w:rPr>
        <w:t xml:space="preserve">Serious </w:t>
      </w:r>
      <w:r w:rsidRPr="006A2EF2">
        <w:rPr>
          <w:rFonts w:cs="Arial"/>
          <w:b/>
          <w:bCs/>
          <w:lang w:eastAsia="en-AU"/>
        </w:rPr>
        <w:t>harm is reasonably likely</w:t>
      </w:r>
      <w:r>
        <w:rPr>
          <w:rFonts w:cs="Arial"/>
          <w:b/>
          <w:bCs/>
          <w:lang w:eastAsia="en-AU"/>
        </w:rPr>
        <w:t xml:space="preserve"> </w:t>
      </w:r>
      <w:r w:rsidRPr="004853A2">
        <w:rPr>
          <w:rFonts w:cs="Arial"/>
        </w:rPr>
        <w:t>– a serious incident that is </w:t>
      </w:r>
      <w:r w:rsidRPr="004853A2">
        <w:rPr>
          <w:rFonts w:cs="Arial"/>
          <w:b/>
        </w:rPr>
        <w:t>reasonably likely</w:t>
      </w:r>
      <w:r w:rsidRPr="004853A2">
        <w:rPr>
          <w:rFonts w:cs="Arial"/>
        </w:rPr>
        <w:t> to cause serious harm to a service user</w:t>
      </w:r>
    </w:p>
    <w:p w14:paraId="1F3A7E94" w14:textId="77777777" w:rsidR="00A97596" w:rsidRDefault="00A97596" w:rsidP="00793266">
      <w:pPr>
        <w:numPr>
          <w:ilvl w:val="0"/>
          <w:numId w:val="38"/>
        </w:numPr>
        <w:shd w:val="clear" w:color="auto" w:fill="FFFFFF" w:themeFill="background1"/>
        <w:spacing w:before="100" w:beforeAutospacing="1" w:after="100" w:afterAutospacing="1" w:line="360" w:lineRule="auto"/>
        <w:rPr>
          <w:rFonts w:cs="Arial"/>
        </w:rPr>
      </w:pPr>
      <w:r w:rsidRPr="004853A2">
        <w:rPr>
          <w:rFonts w:cs="Arial"/>
          <w:b/>
          <w:bCs/>
        </w:rPr>
        <w:t>Serious harm</w:t>
      </w:r>
      <w:r w:rsidRPr="004853A2">
        <w:rPr>
          <w:rFonts w:cs="Arial"/>
        </w:rPr>
        <w:t> </w:t>
      </w:r>
      <w:r w:rsidRPr="4440B513">
        <w:rPr>
          <w:rFonts w:cs="Arial"/>
          <w:b/>
          <w:bCs/>
          <w:lang w:eastAsia="en-AU"/>
        </w:rPr>
        <w:t>has resulted</w:t>
      </w:r>
      <w:r w:rsidRPr="4440B513">
        <w:rPr>
          <w:rFonts w:cs="Arial"/>
          <w:lang w:eastAsia="en-AU"/>
        </w:rPr>
        <w:t xml:space="preserve"> </w:t>
      </w:r>
      <w:r w:rsidRPr="001360D4">
        <w:rPr>
          <w:rFonts w:cs="Arial"/>
        </w:rPr>
        <w:t>–</w:t>
      </w:r>
      <w:r w:rsidRPr="00DA7AE8">
        <w:rPr>
          <w:rFonts w:cs="Arial"/>
        </w:rPr>
        <w:t xml:space="preserve"> a serious incident that </w:t>
      </w:r>
      <w:r w:rsidRPr="00DA7AE8">
        <w:rPr>
          <w:rFonts w:cs="Arial"/>
          <w:b/>
          <w:bCs/>
        </w:rPr>
        <w:t>has resulted</w:t>
      </w:r>
      <w:r w:rsidRPr="00DA7AE8">
        <w:rPr>
          <w:rFonts w:cs="Arial"/>
        </w:rPr>
        <w:t xml:space="preserve"> in </w:t>
      </w:r>
      <w:r w:rsidRPr="004853A2">
        <w:rPr>
          <w:rFonts w:cs="Arial"/>
        </w:rPr>
        <w:t>serious harm or serious injury to a service user</w:t>
      </w:r>
      <w:r>
        <w:rPr>
          <w:rFonts w:cs="Arial"/>
        </w:rPr>
        <w:t>.</w:t>
      </w:r>
    </w:p>
    <w:p w14:paraId="3CAE63F0" w14:textId="347A4D99" w:rsidR="00D44376" w:rsidRPr="00D011D8" w:rsidRDefault="00847FEC" w:rsidP="00793266">
      <w:pPr>
        <w:pStyle w:val="Heading2"/>
        <w:spacing w:line="360" w:lineRule="auto"/>
      </w:pPr>
      <w:bookmarkStart w:id="7" w:name="_Toc180055175"/>
      <w:r>
        <w:t>W</w:t>
      </w:r>
      <w:r w:rsidR="00A97596">
        <w:t>hat i</w:t>
      </w:r>
      <w:r w:rsidR="00D44376" w:rsidRPr="00D011D8">
        <w:t>ncidents must be reported</w:t>
      </w:r>
      <w:bookmarkEnd w:id="7"/>
    </w:p>
    <w:p w14:paraId="093CB573" w14:textId="190F14F0" w:rsidR="00D44376" w:rsidRDefault="00D44376" w:rsidP="00793266">
      <w:pPr>
        <w:pStyle w:val="Body"/>
        <w:spacing w:line="360" w:lineRule="auto"/>
      </w:pPr>
      <w:r w:rsidRPr="00AB6728">
        <w:rPr>
          <w:b/>
        </w:rPr>
        <w:t>All</w:t>
      </w:r>
      <w:r>
        <w:t xml:space="preserve"> notifiable incidents must be reported to the </w:t>
      </w:r>
      <w:hyperlink r:id="rId20" w:history="1">
        <w:r w:rsidRPr="002F386D">
          <w:rPr>
            <w:rStyle w:val="Hyperlink"/>
          </w:rPr>
          <w:t>Social Services Regulator</w:t>
        </w:r>
      </w:hyperlink>
      <w:r>
        <w:t xml:space="preserve">. The definitions of notifiable incidents are </w:t>
      </w:r>
      <w:r w:rsidR="00FF61D5">
        <w:t>listed below</w:t>
      </w:r>
      <w:r>
        <w:t>.</w:t>
      </w:r>
    </w:p>
    <w:p w14:paraId="7909A649" w14:textId="77777777" w:rsidR="00D44376" w:rsidRDefault="00D44376" w:rsidP="00793266">
      <w:pPr>
        <w:pStyle w:val="Body"/>
        <w:spacing w:line="360" w:lineRule="auto"/>
      </w:pPr>
      <w:r>
        <w:t xml:space="preserve">These requirements come from section 48 of the </w:t>
      </w:r>
      <w:r w:rsidRPr="00F119EF">
        <w:rPr>
          <w:i/>
          <w:iCs/>
        </w:rPr>
        <w:t>Social Services Regulation Act</w:t>
      </w:r>
      <w:r>
        <w:t xml:space="preserve"> </w:t>
      </w:r>
      <w:r w:rsidRPr="00F119EF">
        <w:rPr>
          <w:i/>
          <w:iCs/>
        </w:rPr>
        <w:t>2021</w:t>
      </w:r>
      <w:r>
        <w:rPr>
          <w:i/>
          <w:iCs/>
        </w:rPr>
        <w:t xml:space="preserve"> </w:t>
      </w:r>
      <w:r>
        <w:t>(the Act).</w:t>
      </w:r>
    </w:p>
    <w:p w14:paraId="023D307D" w14:textId="74384BAA" w:rsidR="00D44376" w:rsidRDefault="00FB7D8E" w:rsidP="00793266">
      <w:pPr>
        <w:pStyle w:val="Body"/>
        <w:spacing w:line="360" w:lineRule="auto"/>
      </w:pPr>
      <w:r w:rsidRPr="00FB7D8E">
        <w:t>Your reporting is important to help safeguard social service users.</w:t>
      </w:r>
      <w:r w:rsidR="00D44376">
        <w:t xml:space="preserve"> </w:t>
      </w:r>
    </w:p>
    <w:p w14:paraId="0079E988" w14:textId="45A9A4C6" w:rsidR="00D44376" w:rsidRDefault="00AC3A57" w:rsidP="00793266">
      <w:pPr>
        <w:pStyle w:val="Body"/>
        <w:spacing w:line="360" w:lineRule="auto"/>
      </w:pPr>
      <w:r>
        <w:t xml:space="preserve">Reporting </w:t>
      </w:r>
      <w:r w:rsidR="002D7006">
        <w:t>notifiable incident</w:t>
      </w:r>
      <w:r>
        <w:t>s</w:t>
      </w:r>
      <w:r w:rsidR="00736608">
        <w:t xml:space="preserve"> informs </w:t>
      </w:r>
      <w:r>
        <w:t>the Regulator</w:t>
      </w:r>
      <w:r w:rsidR="002D7006">
        <w:t xml:space="preserve"> of </w:t>
      </w:r>
      <w:r w:rsidR="00D44376">
        <w:t xml:space="preserve">serious harm and risks of </w:t>
      </w:r>
      <w:r w:rsidR="00722D78">
        <w:t xml:space="preserve">serious </w:t>
      </w:r>
      <w:r w:rsidR="00D44376">
        <w:t>harm to service users during social service delivery</w:t>
      </w:r>
      <w:r w:rsidR="00722D78">
        <w:t>,</w:t>
      </w:r>
      <w:r w:rsidR="001D0B1A">
        <w:t xml:space="preserve"> </w:t>
      </w:r>
      <w:r w:rsidR="008D73ED">
        <w:t xml:space="preserve">and of </w:t>
      </w:r>
      <w:r w:rsidR="001D0B1A">
        <w:t xml:space="preserve">actions </w:t>
      </w:r>
      <w:r w:rsidR="00D44376">
        <w:t>taken by service providers to address the immediate health and safety of their service users.</w:t>
      </w:r>
    </w:p>
    <w:p w14:paraId="129026A7" w14:textId="39E63C0A" w:rsidR="00E21910" w:rsidRDefault="00E21910" w:rsidP="00793266">
      <w:pPr>
        <w:pStyle w:val="Body"/>
        <w:spacing w:line="360" w:lineRule="auto"/>
      </w:pPr>
      <w:r>
        <w:t xml:space="preserve">Monitoring </w:t>
      </w:r>
      <w:r w:rsidR="00E04D1F">
        <w:t xml:space="preserve">notifiable </w:t>
      </w:r>
      <w:r w:rsidR="000153C4">
        <w:t>incidents</w:t>
      </w:r>
      <w:r w:rsidR="00E04D1F">
        <w:t xml:space="preserve"> in a timely fashion helps the Regulator promote and support the delivery of safe and effective social services. This is an object of the Regulator under the legislation</w:t>
      </w:r>
      <w:r w:rsidR="00290FCF">
        <w:t>.</w:t>
      </w:r>
    </w:p>
    <w:p w14:paraId="6000A9C6" w14:textId="3942E54F" w:rsidR="00D44376" w:rsidRDefault="00D44376" w:rsidP="00793266">
      <w:pPr>
        <w:pStyle w:val="Bullet1"/>
        <w:numPr>
          <w:ilvl w:val="0"/>
          <w:numId w:val="0"/>
        </w:numPr>
        <w:spacing w:line="360" w:lineRule="auto"/>
      </w:pPr>
      <w:r>
        <w:t xml:space="preserve">The Regulator </w:t>
      </w:r>
      <w:r w:rsidR="00290FCF">
        <w:t>employs an integrated, intelligence</w:t>
      </w:r>
      <w:r w:rsidR="00300AC1">
        <w:t>-driven strategy to make decisions regarding reported incidents. By gathering and examining data, including from notifiable incident reports, we discern trends and needs within the sector</w:t>
      </w:r>
      <w:r w:rsidR="00337290">
        <w:t xml:space="preserve">. This </w:t>
      </w:r>
      <w:r w:rsidR="00B11BF7">
        <w:t>d</w:t>
      </w:r>
      <w:r w:rsidR="00337290">
        <w:t>ecision-ma</w:t>
      </w:r>
      <w:r w:rsidR="00B11BF7">
        <w:t>k</w:t>
      </w:r>
      <w:r w:rsidR="00337290">
        <w:t>ing approach aligns with one of the Regulator’s legislative guiding principles under section 8 of the Act, to ‘make decisions using an intellige</w:t>
      </w:r>
      <w:r w:rsidR="0056729A">
        <w:t>n</w:t>
      </w:r>
      <w:r w:rsidR="00732E0C">
        <w:t>c</w:t>
      </w:r>
      <w:r w:rsidR="0056729A">
        <w:t>e-led a</w:t>
      </w:r>
      <w:r w:rsidR="00732E0C">
        <w:t>n</w:t>
      </w:r>
      <w:r w:rsidR="0056729A">
        <w:t>d integrated approach that is proportionate to risk and minimises regulatory burde</w:t>
      </w:r>
      <w:r w:rsidR="00732E0C">
        <w:t>n</w:t>
      </w:r>
      <w:r w:rsidR="00503FBD">
        <w:t>’.</w:t>
      </w:r>
      <w:r w:rsidR="00337290">
        <w:t xml:space="preserve"> </w:t>
      </w:r>
      <w:r w:rsidR="00290FCF">
        <w:t xml:space="preserve"> </w:t>
      </w:r>
    </w:p>
    <w:p w14:paraId="147DF794" w14:textId="5663D33A" w:rsidR="00A90FA0" w:rsidRDefault="00A90FA0" w:rsidP="00793266">
      <w:pPr>
        <w:pStyle w:val="Heading2"/>
        <w:spacing w:line="360" w:lineRule="auto"/>
      </w:pPr>
      <w:bookmarkStart w:id="8" w:name="_Toc180055176"/>
      <w:r>
        <w:t xml:space="preserve">Reporting </w:t>
      </w:r>
      <w:r w:rsidR="00A418D7">
        <w:t>serious risk and serious harm</w:t>
      </w:r>
      <w:bookmarkEnd w:id="8"/>
    </w:p>
    <w:p w14:paraId="40A80145" w14:textId="2FE6088C" w:rsidR="00AA4F9C" w:rsidRPr="00AA4F9C" w:rsidRDefault="00AA4F9C" w:rsidP="00793266">
      <w:pPr>
        <w:pStyle w:val="Body"/>
        <w:spacing w:line="360" w:lineRule="auto"/>
      </w:pPr>
      <w:r>
        <w:t>A ‘notifiable incident’ is defined by the Regulator as one that results in serious harm</w:t>
      </w:r>
      <w:r w:rsidR="00E722AB">
        <w:t>. See below for descriptions and reporting protocols</w:t>
      </w:r>
      <w:r w:rsidR="00AF4506">
        <w:t>.</w:t>
      </w:r>
    </w:p>
    <w:p w14:paraId="3F8FA9A7" w14:textId="4EAB3581" w:rsidR="00F102BC" w:rsidRDefault="00661C14" w:rsidP="00793266">
      <w:pPr>
        <w:pStyle w:val="Heading3"/>
        <w:spacing w:line="360" w:lineRule="auto"/>
      </w:pPr>
      <w:bookmarkStart w:id="9" w:name="_Toc180055177"/>
      <w:r>
        <w:t>Notifiable incidents</w:t>
      </w:r>
      <w:bookmarkEnd w:id="9"/>
    </w:p>
    <w:p w14:paraId="74B6F1B9" w14:textId="77777777" w:rsidR="00B226C8" w:rsidRDefault="00CC0DA4" w:rsidP="00793266">
      <w:pPr>
        <w:pStyle w:val="Body"/>
        <w:spacing w:line="360" w:lineRule="auto"/>
      </w:pPr>
      <w:r>
        <w:t>‘</w:t>
      </w:r>
      <w:r w:rsidR="007E609C">
        <w:t>Serious harm</w:t>
      </w:r>
      <w:r>
        <w:t>’</w:t>
      </w:r>
      <w:r w:rsidR="007E609C">
        <w:t xml:space="preserve"> is defined by the Regulator as an incident which results in serious injury to a service user (</w:t>
      </w:r>
      <w:r>
        <w:t>physical or psychological). It is defined in section 3 of the Act as a single</w:t>
      </w:r>
      <w:r w:rsidR="005F1ECC">
        <w:t>, repeated, or persistent incident of harm which results in one or more of the following:</w:t>
      </w:r>
    </w:p>
    <w:p w14:paraId="7E6DC4FF" w14:textId="1930831D" w:rsidR="00B226C8" w:rsidRPr="00F3081F" w:rsidRDefault="00B226C8" w:rsidP="00793266">
      <w:pPr>
        <w:numPr>
          <w:ilvl w:val="0"/>
          <w:numId w:val="40"/>
        </w:numPr>
        <w:shd w:val="clear" w:color="auto" w:fill="FFFFFF"/>
        <w:spacing w:before="100" w:beforeAutospacing="1" w:after="100" w:afterAutospacing="1" w:line="360" w:lineRule="auto"/>
        <w:rPr>
          <w:rFonts w:cs="Arial"/>
          <w:lang w:eastAsia="en-AU"/>
        </w:rPr>
      </w:pPr>
      <w:r>
        <w:rPr>
          <w:rFonts w:cs="Arial"/>
          <w:lang w:eastAsia="en-AU"/>
        </w:rPr>
        <w:t>d</w:t>
      </w:r>
      <w:r w:rsidRPr="00F3081F">
        <w:rPr>
          <w:rFonts w:cs="Arial"/>
          <w:lang w:eastAsia="en-AU"/>
        </w:rPr>
        <w:t>eath</w:t>
      </w:r>
    </w:p>
    <w:p w14:paraId="542B5CFA" w14:textId="77777777" w:rsidR="00B226C8" w:rsidRPr="00F3081F" w:rsidRDefault="00B226C8" w:rsidP="00793266">
      <w:pPr>
        <w:numPr>
          <w:ilvl w:val="0"/>
          <w:numId w:val="40"/>
        </w:numPr>
        <w:shd w:val="clear" w:color="auto" w:fill="FFFFFF"/>
        <w:spacing w:before="100" w:beforeAutospacing="1" w:after="100" w:afterAutospacing="1" w:line="360" w:lineRule="auto"/>
        <w:rPr>
          <w:rFonts w:cs="Arial"/>
          <w:lang w:eastAsia="en-AU"/>
        </w:rPr>
      </w:pPr>
      <w:r w:rsidRPr="00F3081F">
        <w:rPr>
          <w:rFonts w:cs="Arial"/>
          <w:lang w:eastAsia="en-AU"/>
        </w:rPr>
        <w:t>loss of a foetus</w:t>
      </w:r>
    </w:p>
    <w:p w14:paraId="1E9AC3DB" w14:textId="77777777" w:rsidR="00B226C8" w:rsidRPr="00F3081F" w:rsidRDefault="00B226C8" w:rsidP="00793266">
      <w:pPr>
        <w:numPr>
          <w:ilvl w:val="0"/>
          <w:numId w:val="40"/>
        </w:numPr>
        <w:shd w:val="clear" w:color="auto" w:fill="FFFFFF"/>
        <w:spacing w:before="100" w:beforeAutospacing="1" w:after="100" w:afterAutospacing="1" w:line="360" w:lineRule="auto"/>
        <w:rPr>
          <w:rFonts w:cs="Arial"/>
        </w:rPr>
      </w:pPr>
      <w:r w:rsidRPr="00F3081F">
        <w:rPr>
          <w:rFonts w:cs="Arial"/>
          <w:lang w:eastAsia="en-AU"/>
        </w:rPr>
        <w:t xml:space="preserve">permanent </w:t>
      </w:r>
      <w:r w:rsidRPr="00F3081F">
        <w:rPr>
          <w:rFonts w:cs="Arial"/>
        </w:rPr>
        <w:t xml:space="preserve">or </w:t>
      </w:r>
      <w:r w:rsidRPr="00F3081F">
        <w:rPr>
          <w:rFonts w:cs="Arial"/>
          <w:lang w:eastAsia="en-AU"/>
        </w:rPr>
        <w:t>long-term serious impairment</w:t>
      </w:r>
    </w:p>
    <w:p w14:paraId="325864A7" w14:textId="77777777" w:rsidR="00B226C8" w:rsidRDefault="00B226C8" w:rsidP="00793266">
      <w:pPr>
        <w:numPr>
          <w:ilvl w:val="1"/>
          <w:numId w:val="40"/>
        </w:numPr>
        <w:shd w:val="clear" w:color="auto" w:fill="FFFFFF"/>
        <w:spacing w:before="100" w:beforeAutospacing="1" w:after="100" w:afterAutospacing="1" w:line="360" w:lineRule="auto"/>
        <w:rPr>
          <w:rFonts w:cs="Arial"/>
          <w:lang w:eastAsia="en-AU"/>
        </w:rPr>
      </w:pPr>
      <w:r w:rsidRPr="00F3081F">
        <w:rPr>
          <w:rFonts w:cs="Arial"/>
          <w:lang w:eastAsia="en-AU"/>
        </w:rPr>
        <w:t>self-harm/attempted suicide (example)</w:t>
      </w:r>
    </w:p>
    <w:p w14:paraId="041A2813" w14:textId="77777777" w:rsidR="00B226C8" w:rsidRPr="00F3081F" w:rsidRDefault="00B226C8" w:rsidP="00793266">
      <w:pPr>
        <w:numPr>
          <w:ilvl w:val="1"/>
          <w:numId w:val="40"/>
        </w:numPr>
        <w:shd w:val="clear" w:color="auto" w:fill="FFFFFF"/>
        <w:spacing w:before="100" w:beforeAutospacing="1" w:after="100" w:afterAutospacing="1" w:line="360" w:lineRule="auto"/>
        <w:rPr>
          <w:rFonts w:cs="Arial"/>
          <w:lang w:eastAsia="en-AU"/>
        </w:rPr>
      </w:pPr>
      <w:r w:rsidRPr="00F3081F">
        <w:rPr>
          <w:rFonts w:cs="Arial"/>
          <w:lang w:eastAsia="en-AU"/>
        </w:rPr>
        <w:t>poor quality of care/neglect (example)</w:t>
      </w:r>
    </w:p>
    <w:p w14:paraId="7A80065D" w14:textId="77777777" w:rsidR="00B226C8" w:rsidRPr="00F3081F" w:rsidRDefault="00B226C8" w:rsidP="00793266">
      <w:pPr>
        <w:numPr>
          <w:ilvl w:val="0"/>
          <w:numId w:val="40"/>
        </w:numPr>
        <w:shd w:val="clear" w:color="auto" w:fill="FFFFFF"/>
        <w:spacing w:before="100" w:beforeAutospacing="1" w:after="100" w:afterAutospacing="1" w:line="360" w:lineRule="auto"/>
        <w:rPr>
          <w:rFonts w:cs="Arial"/>
          <w:lang w:eastAsia="en-AU"/>
        </w:rPr>
      </w:pPr>
      <w:r w:rsidRPr="00F3081F">
        <w:rPr>
          <w:rFonts w:cs="Arial"/>
          <w:lang w:eastAsia="en-AU"/>
        </w:rPr>
        <w:t>permanent or long-term serious disfigurement</w:t>
      </w:r>
    </w:p>
    <w:p w14:paraId="1C811719" w14:textId="77777777" w:rsidR="00B226C8" w:rsidRDefault="00B226C8" w:rsidP="00793266">
      <w:pPr>
        <w:numPr>
          <w:ilvl w:val="0"/>
          <w:numId w:val="40"/>
        </w:numPr>
        <w:shd w:val="clear" w:color="auto" w:fill="FFFFFF"/>
        <w:spacing w:before="100" w:beforeAutospacing="1" w:after="100" w:afterAutospacing="1" w:line="360" w:lineRule="auto"/>
        <w:rPr>
          <w:rFonts w:cs="Arial"/>
        </w:rPr>
      </w:pPr>
      <w:r w:rsidRPr="00F3081F">
        <w:rPr>
          <w:rFonts w:cs="Arial"/>
          <w:lang w:eastAsia="en-AU"/>
        </w:rPr>
        <w:t xml:space="preserve">permanent or long-term </w:t>
      </w:r>
      <w:r w:rsidRPr="00F3081F">
        <w:rPr>
          <w:rFonts w:cs="Arial"/>
        </w:rPr>
        <w:t xml:space="preserve">severe psychological injury or </w:t>
      </w:r>
      <w:r w:rsidRPr="00F3081F">
        <w:rPr>
          <w:rFonts w:cs="Arial"/>
          <w:lang w:eastAsia="en-AU"/>
        </w:rPr>
        <w:t xml:space="preserve">developmental delay </w:t>
      </w:r>
    </w:p>
    <w:p w14:paraId="1F5FD08F" w14:textId="28B20D6F" w:rsidR="00B226C8" w:rsidRDefault="00B226C8" w:rsidP="00793266">
      <w:pPr>
        <w:numPr>
          <w:ilvl w:val="1"/>
          <w:numId w:val="40"/>
        </w:numPr>
        <w:shd w:val="clear" w:color="auto" w:fill="FFFFFF"/>
        <w:spacing w:before="100" w:beforeAutospacing="1" w:after="100" w:afterAutospacing="1" w:line="360" w:lineRule="auto"/>
        <w:rPr>
          <w:rFonts w:cs="Arial"/>
        </w:rPr>
      </w:pPr>
      <w:r w:rsidRPr="00F3081F">
        <w:rPr>
          <w:rFonts w:cs="Arial"/>
          <w:lang w:eastAsia="en-AU"/>
        </w:rPr>
        <w:t>Emotional/psychological abuse (example)</w:t>
      </w:r>
    </w:p>
    <w:p w14:paraId="39D0B373" w14:textId="0CFA55B5" w:rsidR="00B226C8" w:rsidRDefault="00B226C8" w:rsidP="00793266">
      <w:pPr>
        <w:numPr>
          <w:ilvl w:val="1"/>
          <w:numId w:val="40"/>
        </w:numPr>
        <w:shd w:val="clear" w:color="auto" w:fill="FFFFFF"/>
        <w:spacing w:before="100" w:beforeAutospacing="1" w:after="100" w:afterAutospacing="1" w:line="360" w:lineRule="auto"/>
        <w:rPr>
          <w:rFonts w:cs="Arial"/>
        </w:rPr>
      </w:pPr>
      <w:r w:rsidRPr="00F3081F">
        <w:rPr>
          <w:rFonts w:cs="Arial"/>
          <w:lang w:eastAsia="en-AU"/>
        </w:rPr>
        <w:t>Sexual exploitation (example)</w:t>
      </w:r>
    </w:p>
    <w:p w14:paraId="056C510D" w14:textId="2408E32A" w:rsidR="00AC0107" w:rsidRPr="00847FEC" w:rsidRDefault="00B226C8" w:rsidP="00793266">
      <w:pPr>
        <w:numPr>
          <w:ilvl w:val="1"/>
          <w:numId w:val="40"/>
        </w:numPr>
        <w:shd w:val="clear" w:color="auto" w:fill="FFFFFF"/>
        <w:spacing w:before="100" w:beforeAutospacing="1" w:after="100" w:afterAutospacing="1" w:line="360" w:lineRule="auto"/>
        <w:rPr>
          <w:rFonts w:cs="Arial"/>
        </w:rPr>
      </w:pPr>
      <w:r w:rsidRPr="00F3081F">
        <w:rPr>
          <w:rFonts w:cs="Arial"/>
          <w:lang w:eastAsia="en-AU"/>
        </w:rPr>
        <w:t>Financial abuse (example)</w:t>
      </w:r>
    </w:p>
    <w:p w14:paraId="276E09FC" w14:textId="03FF8D91" w:rsidR="00A90FA0" w:rsidRDefault="00A90FA0" w:rsidP="00793266">
      <w:pPr>
        <w:spacing w:line="360" w:lineRule="auto"/>
        <w:rPr>
          <w:b/>
          <w:bCs/>
        </w:rPr>
      </w:pPr>
      <w:r>
        <w:t xml:space="preserve"> </w:t>
      </w:r>
      <w:r w:rsidR="00513161">
        <w:t>Some example</w:t>
      </w:r>
      <w:r w:rsidR="006D0E45">
        <w:t>s</w:t>
      </w:r>
      <w:r w:rsidR="00513161">
        <w:t xml:space="preserve"> of serious harm are listed below in </w:t>
      </w:r>
      <w:r>
        <w:t>Table</w:t>
      </w:r>
      <w:r w:rsidR="00847FEC">
        <w:t xml:space="preserve"> </w:t>
      </w:r>
      <w:r>
        <w:t>1.</w:t>
      </w:r>
    </w:p>
    <w:p w14:paraId="4381CD1B" w14:textId="77777777" w:rsidR="0048348D" w:rsidRPr="00AD0AA5" w:rsidRDefault="00A90FA0" w:rsidP="00793266">
      <w:pPr>
        <w:spacing w:line="360" w:lineRule="auto"/>
        <w:rPr>
          <w:b/>
        </w:rPr>
      </w:pPr>
      <w:r w:rsidRPr="00AD0AA5">
        <w:rPr>
          <w:b/>
        </w:rPr>
        <w:t>Table 1: Reporting notifiable incidents</w:t>
      </w:r>
    </w:p>
    <w:tbl>
      <w:tblPr>
        <w:tblStyle w:val="GridTable5Dark-Accent1"/>
        <w:tblpPr w:leftFromText="180" w:rightFromText="180" w:vertAnchor="text" w:tblpX="15" w:tblpY="1"/>
        <w:tblW w:w="4925" w:type="pct"/>
        <w:tblLook w:val="04A0" w:firstRow="1" w:lastRow="0" w:firstColumn="1" w:lastColumn="0" w:noHBand="0" w:noVBand="1"/>
      </w:tblPr>
      <w:tblGrid>
        <w:gridCol w:w="411"/>
        <w:gridCol w:w="2407"/>
        <w:gridCol w:w="3683"/>
        <w:gridCol w:w="1273"/>
        <w:gridCol w:w="2267"/>
      </w:tblGrid>
      <w:tr w:rsidR="00B5360C" w:rsidRPr="00143BCA" w14:paraId="41DC6833" w14:textId="77777777" w:rsidTr="00D07C59">
        <w:trPr>
          <w:cnfStyle w:val="100000000000" w:firstRow="1" w:lastRow="0" w:firstColumn="0" w:lastColumn="0" w:oddVBand="0" w:evenVBand="0" w:oddHBand="0" w:evenHBand="0" w:firstRowFirstColumn="0" w:firstRowLastColumn="0" w:lastRowFirstColumn="0" w:lastRowLastColumn="0"/>
          <w:cantSplit/>
          <w:trHeight w:val="261"/>
          <w:tblHeader/>
        </w:trPr>
        <w:tc>
          <w:tcPr>
            <w:cnfStyle w:val="001000000000" w:firstRow="0" w:lastRow="0" w:firstColumn="1" w:lastColumn="0" w:oddVBand="0" w:evenVBand="0" w:oddHBand="0" w:evenHBand="0" w:firstRowFirstColumn="0" w:firstRowLastColumn="0" w:lastRowFirstColumn="0" w:lastRowLastColumn="0"/>
            <w:tcW w:w="204" w:type="pct"/>
          </w:tcPr>
          <w:p w14:paraId="65A6665D" w14:textId="77777777" w:rsidR="00C37A1C" w:rsidRPr="00143BCA" w:rsidRDefault="00C37A1C" w:rsidP="0087278D">
            <w:pPr>
              <w:pStyle w:val="Tablecolhead"/>
              <w:spacing w:line="360" w:lineRule="auto"/>
            </w:pPr>
          </w:p>
        </w:tc>
        <w:tc>
          <w:tcPr>
            <w:tcW w:w="1198" w:type="pct"/>
          </w:tcPr>
          <w:p w14:paraId="3BB1EAA8" w14:textId="77777777" w:rsidR="00C37A1C" w:rsidRPr="00704E41" w:rsidRDefault="00C37A1C" w:rsidP="0087278D">
            <w:pPr>
              <w:pStyle w:val="Tablecolhead"/>
              <w:spacing w:line="360" w:lineRule="auto"/>
              <w:cnfStyle w:val="100000000000" w:firstRow="1" w:lastRow="0" w:firstColumn="0" w:lastColumn="0" w:oddVBand="0" w:evenVBand="0" w:oddHBand="0" w:evenHBand="0" w:firstRowFirstColumn="0" w:firstRowLastColumn="0" w:lastRowFirstColumn="0" w:lastRowLastColumn="0"/>
              <w:rPr>
                <w:b/>
                <w:bCs w:val="0"/>
              </w:rPr>
            </w:pPr>
            <w:bookmarkStart w:id="10" w:name="Title_table_1"/>
            <w:bookmarkEnd w:id="10"/>
            <w:r w:rsidRPr="00704E41">
              <w:rPr>
                <w:b/>
                <w:bCs w:val="0"/>
              </w:rPr>
              <w:t>Type</w:t>
            </w:r>
          </w:p>
        </w:tc>
        <w:tc>
          <w:tcPr>
            <w:tcW w:w="1834" w:type="pct"/>
          </w:tcPr>
          <w:p w14:paraId="338405F3" w14:textId="77777777" w:rsidR="00C37A1C" w:rsidRPr="00704E41" w:rsidRDefault="00C37A1C" w:rsidP="0087278D">
            <w:pPr>
              <w:pStyle w:val="Tablecolhead"/>
              <w:spacing w:line="360" w:lineRule="auto"/>
              <w:cnfStyle w:val="100000000000" w:firstRow="1" w:lastRow="0" w:firstColumn="0" w:lastColumn="0" w:oddVBand="0" w:evenVBand="0" w:oddHBand="0" w:evenHBand="0" w:firstRowFirstColumn="0" w:firstRowLastColumn="0" w:lastRowFirstColumn="0" w:lastRowLastColumn="0"/>
              <w:rPr>
                <w:b/>
                <w:bCs w:val="0"/>
              </w:rPr>
            </w:pPr>
            <w:r w:rsidRPr="00704E41">
              <w:rPr>
                <w:b/>
                <w:bCs w:val="0"/>
              </w:rPr>
              <w:t>Description</w:t>
            </w:r>
          </w:p>
        </w:tc>
        <w:tc>
          <w:tcPr>
            <w:tcW w:w="634" w:type="pct"/>
          </w:tcPr>
          <w:p w14:paraId="6AE509BA" w14:textId="77777777" w:rsidR="00C37A1C" w:rsidRPr="00704E41" w:rsidRDefault="00C37A1C" w:rsidP="0087278D">
            <w:pPr>
              <w:pStyle w:val="Tablecolhead"/>
              <w:spacing w:line="360" w:lineRule="auto"/>
              <w:cnfStyle w:val="100000000000" w:firstRow="1" w:lastRow="0" w:firstColumn="0" w:lastColumn="0" w:oddVBand="0" w:evenVBand="0" w:oddHBand="0" w:evenHBand="0" w:firstRowFirstColumn="0" w:firstRowLastColumn="0" w:lastRowFirstColumn="0" w:lastRowLastColumn="0"/>
              <w:rPr>
                <w:b/>
                <w:bCs w:val="0"/>
              </w:rPr>
            </w:pPr>
            <w:r w:rsidRPr="00704E41">
              <w:rPr>
                <w:b/>
                <w:bCs w:val="0"/>
              </w:rPr>
              <w:t>Reporting timeframe</w:t>
            </w:r>
          </w:p>
        </w:tc>
        <w:tc>
          <w:tcPr>
            <w:tcW w:w="1129" w:type="pct"/>
          </w:tcPr>
          <w:p w14:paraId="6FB3053A" w14:textId="77777777" w:rsidR="00C37A1C" w:rsidRPr="00704E41" w:rsidRDefault="00C37A1C" w:rsidP="0087278D">
            <w:pPr>
              <w:pStyle w:val="Tablecolhead"/>
              <w:spacing w:line="360" w:lineRule="auto"/>
              <w:cnfStyle w:val="100000000000" w:firstRow="1" w:lastRow="0" w:firstColumn="0" w:lastColumn="0" w:oddVBand="0" w:evenVBand="0" w:oddHBand="0" w:evenHBand="0" w:firstRowFirstColumn="0" w:firstRowLastColumn="0" w:lastRowFirstColumn="0" w:lastRowLastColumn="0"/>
              <w:rPr>
                <w:b/>
                <w:bCs w:val="0"/>
              </w:rPr>
            </w:pPr>
            <w:r w:rsidRPr="00704E41">
              <w:rPr>
                <w:b/>
                <w:bCs w:val="0"/>
              </w:rPr>
              <w:t>Reporting requirements</w:t>
            </w:r>
          </w:p>
        </w:tc>
      </w:tr>
      <w:tr w:rsidR="00114B7F" w:rsidRPr="00143BCA" w14:paraId="3E3B4A23" w14:textId="77777777" w:rsidTr="00114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 w:type="pct"/>
          </w:tcPr>
          <w:p w14:paraId="7DFA002F" w14:textId="558E1FAB" w:rsidR="0065448C" w:rsidRPr="00143BCA" w:rsidRDefault="0065448C" w:rsidP="0087278D">
            <w:pPr>
              <w:pStyle w:val="Tabletext"/>
              <w:spacing w:line="360" w:lineRule="auto"/>
              <w:jc w:val="center"/>
            </w:pPr>
          </w:p>
        </w:tc>
        <w:tc>
          <w:tcPr>
            <w:tcW w:w="1198" w:type="pct"/>
          </w:tcPr>
          <w:p w14:paraId="7AE5F937" w14:textId="77777777" w:rsidR="0065448C" w:rsidRPr="0065448C" w:rsidRDefault="0065448C"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b/>
                <w:bCs/>
              </w:rPr>
            </w:pPr>
            <w:r w:rsidRPr="0065448C">
              <w:rPr>
                <w:b/>
                <w:bCs/>
              </w:rPr>
              <w:t xml:space="preserve">Pattern of incidents causing </w:t>
            </w:r>
            <w:r w:rsidR="00115D75">
              <w:rPr>
                <w:b/>
                <w:bCs/>
              </w:rPr>
              <w:t xml:space="preserve">serious </w:t>
            </w:r>
            <w:r w:rsidRPr="0065448C">
              <w:rPr>
                <w:b/>
                <w:bCs/>
              </w:rPr>
              <w:t>harm</w:t>
            </w:r>
          </w:p>
        </w:tc>
        <w:tc>
          <w:tcPr>
            <w:tcW w:w="1834" w:type="pct"/>
          </w:tcPr>
          <w:p w14:paraId="6396B3C8" w14:textId="77777777" w:rsidR="00294A7D" w:rsidRPr="004377EE" w:rsidRDefault="00294A7D"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04377EE">
              <w:rPr>
                <w:rFonts w:cs="Arial"/>
                <w:sz w:val="20"/>
              </w:rPr>
              <w:t>A pattern of incidents related to one service user which:</w:t>
            </w:r>
          </w:p>
          <w:p w14:paraId="277BE2CA" w14:textId="4861C98C" w:rsidR="0065448C" w:rsidRPr="004377EE" w:rsidRDefault="00294A7D" w:rsidP="0087278D">
            <w:pPr>
              <w:pStyle w:val="Tabletext"/>
              <w:numPr>
                <w:ilvl w:val="0"/>
                <w:numId w:val="13"/>
              </w:numPr>
              <w:spacing w:line="360" w:lineRule="auto"/>
              <w:cnfStyle w:val="000000100000" w:firstRow="0" w:lastRow="0" w:firstColumn="0" w:lastColumn="0" w:oddVBand="0" w:evenVBand="0" w:oddHBand="1" w:evenHBand="0" w:firstRowFirstColumn="0" w:firstRowLastColumn="0" w:lastRowFirstColumn="0" w:lastRowLastColumn="0"/>
              <w:rPr>
                <w:sz w:val="20"/>
              </w:rPr>
            </w:pPr>
            <w:r w:rsidRPr="004377EE">
              <w:rPr>
                <w:rFonts w:cs="Arial"/>
                <w:sz w:val="20"/>
              </w:rPr>
              <w:t>when taken together has a cumulative effect that causes serious harm or creates a risk of serious harm even if each individual incident is not a notifiable incident</w:t>
            </w:r>
            <w:r w:rsidR="00C76680">
              <w:rPr>
                <w:rFonts w:cs="Arial"/>
                <w:sz w:val="20"/>
              </w:rPr>
              <w:t>.</w:t>
            </w:r>
          </w:p>
        </w:tc>
        <w:tc>
          <w:tcPr>
            <w:tcW w:w="634" w:type="pct"/>
          </w:tcPr>
          <w:p w14:paraId="56B81EC5" w14:textId="77777777" w:rsidR="0065448C" w:rsidRPr="00F570E2" w:rsidRDefault="0065448C" w:rsidP="0087278D">
            <w:pPr>
              <w:pStyle w:val="Tabletext"/>
              <w:spacing w:line="360" w:lineRule="auto"/>
              <w:jc w:val="center"/>
              <w:cnfStyle w:val="000000100000" w:firstRow="0" w:lastRow="0" w:firstColumn="0" w:lastColumn="0" w:oddVBand="0" w:evenVBand="0" w:oddHBand="1" w:evenHBand="0" w:firstRowFirstColumn="0" w:firstRowLastColumn="0" w:lastRowFirstColumn="0" w:lastRowLastColumn="0"/>
              <w:rPr>
                <w:sz w:val="20"/>
              </w:rPr>
            </w:pPr>
            <w:r w:rsidRPr="00F570E2">
              <w:rPr>
                <w:sz w:val="20"/>
              </w:rPr>
              <w:t>3 business days</w:t>
            </w:r>
          </w:p>
        </w:tc>
        <w:tc>
          <w:tcPr>
            <w:tcW w:w="1129" w:type="pct"/>
          </w:tcPr>
          <w:p w14:paraId="70815F07" w14:textId="77777777" w:rsidR="00FF26B1" w:rsidRPr="005C3C87" w:rsidRDefault="00FF26B1"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2E278C3A" w14:textId="77777777" w:rsidR="0065448C" w:rsidRPr="00F570E2" w:rsidRDefault="0065448C"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sz w:val="20"/>
              </w:rPr>
            </w:pPr>
          </w:p>
        </w:tc>
      </w:tr>
      <w:tr w:rsidR="00FB030F" w:rsidRPr="00143BCA" w14:paraId="3C59D214" w14:textId="77777777" w:rsidTr="00114B7F">
        <w:tc>
          <w:tcPr>
            <w:cnfStyle w:val="001000000000" w:firstRow="0" w:lastRow="0" w:firstColumn="1" w:lastColumn="0" w:oddVBand="0" w:evenVBand="0" w:oddHBand="0" w:evenHBand="0" w:firstRowFirstColumn="0" w:firstRowLastColumn="0" w:lastRowFirstColumn="0" w:lastRowLastColumn="0"/>
            <w:tcW w:w="204" w:type="pct"/>
          </w:tcPr>
          <w:p w14:paraId="0397FBFB" w14:textId="6A7DE54F" w:rsidR="0065448C" w:rsidRPr="00143BCA" w:rsidRDefault="0065448C" w:rsidP="0087278D">
            <w:pPr>
              <w:pStyle w:val="Tabletext"/>
              <w:spacing w:line="360" w:lineRule="auto"/>
              <w:jc w:val="center"/>
            </w:pPr>
          </w:p>
        </w:tc>
        <w:tc>
          <w:tcPr>
            <w:tcW w:w="1198" w:type="pct"/>
          </w:tcPr>
          <w:p w14:paraId="78AA88CC" w14:textId="77777777" w:rsidR="005A3CDA" w:rsidRDefault="0065448C"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b/>
                <w:bCs/>
              </w:rPr>
            </w:pPr>
            <w:r w:rsidRPr="0065448C">
              <w:rPr>
                <w:b/>
                <w:bCs/>
              </w:rPr>
              <w:t>Emotional/</w:t>
            </w:r>
          </w:p>
          <w:p w14:paraId="414EF84A" w14:textId="77777777" w:rsidR="0065448C" w:rsidRPr="0065448C" w:rsidRDefault="0065448C"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b/>
                <w:bCs/>
              </w:rPr>
            </w:pPr>
            <w:r w:rsidRPr="0065448C">
              <w:rPr>
                <w:b/>
                <w:bCs/>
              </w:rPr>
              <w:t>psychological abuse</w:t>
            </w:r>
          </w:p>
        </w:tc>
        <w:tc>
          <w:tcPr>
            <w:tcW w:w="1834" w:type="pct"/>
          </w:tcPr>
          <w:p w14:paraId="0D98043B" w14:textId="77777777" w:rsidR="00E4221D" w:rsidRPr="004377EE" w:rsidRDefault="00E4221D" w:rsidP="0087278D">
            <w:pPr>
              <w:pStyle w:val="DHHStabletext"/>
              <w:spacing w:line="360" w:lineRule="auto"/>
              <w:ind w:left="360"/>
              <w:cnfStyle w:val="000000000000" w:firstRow="0" w:lastRow="0" w:firstColumn="0" w:lastColumn="0" w:oddVBand="0" w:evenVBand="0" w:oddHBand="0" w:evenHBand="0" w:firstRowFirstColumn="0" w:firstRowLastColumn="0" w:lastRowFirstColumn="0" w:lastRowLastColumn="0"/>
              <w:rPr>
                <w:rFonts w:cs="Arial"/>
              </w:rPr>
            </w:pPr>
            <w:r w:rsidRPr="004377EE">
              <w:rPr>
                <w:rFonts w:cs="Arial"/>
              </w:rPr>
              <w:t xml:space="preserve">Actions or </w:t>
            </w:r>
            <w:proofErr w:type="spellStart"/>
            <w:r w:rsidRPr="004377EE">
              <w:rPr>
                <w:rFonts w:cs="Arial"/>
              </w:rPr>
              <w:t>behaviours</w:t>
            </w:r>
            <w:proofErr w:type="spellEnd"/>
            <w:r w:rsidRPr="004377EE">
              <w:rPr>
                <w:rFonts w:cs="Arial"/>
              </w:rPr>
              <w:t xml:space="preserve"> that reject, isolate, intimidate, or frighten by threats, or</w:t>
            </w:r>
          </w:p>
          <w:p w14:paraId="1BE6FAA4" w14:textId="77777777" w:rsidR="00E4221D" w:rsidRPr="004377EE" w:rsidRDefault="00E4221D" w:rsidP="0087278D">
            <w:pPr>
              <w:pStyle w:val="DHHStabletext"/>
              <w:numPr>
                <w:ilvl w:val="0"/>
                <w:numId w:val="14"/>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4377EE">
              <w:rPr>
                <w:rFonts w:cs="Arial"/>
              </w:rPr>
              <w:t>witnessing of family violence</w:t>
            </w:r>
          </w:p>
          <w:p w14:paraId="072A29B1" w14:textId="2B52F781" w:rsidR="00E4221D" w:rsidRPr="004377EE" w:rsidRDefault="00E4221D" w:rsidP="0087278D">
            <w:pPr>
              <w:pStyle w:val="DHHStabletext"/>
              <w:numPr>
                <w:ilvl w:val="0"/>
                <w:numId w:val="14"/>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4377EE">
              <w:rPr>
                <w:rFonts w:cs="Arial"/>
              </w:rPr>
              <w:t xml:space="preserve">to the extent that the service user’s </w:t>
            </w:r>
            <w:proofErr w:type="spellStart"/>
            <w:r w:rsidRPr="004377EE">
              <w:rPr>
                <w:rFonts w:cs="Arial"/>
              </w:rPr>
              <w:t>behaviour</w:t>
            </w:r>
            <w:proofErr w:type="spellEnd"/>
            <w:r w:rsidRPr="004377EE">
              <w:rPr>
                <w:rFonts w:cs="Arial"/>
              </w:rPr>
              <w:t xml:space="preserve"> is disturbed</w:t>
            </w:r>
            <w:r w:rsidR="002F30E8">
              <w:rPr>
                <w:rFonts w:cs="Arial"/>
              </w:rPr>
              <w:t>,</w:t>
            </w:r>
            <w:r w:rsidRPr="004377EE">
              <w:rPr>
                <w:rFonts w:cs="Arial"/>
              </w:rPr>
              <w:t xml:space="preserve"> or their emotional/psychological wellbeing is (or is at risk of being) seriously impaired. This includes:</w:t>
            </w:r>
          </w:p>
          <w:p w14:paraId="778E230B" w14:textId="77777777" w:rsidR="00F772BD" w:rsidRPr="004377EE" w:rsidRDefault="00F772BD" w:rsidP="0087278D">
            <w:pPr>
              <w:pStyle w:val="DHHStablebullet1"/>
              <w:numPr>
                <w:ilvl w:val="0"/>
                <w:numId w:val="27"/>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4377EE">
              <w:rPr>
                <w:rFonts w:cs="Arial"/>
              </w:rPr>
              <w:t xml:space="preserve">rejecting, isolating, </w:t>
            </w:r>
            <w:proofErr w:type="spellStart"/>
            <w:r w:rsidRPr="004377EE">
              <w:rPr>
                <w:rFonts w:cs="Arial"/>
              </w:rPr>
              <w:t>terrorising</w:t>
            </w:r>
            <w:proofErr w:type="spellEnd"/>
            <w:r w:rsidRPr="004377EE">
              <w:rPr>
                <w:rFonts w:cs="Arial"/>
              </w:rPr>
              <w:t xml:space="preserve"> and ignoring </w:t>
            </w:r>
            <w:proofErr w:type="spellStart"/>
            <w:r w:rsidRPr="004377EE">
              <w:rPr>
                <w:rFonts w:cs="Arial"/>
              </w:rPr>
              <w:t>behaviours</w:t>
            </w:r>
            <w:proofErr w:type="spellEnd"/>
          </w:p>
          <w:p w14:paraId="22E36298" w14:textId="77777777" w:rsidR="00F772BD" w:rsidRPr="004377EE" w:rsidRDefault="00F772BD" w:rsidP="0087278D">
            <w:pPr>
              <w:pStyle w:val="DHHStablebullet1"/>
              <w:numPr>
                <w:ilvl w:val="0"/>
                <w:numId w:val="27"/>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4377EE">
              <w:rPr>
                <w:rFonts w:cs="Arial"/>
              </w:rPr>
              <w:t>denying cultural or religious needs and preferences</w:t>
            </w:r>
          </w:p>
          <w:p w14:paraId="084A35F7" w14:textId="77777777" w:rsidR="00F772BD" w:rsidRPr="004377EE" w:rsidRDefault="00F772BD" w:rsidP="0087278D">
            <w:pPr>
              <w:pStyle w:val="DHHStablebullet1"/>
              <w:numPr>
                <w:ilvl w:val="0"/>
                <w:numId w:val="27"/>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4377EE">
              <w:rPr>
                <w:rFonts w:cs="Arial"/>
              </w:rPr>
              <w:t>emotional abuse perpetrated by other clients</w:t>
            </w:r>
          </w:p>
          <w:p w14:paraId="220508EB" w14:textId="02ADD0CA" w:rsidR="00F772BD" w:rsidRPr="004377EE" w:rsidRDefault="00F772BD" w:rsidP="0087278D">
            <w:pPr>
              <w:pStyle w:val="DHHStablebullet1"/>
              <w:numPr>
                <w:ilvl w:val="0"/>
                <w:numId w:val="27"/>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4377EE">
              <w:rPr>
                <w:rFonts w:cs="Arial"/>
              </w:rPr>
              <w:t>staff on service user assault (see the frequently asked questions for more information)</w:t>
            </w:r>
            <w:r w:rsidR="00C953D3">
              <w:rPr>
                <w:rFonts w:cs="Arial"/>
              </w:rPr>
              <w:t>.</w:t>
            </w:r>
          </w:p>
          <w:p w14:paraId="3633DE16" w14:textId="4C8DE71E" w:rsidR="0065448C" w:rsidRPr="004377EE" w:rsidRDefault="00412336" w:rsidP="0087278D">
            <w:pPr>
              <w:pStyle w:val="DHHStabletext"/>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4377EE">
              <w:rPr>
                <w:rFonts w:cs="Arial"/>
              </w:rPr>
              <w:t xml:space="preserve">Service providers should consider any potential power imbalance between the service user and the person engaging in the </w:t>
            </w:r>
            <w:proofErr w:type="spellStart"/>
            <w:r w:rsidRPr="004377EE">
              <w:rPr>
                <w:rFonts w:cs="Arial"/>
              </w:rPr>
              <w:t>behaviour</w:t>
            </w:r>
            <w:proofErr w:type="spellEnd"/>
            <w:r w:rsidR="00C953D3">
              <w:rPr>
                <w:rFonts w:cs="Arial"/>
              </w:rPr>
              <w:t>.</w:t>
            </w:r>
          </w:p>
        </w:tc>
        <w:tc>
          <w:tcPr>
            <w:tcW w:w="634" w:type="pct"/>
          </w:tcPr>
          <w:p w14:paraId="7EDBCD1A" w14:textId="77777777" w:rsidR="0065448C" w:rsidRPr="00F570E2" w:rsidRDefault="0065448C" w:rsidP="0087278D">
            <w:pPr>
              <w:pStyle w:val="Tabletext"/>
              <w:spacing w:line="360" w:lineRule="auto"/>
              <w:jc w:val="center"/>
              <w:cnfStyle w:val="000000000000" w:firstRow="0" w:lastRow="0" w:firstColumn="0" w:lastColumn="0" w:oddVBand="0" w:evenVBand="0" w:oddHBand="0" w:evenHBand="0" w:firstRowFirstColumn="0" w:firstRowLastColumn="0" w:lastRowFirstColumn="0" w:lastRowLastColumn="0"/>
              <w:rPr>
                <w:sz w:val="20"/>
              </w:rPr>
            </w:pPr>
            <w:r w:rsidRPr="00F570E2">
              <w:rPr>
                <w:sz w:val="20"/>
              </w:rPr>
              <w:t>3 business days</w:t>
            </w:r>
          </w:p>
        </w:tc>
        <w:tc>
          <w:tcPr>
            <w:tcW w:w="1129" w:type="pct"/>
          </w:tcPr>
          <w:p w14:paraId="515859DA" w14:textId="77777777" w:rsidR="00FF26B1" w:rsidRPr="005C3C87" w:rsidRDefault="00FF26B1"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457BE054" w14:textId="77777777" w:rsidR="0065448C" w:rsidRPr="00F570E2" w:rsidRDefault="0065448C"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sz w:val="20"/>
              </w:rPr>
            </w:pPr>
          </w:p>
        </w:tc>
      </w:tr>
      <w:tr w:rsidR="00114B7F" w:rsidRPr="00143BCA" w14:paraId="42803ED9" w14:textId="77777777" w:rsidTr="00114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 w:type="pct"/>
          </w:tcPr>
          <w:p w14:paraId="5CDD21C1" w14:textId="7AD305A7" w:rsidR="0065448C" w:rsidRPr="00143BCA" w:rsidRDefault="0065448C" w:rsidP="0087278D">
            <w:pPr>
              <w:pStyle w:val="Tabletext"/>
              <w:spacing w:line="360" w:lineRule="auto"/>
              <w:jc w:val="center"/>
            </w:pPr>
          </w:p>
        </w:tc>
        <w:tc>
          <w:tcPr>
            <w:tcW w:w="1198" w:type="pct"/>
          </w:tcPr>
          <w:p w14:paraId="2A64D6CF" w14:textId="77777777" w:rsidR="0065448C" w:rsidRPr="0065448C" w:rsidRDefault="0065448C"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b/>
                <w:bCs/>
              </w:rPr>
            </w:pPr>
            <w:r w:rsidRPr="0065448C">
              <w:rPr>
                <w:b/>
                <w:bCs/>
              </w:rPr>
              <w:t>Financial abuse</w:t>
            </w:r>
          </w:p>
        </w:tc>
        <w:tc>
          <w:tcPr>
            <w:tcW w:w="1834" w:type="pct"/>
          </w:tcPr>
          <w:p w14:paraId="79919A0A" w14:textId="77777777" w:rsidR="005E2F30" w:rsidRPr="004377EE" w:rsidRDefault="005E2F30" w:rsidP="0087278D">
            <w:pPr>
              <w:pStyle w:val="DHHStabletext"/>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4377EE">
              <w:rPr>
                <w:rFonts w:cs="Arial"/>
              </w:rPr>
              <w:t>The misuse of a service user’s assets, property, possessions and finances without their consent, including:</w:t>
            </w:r>
          </w:p>
          <w:p w14:paraId="61CF5F7A" w14:textId="77777777" w:rsidR="005E2F30" w:rsidRPr="004377EE" w:rsidRDefault="005E2F30" w:rsidP="0087278D">
            <w:pPr>
              <w:pStyle w:val="DHHStablebullet1"/>
              <w:numPr>
                <w:ilvl w:val="0"/>
                <w:numId w:val="16"/>
              </w:numPr>
              <w:tabs>
                <w:tab w:val="clear" w:pos="397"/>
              </w:tabs>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4377EE">
              <w:rPr>
                <w:rFonts w:cs="Arial"/>
              </w:rPr>
              <w:t>denying a service user the use of their own assets, property, possessions and finances</w:t>
            </w:r>
          </w:p>
          <w:p w14:paraId="6B8EB03F" w14:textId="77777777" w:rsidR="005E2F30" w:rsidRPr="004377EE" w:rsidRDefault="005E2F30" w:rsidP="0087278D">
            <w:pPr>
              <w:pStyle w:val="DHHStablebullet1"/>
              <w:numPr>
                <w:ilvl w:val="0"/>
                <w:numId w:val="16"/>
              </w:numPr>
              <w:tabs>
                <w:tab w:val="clear" w:pos="397"/>
              </w:tabs>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4377EE">
              <w:rPr>
                <w:rFonts w:cs="Arial"/>
              </w:rPr>
              <w:t>theft, fraud, exploitation and pressure in relation to assets, property, possessions and finances</w:t>
            </w:r>
          </w:p>
          <w:p w14:paraId="5C0C546D" w14:textId="77777777" w:rsidR="005E2F30" w:rsidRPr="004377EE" w:rsidRDefault="005E2F30" w:rsidP="0087278D">
            <w:pPr>
              <w:pStyle w:val="DHHStablebullet1"/>
              <w:numPr>
                <w:ilvl w:val="0"/>
                <w:numId w:val="16"/>
              </w:numPr>
              <w:tabs>
                <w:tab w:val="clear" w:pos="397"/>
              </w:tabs>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4377EE">
              <w:rPr>
                <w:rFonts w:cs="Arial"/>
              </w:rPr>
              <w:t>obtaining assets through deception.</w:t>
            </w:r>
          </w:p>
          <w:p w14:paraId="600FB708" w14:textId="0386FADB" w:rsidR="0065448C" w:rsidRPr="004377EE" w:rsidRDefault="005E2F30"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sz w:val="20"/>
              </w:rPr>
            </w:pPr>
            <w:r w:rsidRPr="004377EE">
              <w:rPr>
                <w:rFonts w:cs="Arial"/>
                <w:sz w:val="20"/>
              </w:rPr>
              <w:t>This also includes financial abuse perpetrated by other service users</w:t>
            </w:r>
            <w:r w:rsidR="007F55D8">
              <w:rPr>
                <w:rFonts w:cs="Arial"/>
                <w:sz w:val="20"/>
              </w:rPr>
              <w:t>.</w:t>
            </w:r>
          </w:p>
        </w:tc>
        <w:tc>
          <w:tcPr>
            <w:tcW w:w="634" w:type="pct"/>
          </w:tcPr>
          <w:p w14:paraId="55ED9B27" w14:textId="77777777" w:rsidR="0065448C" w:rsidRPr="00F570E2" w:rsidRDefault="0065448C" w:rsidP="0087278D">
            <w:pPr>
              <w:pStyle w:val="Tabletext"/>
              <w:spacing w:line="360" w:lineRule="auto"/>
              <w:jc w:val="center"/>
              <w:cnfStyle w:val="000000100000" w:firstRow="0" w:lastRow="0" w:firstColumn="0" w:lastColumn="0" w:oddVBand="0" w:evenVBand="0" w:oddHBand="1" w:evenHBand="0" w:firstRowFirstColumn="0" w:firstRowLastColumn="0" w:lastRowFirstColumn="0" w:lastRowLastColumn="0"/>
              <w:rPr>
                <w:sz w:val="20"/>
              </w:rPr>
            </w:pPr>
            <w:r w:rsidRPr="00F570E2">
              <w:rPr>
                <w:sz w:val="20"/>
              </w:rPr>
              <w:t>3 business days</w:t>
            </w:r>
          </w:p>
        </w:tc>
        <w:tc>
          <w:tcPr>
            <w:tcW w:w="1129" w:type="pct"/>
          </w:tcPr>
          <w:p w14:paraId="1765FA91" w14:textId="77777777" w:rsidR="00FF26B1" w:rsidRPr="005C3C87" w:rsidRDefault="00FF26B1"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3E4A4685" w14:textId="77777777" w:rsidR="0065448C" w:rsidRPr="00F570E2" w:rsidRDefault="0065448C"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sz w:val="20"/>
              </w:rPr>
            </w:pPr>
          </w:p>
        </w:tc>
      </w:tr>
      <w:tr w:rsidR="00FB030F" w:rsidRPr="00143BCA" w14:paraId="245EB421" w14:textId="77777777" w:rsidTr="00114B7F">
        <w:tc>
          <w:tcPr>
            <w:cnfStyle w:val="001000000000" w:firstRow="0" w:lastRow="0" w:firstColumn="1" w:lastColumn="0" w:oddVBand="0" w:evenVBand="0" w:oddHBand="0" w:evenHBand="0" w:firstRowFirstColumn="0" w:firstRowLastColumn="0" w:lastRowFirstColumn="0" w:lastRowLastColumn="0"/>
            <w:tcW w:w="204" w:type="pct"/>
          </w:tcPr>
          <w:p w14:paraId="4CF7DF33" w14:textId="0C8CBE79" w:rsidR="0065448C" w:rsidRPr="00143BCA" w:rsidRDefault="0065448C" w:rsidP="0087278D">
            <w:pPr>
              <w:pStyle w:val="Tabletext"/>
              <w:spacing w:line="360" w:lineRule="auto"/>
              <w:jc w:val="center"/>
            </w:pPr>
          </w:p>
        </w:tc>
        <w:tc>
          <w:tcPr>
            <w:tcW w:w="1198" w:type="pct"/>
          </w:tcPr>
          <w:p w14:paraId="5C3A9598" w14:textId="77777777" w:rsidR="0065448C" w:rsidRPr="0065448C" w:rsidRDefault="0065448C"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b/>
                <w:bCs/>
              </w:rPr>
            </w:pPr>
            <w:r w:rsidRPr="0065448C">
              <w:rPr>
                <w:b/>
                <w:bCs/>
              </w:rPr>
              <w:t>Self-harm/attempted suicide</w:t>
            </w:r>
          </w:p>
        </w:tc>
        <w:tc>
          <w:tcPr>
            <w:tcW w:w="1834" w:type="pct"/>
          </w:tcPr>
          <w:p w14:paraId="4E89E1E7" w14:textId="77777777" w:rsidR="0013638F" w:rsidRPr="004377EE" w:rsidRDefault="0013638F" w:rsidP="0087278D">
            <w:pPr>
              <w:pStyle w:val="Tabletext"/>
              <w:numPr>
                <w:ilvl w:val="0"/>
                <w:numId w:val="15"/>
              </w:num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4377EE">
              <w:rPr>
                <w:rFonts w:cs="Arial"/>
                <w:sz w:val="20"/>
              </w:rPr>
              <w:t xml:space="preserve">Actions that intentionally cause harm or injury to self, or </w:t>
            </w:r>
          </w:p>
          <w:p w14:paraId="1AAC3429" w14:textId="77777777" w:rsidR="0065448C" w:rsidRPr="004377EE" w:rsidRDefault="0013638F" w:rsidP="0087278D">
            <w:pPr>
              <w:pStyle w:val="Tabletext"/>
              <w:numPr>
                <w:ilvl w:val="0"/>
                <w:numId w:val="15"/>
              </w:numPr>
              <w:spacing w:line="360" w:lineRule="auto"/>
              <w:cnfStyle w:val="000000000000" w:firstRow="0" w:lastRow="0" w:firstColumn="0" w:lastColumn="0" w:oddVBand="0" w:evenVBand="0" w:oddHBand="0" w:evenHBand="0" w:firstRowFirstColumn="0" w:firstRowLastColumn="0" w:lastRowFirstColumn="0" w:lastRowLastColumn="0"/>
              <w:rPr>
                <w:sz w:val="20"/>
              </w:rPr>
            </w:pPr>
            <w:r w:rsidRPr="004377EE">
              <w:rPr>
                <w:rFonts w:cs="Arial"/>
                <w:sz w:val="20"/>
              </w:rPr>
              <w:t>actions to attempt suicide (the intention to end one’s own life).</w:t>
            </w:r>
          </w:p>
        </w:tc>
        <w:tc>
          <w:tcPr>
            <w:tcW w:w="634" w:type="pct"/>
          </w:tcPr>
          <w:p w14:paraId="5B59C92F" w14:textId="77777777" w:rsidR="0065448C" w:rsidRPr="00F570E2" w:rsidRDefault="0065448C" w:rsidP="0087278D">
            <w:pPr>
              <w:pStyle w:val="Tabletext"/>
              <w:spacing w:line="360" w:lineRule="auto"/>
              <w:jc w:val="center"/>
              <w:cnfStyle w:val="000000000000" w:firstRow="0" w:lastRow="0" w:firstColumn="0" w:lastColumn="0" w:oddVBand="0" w:evenVBand="0" w:oddHBand="0" w:evenHBand="0" w:firstRowFirstColumn="0" w:firstRowLastColumn="0" w:lastRowFirstColumn="0" w:lastRowLastColumn="0"/>
              <w:rPr>
                <w:sz w:val="20"/>
              </w:rPr>
            </w:pPr>
            <w:r w:rsidRPr="00F570E2">
              <w:rPr>
                <w:sz w:val="20"/>
              </w:rPr>
              <w:t>3 business days</w:t>
            </w:r>
          </w:p>
        </w:tc>
        <w:tc>
          <w:tcPr>
            <w:tcW w:w="1129" w:type="pct"/>
          </w:tcPr>
          <w:p w14:paraId="1E87E412" w14:textId="77777777" w:rsidR="00FF26B1" w:rsidRPr="005C3C87" w:rsidRDefault="00FF26B1"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5E4551C4" w14:textId="77777777" w:rsidR="0065448C" w:rsidRPr="00F570E2" w:rsidRDefault="0065448C"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sz w:val="20"/>
              </w:rPr>
            </w:pPr>
          </w:p>
        </w:tc>
      </w:tr>
      <w:tr w:rsidR="00114B7F" w:rsidRPr="00143BCA" w14:paraId="5C52135F" w14:textId="77777777" w:rsidTr="00114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 w:type="pct"/>
          </w:tcPr>
          <w:p w14:paraId="60312D5A" w14:textId="0E73E387" w:rsidR="0065448C" w:rsidRPr="001C7824" w:rsidRDefault="0065448C" w:rsidP="0087278D">
            <w:pPr>
              <w:pStyle w:val="Tabletext"/>
              <w:spacing w:line="360" w:lineRule="auto"/>
              <w:jc w:val="center"/>
            </w:pPr>
          </w:p>
        </w:tc>
        <w:tc>
          <w:tcPr>
            <w:tcW w:w="1198" w:type="pct"/>
          </w:tcPr>
          <w:p w14:paraId="59A5CDF4" w14:textId="77777777" w:rsidR="0065448C" w:rsidRPr="0065448C" w:rsidRDefault="0065448C"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b/>
                <w:bCs/>
              </w:rPr>
            </w:pPr>
            <w:r w:rsidRPr="0065448C">
              <w:rPr>
                <w:b/>
                <w:bCs/>
              </w:rPr>
              <w:t>Sexual exploitation</w:t>
            </w:r>
          </w:p>
        </w:tc>
        <w:tc>
          <w:tcPr>
            <w:tcW w:w="1834" w:type="pct"/>
          </w:tcPr>
          <w:p w14:paraId="48DAF7EF" w14:textId="77777777" w:rsidR="000E075A" w:rsidRPr="004377EE" w:rsidRDefault="000E075A" w:rsidP="0087278D">
            <w:pPr>
              <w:pStyle w:val="DHHStabletext"/>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4377EE">
              <w:rPr>
                <w:rFonts w:cs="Arial"/>
              </w:rPr>
              <w:t>Sexual exploitation is defined as the abuse of a person under 18 or a person with a cognitive disability, which may include:</w:t>
            </w:r>
          </w:p>
          <w:p w14:paraId="1366740D" w14:textId="77777777" w:rsidR="000E075A" w:rsidRPr="004377EE" w:rsidRDefault="000E075A" w:rsidP="0087278D">
            <w:pPr>
              <w:pStyle w:val="DHHStablebullet1"/>
              <w:numPr>
                <w:ilvl w:val="0"/>
                <w:numId w:val="17"/>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4377EE">
              <w:rPr>
                <w:rFonts w:cs="Arial"/>
              </w:rPr>
              <w:t xml:space="preserve">the exchange of sex or sexual acts for money, goods, substance or </w:t>
            </w:r>
            <w:proofErr w:type="spellStart"/>
            <w:r w:rsidRPr="004377EE">
              <w:rPr>
                <w:rFonts w:cs="Arial"/>
              </w:rPr>
              <w:t>favours</w:t>
            </w:r>
            <w:proofErr w:type="spellEnd"/>
          </w:p>
          <w:p w14:paraId="5C7EE399" w14:textId="77777777" w:rsidR="000E075A" w:rsidRPr="004377EE" w:rsidRDefault="000E075A" w:rsidP="0087278D">
            <w:pPr>
              <w:pStyle w:val="DHHStablebullet1"/>
              <w:numPr>
                <w:ilvl w:val="0"/>
                <w:numId w:val="17"/>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4377EE">
              <w:rPr>
                <w:rFonts w:cs="Arial"/>
              </w:rPr>
              <w:t>involving a child in creating pornography</w:t>
            </w:r>
          </w:p>
          <w:p w14:paraId="0AEE4C5C" w14:textId="77777777" w:rsidR="0065448C" w:rsidRPr="004377EE" w:rsidRDefault="000E075A" w:rsidP="0087278D">
            <w:pPr>
              <w:pStyle w:val="Tabletext"/>
              <w:numPr>
                <w:ilvl w:val="0"/>
                <w:numId w:val="17"/>
              </w:numPr>
              <w:spacing w:line="360" w:lineRule="auto"/>
              <w:cnfStyle w:val="000000100000" w:firstRow="0" w:lastRow="0" w:firstColumn="0" w:lastColumn="0" w:oddVBand="0" w:evenVBand="0" w:oddHBand="1" w:evenHBand="0" w:firstRowFirstColumn="0" w:firstRowLastColumn="0" w:lastRowFirstColumn="0" w:lastRowLastColumn="0"/>
              <w:rPr>
                <w:sz w:val="20"/>
              </w:rPr>
            </w:pPr>
            <w:r w:rsidRPr="004377EE">
              <w:rPr>
                <w:rFonts w:cs="Arial"/>
                <w:sz w:val="20"/>
              </w:rPr>
              <w:t>contact with a known sex offender.</w:t>
            </w:r>
          </w:p>
        </w:tc>
        <w:tc>
          <w:tcPr>
            <w:tcW w:w="634" w:type="pct"/>
          </w:tcPr>
          <w:p w14:paraId="72F42ED9" w14:textId="77777777" w:rsidR="0065448C" w:rsidRPr="00F570E2" w:rsidRDefault="0065448C" w:rsidP="0087278D">
            <w:pPr>
              <w:pStyle w:val="Tabletext"/>
              <w:spacing w:line="360" w:lineRule="auto"/>
              <w:jc w:val="center"/>
              <w:cnfStyle w:val="000000100000" w:firstRow="0" w:lastRow="0" w:firstColumn="0" w:lastColumn="0" w:oddVBand="0" w:evenVBand="0" w:oddHBand="1" w:evenHBand="0" w:firstRowFirstColumn="0" w:firstRowLastColumn="0" w:lastRowFirstColumn="0" w:lastRowLastColumn="0"/>
              <w:rPr>
                <w:sz w:val="20"/>
              </w:rPr>
            </w:pPr>
            <w:r w:rsidRPr="00F570E2">
              <w:rPr>
                <w:sz w:val="20"/>
              </w:rPr>
              <w:t>3 business days</w:t>
            </w:r>
          </w:p>
        </w:tc>
        <w:tc>
          <w:tcPr>
            <w:tcW w:w="1129" w:type="pct"/>
          </w:tcPr>
          <w:p w14:paraId="1CB63B56" w14:textId="77777777" w:rsidR="00FF26B1" w:rsidRPr="005C3C87" w:rsidRDefault="00FF26B1"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160F1980" w14:textId="77777777" w:rsidR="0065448C" w:rsidRPr="00F570E2" w:rsidRDefault="0065448C" w:rsidP="0087278D">
            <w:pPr>
              <w:pStyle w:val="Tabletext"/>
              <w:spacing w:line="360" w:lineRule="auto"/>
              <w:cnfStyle w:val="000000100000" w:firstRow="0" w:lastRow="0" w:firstColumn="0" w:lastColumn="0" w:oddVBand="0" w:evenVBand="0" w:oddHBand="1" w:evenHBand="0" w:firstRowFirstColumn="0" w:firstRowLastColumn="0" w:lastRowFirstColumn="0" w:lastRowLastColumn="0"/>
              <w:rPr>
                <w:sz w:val="20"/>
              </w:rPr>
            </w:pPr>
          </w:p>
        </w:tc>
      </w:tr>
      <w:tr w:rsidR="00FB030F" w:rsidRPr="00143BCA" w14:paraId="5F1597C5" w14:textId="77777777" w:rsidTr="00114B7F">
        <w:tc>
          <w:tcPr>
            <w:cnfStyle w:val="001000000000" w:firstRow="0" w:lastRow="0" w:firstColumn="1" w:lastColumn="0" w:oddVBand="0" w:evenVBand="0" w:oddHBand="0" w:evenHBand="0" w:firstRowFirstColumn="0" w:firstRowLastColumn="0" w:lastRowFirstColumn="0" w:lastRowLastColumn="0"/>
            <w:tcW w:w="204" w:type="pct"/>
          </w:tcPr>
          <w:p w14:paraId="53BE157A" w14:textId="0EEC7508" w:rsidR="0065448C" w:rsidRPr="001C7824" w:rsidRDefault="0065448C" w:rsidP="0087278D">
            <w:pPr>
              <w:pStyle w:val="Tabletext"/>
              <w:spacing w:line="360" w:lineRule="auto"/>
              <w:jc w:val="center"/>
            </w:pPr>
          </w:p>
        </w:tc>
        <w:tc>
          <w:tcPr>
            <w:tcW w:w="1198" w:type="pct"/>
          </w:tcPr>
          <w:p w14:paraId="3E4ACDBA" w14:textId="77777777" w:rsidR="0065448C" w:rsidRPr="0065448C" w:rsidRDefault="0065448C"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b/>
                <w:bCs/>
              </w:rPr>
            </w:pPr>
            <w:r w:rsidRPr="0065448C">
              <w:rPr>
                <w:b/>
                <w:bCs/>
              </w:rPr>
              <w:t>Poor quality of care/neglect</w:t>
            </w:r>
          </w:p>
        </w:tc>
        <w:tc>
          <w:tcPr>
            <w:tcW w:w="1834" w:type="pct"/>
          </w:tcPr>
          <w:p w14:paraId="56C31B55" w14:textId="77777777" w:rsidR="0065448C" w:rsidRPr="004377EE" w:rsidRDefault="004377EE"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sz w:val="20"/>
              </w:rPr>
            </w:pPr>
            <w:r w:rsidRPr="004377EE">
              <w:rPr>
                <w:rFonts w:cs="Arial"/>
                <w:sz w:val="20"/>
              </w:rPr>
              <w:t>Inappropriate or inadequate care by caregivers or staff to the extent that the health, wellbeing and development of the service user is significantly impaired or at risk.</w:t>
            </w:r>
          </w:p>
        </w:tc>
        <w:tc>
          <w:tcPr>
            <w:tcW w:w="634" w:type="pct"/>
          </w:tcPr>
          <w:p w14:paraId="15FC5FA7" w14:textId="77777777" w:rsidR="0065448C" w:rsidRPr="00F570E2" w:rsidRDefault="0065448C" w:rsidP="0087278D">
            <w:pPr>
              <w:pStyle w:val="Tabletext"/>
              <w:spacing w:line="360" w:lineRule="auto"/>
              <w:jc w:val="center"/>
              <w:cnfStyle w:val="000000000000" w:firstRow="0" w:lastRow="0" w:firstColumn="0" w:lastColumn="0" w:oddVBand="0" w:evenVBand="0" w:oddHBand="0" w:evenHBand="0" w:firstRowFirstColumn="0" w:firstRowLastColumn="0" w:lastRowFirstColumn="0" w:lastRowLastColumn="0"/>
              <w:rPr>
                <w:sz w:val="20"/>
              </w:rPr>
            </w:pPr>
            <w:r w:rsidRPr="00F570E2">
              <w:rPr>
                <w:sz w:val="20"/>
              </w:rPr>
              <w:t>3 business days</w:t>
            </w:r>
          </w:p>
        </w:tc>
        <w:tc>
          <w:tcPr>
            <w:tcW w:w="1129" w:type="pct"/>
          </w:tcPr>
          <w:p w14:paraId="0DEE3FFF" w14:textId="77777777" w:rsidR="00FF26B1" w:rsidRPr="005C3C87" w:rsidRDefault="00FF26B1"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9DEFD8D">
              <w:rPr>
                <w:rFonts w:cs="Arial"/>
                <w:sz w:val="20"/>
              </w:rPr>
              <w:t>Clear summary of the incident and</w:t>
            </w:r>
            <w:r w:rsidRPr="09DEFD8D">
              <w:rPr>
                <w:rStyle w:val="CommentReference"/>
              </w:rPr>
              <w:t xml:space="preserve"> </w:t>
            </w:r>
            <w:r w:rsidRPr="09DEFD8D">
              <w:rPr>
                <w:rFonts w:cs="Arial"/>
                <w:sz w:val="20"/>
              </w:rPr>
              <w:t xml:space="preserve">actions taken </w:t>
            </w:r>
          </w:p>
          <w:p w14:paraId="0819C134" w14:textId="77777777" w:rsidR="0065448C" w:rsidRPr="00F570E2" w:rsidRDefault="0065448C" w:rsidP="0087278D">
            <w:pPr>
              <w:pStyle w:val="Tabletext"/>
              <w:spacing w:line="360" w:lineRule="auto"/>
              <w:cnfStyle w:val="000000000000" w:firstRow="0" w:lastRow="0" w:firstColumn="0" w:lastColumn="0" w:oddVBand="0" w:evenVBand="0" w:oddHBand="0" w:evenHBand="0" w:firstRowFirstColumn="0" w:firstRowLastColumn="0" w:lastRowFirstColumn="0" w:lastRowLastColumn="0"/>
              <w:rPr>
                <w:sz w:val="20"/>
              </w:rPr>
            </w:pPr>
          </w:p>
        </w:tc>
      </w:tr>
    </w:tbl>
    <w:p w14:paraId="5A6C3D07" w14:textId="7FF2EF63" w:rsidR="00F102BC" w:rsidRDefault="0087278D" w:rsidP="00793266">
      <w:pPr>
        <w:spacing w:after="0" w:line="360" w:lineRule="auto"/>
        <w:textAlignment w:val="baseline"/>
        <w:rPr>
          <w:rFonts w:cs="Arial"/>
          <w:szCs w:val="21"/>
          <w:highlight w:val="yellow"/>
          <w:lang w:eastAsia="en-AU"/>
        </w:rPr>
      </w:pPr>
      <w:r>
        <w:rPr>
          <w:rFonts w:cs="Arial"/>
          <w:szCs w:val="21"/>
          <w:highlight w:val="yellow"/>
          <w:lang w:eastAsia="en-AU"/>
        </w:rPr>
        <w:br w:type="textWrapping" w:clear="all"/>
      </w:r>
    </w:p>
    <w:p w14:paraId="1F1296BB" w14:textId="72393F2F" w:rsidR="001B4F8C" w:rsidRPr="00886AA7" w:rsidRDefault="001B4F8C" w:rsidP="00793266">
      <w:pPr>
        <w:pStyle w:val="Heading3"/>
        <w:spacing w:line="360" w:lineRule="auto"/>
      </w:pPr>
      <w:bookmarkStart w:id="11" w:name="_Toc180055178"/>
      <w:r>
        <w:t xml:space="preserve">Extra reporting step for </w:t>
      </w:r>
      <w:r w:rsidRPr="00922F1D">
        <w:rPr>
          <w:b/>
          <w:bCs w:val="0"/>
          <w:iCs/>
        </w:rPr>
        <w:t xml:space="preserve">critical </w:t>
      </w:r>
      <w:r>
        <w:t>notifiable incidents</w:t>
      </w:r>
      <w:bookmarkEnd w:id="11"/>
    </w:p>
    <w:p w14:paraId="272D4798" w14:textId="36EFD272" w:rsidR="001B4F8C" w:rsidRDefault="001B4F8C" w:rsidP="00793266">
      <w:pPr>
        <w:pStyle w:val="Tablecaption"/>
        <w:spacing w:line="360" w:lineRule="auto"/>
        <w:rPr>
          <w:rFonts w:cs="Arial"/>
          <w:b w:val="0"/>
        </w:rPr>
      </w:pPr>
      <w:r w:rsidRPr="08EB5346">
        <w:rPr>
          <w:rFonts w:cs="Arial"/>
          <w:b w:val="0"/>
        </w:rPr>
        <w:t xml:space="preserve">Critical notifiable incidents are a small group of notifiable incidents that </w:t>
      </w:r>
      <w:r w:rsidR="00CC4D76" w:rsidRPr="08EB5346">
        <w:rPr>
          <w:rFonts w:cs="Arial"/>
          <w:b w:val="0"/>
        </w:rPr>
        <w:t xml:space="preserve">have </w:t>
      </w:r>
      <w:r w:rsidRPr="08EB5346">
        <w:rPr>
          <w:rFonts w:cs="Arial"/>
          <w:b w:val="0"/>
        </w:rPr>
        <w:t xml:space="preserve">an additional and more immediate reporting step </w:t>
      </w:r>
      <w:r w:rsidR="00CC4D76" w:rsidRPr="08EB5346">
        <w:rPr>
          <w:rFonts w:cs="Arial"/>
          <w:b w:val="0"/>
        </w:rPr>
        <w:t xml:space="preserve">due to the </w:t>
      </w:r>
      <w:r w:rsidR="00CC4D76" w:rsidRPr="08EB5346">
        <w:rPr>
          <w:rFonts w:cs="Arial"/>
        </w:rPr>
        <w:t>critical</w:t>
      </w:r>
      <w:r w:rsidR="00CC4D76" w:rsidRPr="08EB5346">
        <w:rPr>
          <w:rFonts w:cs="Arial"/>
          <w:b w:val="0"/>
        </w:rPr>
        <w:t xml:space="preserve"> nature of the harm or risk of harm.</w:t>
      </w:r>
    </w:p>
    <w:p w14:paraId="0F206CE3" w14:textId="4BFFE42D" w:rsidR="00CC4D76" w:rsidRPr="004C5C86" w:rsidRDefault="00CC4D76" w:rsidP="00793266">
      <w:pPr>
        <w:shd w:val="clear" w:color="auto" w:fill="FFFFFF" w:themeFill="background1"/>
        <w:spacing w:before="100" w:beforeAutospacing="1" w:after="0" w:line="360" w:lineRule="auto"/>
        <w:rPr>
          <w:rFonts w:cs="Arial"/>
        </w:rPr>
      </w:pPr>
      <w:r>
        <w:rPr>
          <w:rFonts w:cs="Arial"/>
          <w:lang w:eastAsia="en-AU"/>
        </w:rPr>
        <w:t xml:space="preserve">Because this group of incidents is </w:t>
      </w:r>
      <w:r w:rsidRPr="006A2EF2">
        <w:rPr>
          <w:rFonts w:cs="Arial"/>
          <w:lang w:eastAsia="en-AU"/>
        </w:rPr>
        <w:t xml:space="preserve">critical, the Regulator has </w:t>
      </w:r>
      <w:r w:rsidR="00230A02">
        <w:rPr>
          <w:rFonts w:cs="Arial"/>
          <w:lang w:eastAsia="en-AU"/>
        </w:rPr>
        <w:t>come up with</w:t>
      </w:r>
      <w:r>
        <w:rPr>
          <w:rFonts w:cs="Arial"/>
          <w:lang w:eastAsia="en-AU"/>
        </w:rPr>
        <w:t xml:space="preserve"> an </w:t>
      </w:r>
      <w:r w:rsidRPr="006A2EF2">
        <w:rPr>
          <w:rFonts w:cs="Arial"/>
          <w:lang w:eastAsia="en-AU"/>
        </w:rPr>
        <w:t xml:space="preserve">approach to reporting </w:t>
      </w:r>
      <w:r>
        <w:rPr>
          <w:rFonts w:cs="Arial"/>
          <w:lang w:eastAsia="en-AU"/>
        </w:rPr>
        <w:t>that ensures there is a</w:t>
      </w:r>
      <w:r w:rsidRPr="006A2EF2">
        <w:rPr>
          <w:rFonts w:cs="Arial"/>
          <w:lang w:eastAsia="en-AU"/>
        </w:rPr>
        <w:t xml:space="preserve"> timely review of</w:t>
      </w:r>
      <w:r>
        <w:rPr>
          <w:rFonts w:cs="Arial"/>
          <w:lang w:eastAsia="en-AU"/>
        </w:rPr>
        <w:t xml:space="preserve"> the way</w:t>
      </w:r>
      <w:r w:rsidRPr="006A2EF2">
        <w:rPr>
          <w:rFonts w:cs="Arial"/>
          <w:lang w:eastAsia="en-AU"/>
        </w:rPr>
        <w:t xml:space="preserve"> the service provider</w:t>
      </w:r>
      <w:r>
        <w:rPr>
          <w:rFonts w:cs="Arial"/>
          <w:lang w:eastAsia="en-AU"/>
        </w:rPr>
        <w:t xml:space="preserve"> </w:t>
      </w:r>
      <w:r w:rsidRPr="006A2EF2">
        <w:rPr>
          <w:rFonts w:cs="Arial"/>
          <w:lang w:eastAsia="en-AU"/>
        </w:rPr>
        <w:t>respon</w:t>
      </w:r>
      <w:r>
        <w:rPr>
          <w:rFonts w:cs="Arial"/>
          <w:lang w:eastAsia="en-AU"/>
        </w:rPr>
        <w:t>d</w:t>
      </w:r>
      <w:r w:rsidRPr="006A2EF2">
        <w:rPr>
          <w:rFonts w:cs="Arial"/>
          <w:lang w:eastAsia="en-AU"/>
        </w:rPr>
        <w:t>e</w:t>
      </w:r>
      <w:r>
        <w:rPr>
          <w:rFonts w:cs="Arial"/>
          <w:lang w:eastAsia="en-AU"/>
        </w:rPr>
        <w:t>d</w:t>
      </w:r>
      <w:r w:rsidRPr="006A2EF2">
        <w:rPr>
          <w:rFonts w:cs="Arial"/>
          <w:lang w:eastAsia="en-AU"/>
        </w:rPr>
        <w:t xml:space="preserve"> to the incident.</w:t>
      </w:r>
    </w:p>
    <w:p w14:paraId="69FDEBB2" w14:textId="22AEDEFA" w:rsidR="001B4F8C" w:rsidRPr="00AB6728" w:rsidRDefault="00CC4D76" w:rsidP="00793266">
      <w:pPr>
        <w:pStyle w:val="Tablecaption"/>
        <w:spacing w:line="360" w:lineRule="auto"/>
        <w:rPr>
          <w:rFonts w:cs="Arial"/>
          <w:b w:val="0"/>
        </w:rPr>
      </w:pPr>
      <w:r w:rsidRPr="00CC4D76">
        <w:rPr>
          <w:rFonts w:cs="Arial"/>
          <w:b w:val="0"/>
        </w:rPr>
        <w:t xml:space="preserve">This extra reporting step means providers alert the Regulator that a critical notifiable incident has occurred by completing a critical notifiable incident short form </w:t>
      </w:r>
      <w:r w:rsidR="001B4F8C">
        <w:rPr>
          <w:rFonts w:cs="Arial"/>
          <w:b w:val="0"/>
        </w:rPr>
        <w:t>(referred to as ‘</w:t>
      </w:r>
      <w:r w:rsidR="001078D5">
        <w:rPr>
          <w:rFonts w:cs="Arial"/>
          <w:b w:val="0"/>
        </w:rPr>
        <w:t>S</w:t>
      </w:r>
      <w:r w:rsidR="007C3E22">
        <w:rPr>
          <w:rFonts w:cs="Arial"/>
          <w:b w:val="0"/>
        </w:rPr>
        <w:t xml:space="preserve">hort </w:t>
      </w:r>
      <w:r w:rsidR="001B4F8C">
        <w:rPr>
          <w:rFonts w:cs="Arial"/>
          <w:b w:val="0"/>
        </w:rPr>
        <w:t>form’ in Table 2 below)</w:t>
      </w:r>
      <w:r>
        <w:rPr>
          <w:rFonts w:cs="Arial"/>
          <w:b w:val="0"/>
        </w:rPr>
        <w:t xml:space="preserve">. </w:t>
      </w:r>
      <w:r w:rsidR="007F0799">
        <w:rPr>
          <w:rFonts w:cs="Arial"/>
          <w:b w:val="0"/>
        </w:rPr>
        <w:t xml:space="preserve">Do this </w:t>
      </w:r>
      <w:r w:rsidR="001B4F8C">
        <w:rPr>
          <w:rFonts w:cs="Arial"/>
          <w:b w:val="0"/>
        </w:rPr>
        <w:t>by</w:t>
      </w:r>
      <w:r w:rsidR="001B4F8C" w:rsidRPr="7D82A480">
        <w:rPr>
          <w:rFonts w:cs="Arial"/>
          <w:b w:val="0"/>
        </w:rPr>
        <w:t xml:space="preserve"> </w:t>
      </w:r>
      <w:r w:rsidR="001B4F8C" w:rsidRPr="00E976C8">
        <w:rPr>
          <w:rFonts w:cs="Arial"/>
          <w:b w:val="0"/>
          <w:bCs/>
        </w:rPr>
        <w:t>close of business the next business day</w:t>
      </w:r>
      <w:r w:rsidR="001B4F8C" w:rsidRPr="00D8626B">
        <w:rPr>
          <w:rFonts w:cs="Arial"/>
          <w:b w:val="0"/>
          <w:bCs/>
        </w:rPr>
        <w:t>.</w:t>
      </w:r>
      <w:r w:rsidR="001B4F8C" w:rsidRPr="7D82A480">
        <w:rPr>
          <w:rFonts w:cs="Arial"/>
          <w:b w:val="0"/>
        </w:rPr>
        <w:t xml:space="preserve"> </w:t>
      </w:r>
    </w:p>
    <w:p w14:paraId="4D480473" w14:textId="65978717" w:rsidR="001B4F8C" w:rsidRDefault="001B4F8C" w:rsidP="00793266">
      <w:pPr>
        <w:pStyle w:val="Body"/>
        <w:spacing w:line="360" w:lineRule="auto"/>
      </w:pPr>
      <w:r>
        <w:t xml:space="preserve">If the incident </w:t>
      </w:r>
      <w:r w:rsidR="0048656F">
        <w:t>occurs</w:t>
      </w:r>
      <w:r w:rsidR="008B00BF">
        <w:t xml:space="preserve"> </w:t>
      </w:r>
      <w:r>
        <w:t xml:space="preserve">on a Friday or on the weekend, </w:t>
      </w:r>
      <w:r w:rsidR="002923EE">
        <w:t>report it</w:t>
      </w:r>
      <w:r>
        <w:t xml:space="preserve"> by close of business the following Monday. </w:t>
      </w:r>
    </w:p>
    <w:p w14:paraId="5EDF821F" w14:textId="39C04A3F" w:rsidR="000B305B" w:rsidRPr="00CB1B7F" w:rsidRDefault="00EE41EB" w:rsidP="00793266">
      <w:pPr>
        <w:pStyle w:val="Body"/>
        <w:spacing w:line="360" w:lineRule="auto"/>
      </w:pPr>
      <w:r>
        <w:t>Because</w:t>
      </w:r>
      <w:r w:rsidR="000B305B">
        <w:t xml:space="preserve"> critical notifiable incidents are also notifiable incidents, providers </w:t>
      </w:r>
      <w:r w:rsidR="00A80C88">
        <w:t>have a second step, which is to</w:t>
      </w:r>
      <w:r w:rsidR="000B305B">
        <w:t xml:space="preserve"> complete a full incident report within three business days.</w:t>
      </w:r>
      <w:r w:rsidR="000B305B" w:rsidRPr="000B305B">
        <w:t xml:space="preserve"> </w:t>
      </w:r>
      <w:r w:rsidR="000B305B" w:rsidRPr="00E976C8">
        <w:rPr>
          <w:b/>
          <w:bCs/>
        </w:rPr>
        <w:t>This means that service providers</w:t>
      </w:r>
      <w:r w:rsidR="000B305B">
        <w:t xml:space="preserve"> </w:t>
      </w:r>
      <w:r w:rsidR="000B305B" w:rsidRPr="00E976C8">
        <w:rPr>
          <w:b/>
          <w:bCs/>
        </w:rPr>
        <w:t>have a 2-step</w:t>
      </w:r>
      <w:r w:rsidR="000B305B" w:rsidRPr="00736608">
        <w:t xml:space="preserve"> </w:t>
      </w:r>
      <w:r w:rsidR="000B305B" w:rsidRPr="00384527">
        <w:rPr>
          <w:b/>
          <w:bCs/>
        </w:rPr>
        <w:t>reporting requirement for critical notifiable incidents</w:t>
      </w:r>
      <w:r w:rsidR="00480EA5">
        <w:rPr>
          <w:b/>
          <w:bCs/>
        </w:rPr>
        <w:t>.</w:t>
      </w:r>
    </w:p>
    <w:p w14:paraId="3F8FD101" w14:textId="7BA65CDE" w:rsidR="001B4F8C" w:rsidRDefault="000B305B" w:rsidP="00793266">
      <w:pPr>
        <w:pStyle w:val="Body"/>
        <w:spacing w:line="360" w:lineRule="auto"/>
      </w:pPr>
      <w:r w:rsidRPr="00B7516B">
        <w:rPr>
          <w:rFonts w:cs="Arial"/>
        </w:rPr>
        <w:t xml:space="preserve">The </w:t>
      </w:r>
      <w:r>
        <w:rPr>
          <w:rFonts w:cs="Arial"/>
        </w:rPr>
        <w:t xml:space="preserve">Regulator’s </w:t>
      </w:r>
      <w:r w:rsidRPr="00B7516B">
        <w:rPr>
          <w:rFonts w:cs="Arial"/>
        </w:rPr>
        <w:t>definitions of </w:t>
      </w:r>
      <w:r w:rsidRPr="00B7516B">
        <w:rPr>
          <w:rFonts w:cs="Arial"/>
          <w:b/>
        </w:rPr>
        <w:t>critical notifiable incidents</w:t>
      </w:r>
      <w:r w:rsidRPr="00B7516B">
        <w:rPr>
          <w:rFonts w:cs="Arial"/>
        </w:rPr>
        <w:t xml:space="preserve"> are </w:t>
      </w:r>
      <w:r w:rsidR="00CC45BB" w:rsidRPr="00B7516B">
        <w:rPr>
          <w:rFonts w:cs="Arial"/>
        </w:rPr>
        <w:t>below</w:t>
      </w:r>
      <w:r w:rsidR="00CC45BB" w:rsidRPr="00736608">
        <w:rPr>
          <w:b/>
          <w:bCs/>
        </w:rPr>
        <w:t xml:space="preserve"> </w:t>
      </w:r>
      <w:r w:rsidR="00CC45BB">
        <w:t>in</w:t>
      </w:r>
      <w:r w:rsidR="001B4F8C">
        <w:t xml:space="preserve"> Table 2.</w:t>
      </w:r>
    </w:p>
    <w:p w14:paraId="411E19CA" w14:textId="77777777" w:rsidR="001B4F8C" w:rsidRDefault="001B4F8C" w:rsidP="00793266">
      <w:pPr>
        <w:pStyle w:val="Body"/>
        <w:spacing w:line="360" w:lineRule="auto"/>
        <w:rPr>
          <w:rFonts w:cs="Arial"/>
          <w:sz w:val="20"/>
        </w:rPr>
      </w:pPr>
      <w:r w:rsidRPr="280DEEB8">
        <w:rPr>
          <w:rFonts w:cs="Arial"/>
          <w:sz w:val="20"/>
        </w:rPr>
        <w:t>Table 2: Reporting critical notifiable incidents</w:t>
      </w:r>
    </w:p>
    <w:tbl>
      <w:tblPr>
        <w:tblStyle w:val="GridTable5Dark-Accent1"/>
        <w:tblW w:w="5000" w:type="pct"/>
        <w:tblLook w:val="04A0" w:firstRow="1" w:lastRow="0" w:firstColumn="1" w:lastColumn="0" w:noHBand="0" w:noVBand="1"/>
      </w:tblPr>
      <w:tblGrid>
        <w:gridCol w:w="333"/>
        <w:gridCol w:w="1588"/>
        <w:gridCol w:w="3684"/>
        <w:gridCol w:w="1993"/>
        <w:gridCol w:w="2596"/>
      </w:tblGrid>
      <w:tr w:rsidR="00BF227C" w:rsidRPr="00143BCA" w14:paraId="4DB4F207" w14:textId="77777777" w:rsidTr="00E37927">
        <w:trPr>
          <w:cnfStyle w:val="100000000000" w:firstRow="1" w:lastRow="0" w:firstColumn="0" w:lastColumn="0" w:oddVBand="0" w:evenVBand="0" w:oddHBand="0" w:evenHBand="0" w:firstRowFirstColumn="0" w:firstRowLastColumn="0" w:lastRowFirstColumn="0" w:lastRowLastColumn="0"/>
          <w:cantSplit/>
          <w:trHeight w:val="261"/>
          <w:tblHeader/>
        </w:trPr>
        <w:tc>
          <w:tcPr>
            <w:cnfStyle w:val="001000000000" w:firstRow="0" w:lastRow="0" w:firstColumn="1" w:lastColumn="0" w:oddVBand="0" w:evenVBand="0" w:oddHBand="0" w:evenHBand="0" w:firstRowFirstColumn="0" w:firstRowLastColumn="0" w:lastRowFirstColumn="0" w:lastRowLastColumn="0"/>
            <w:tcW w:w="197" w:type="pct"/>
          </w:tcPr>
          <w:p w14:paraId="3AD041A2" w14:textId="77777777" w:rsidR="004D7FCC" w:rsidRPr="00143BCA" w:rsidRDefault="004D7FCC" w:rsidP="00793266">
            <w:pPr>
              <w:pStyle w:val="Tablecolhead"/>
              <w:spacing w:line="360" w:lineRule="auto"/>
            </w:pPr>
          </w:p>
        </w:tc>
        <w:tc>
          <w:tcPr>
            <w:tcW w:w="899" w:type="pct"/>
          </w:tcPr>
          <w:p w14:paraId="6272C93A" w14:textId="77777777" w:rsidR="004D7FCC" w:rsidRPr="00143BCA" w:rsidRDefault="004D7FCC" w:rsidP="00793266">
            <w:pPr>
              <w:pStyle w:val="Tablecolhead"/>
              <w:spacing w:line="360" w:lineRule="auto"/>
              <w:cnfStyle w:val="100000000000" w:firstRow="1" w:lastRow="0" w:firstColumn="0" w:lastColumn="0" w:oddVBand="0" w:evenVBand="0" w:oddHBand="0" w:evenHBand="0" w:firstRowFirstColumn="0" w:firstRowLastColumn="0" w:lastRowFirstColumn="0" w:lastRowLastColumn="0"/>
            </w:pPr>
            <w:bookmarkStart w:id="12" w:name="Title_table_2"/>
            <w:bookmarkEnd w:id="12"/>
            <w:r>
              <w:t>Type</w:t>
            </w:r>
          </w:p>
        </w:tc>
        <w:tc>
          <w:tcPr>
            <w:tcW w:w="1884" w:type="pct"/>
          </w:tcPr>
          <w:p w14:paraId="689EAD0E" w14:textId="77777777" w:rsidR="004D7FCC" w:rsidRPr="00143BCA" w:rsidRDefault="004D7FCC" w:rsidP="00793266">
            <w:pPr>
              <w:pStyle w:val="Tablecolhead"/>
              <w:spacing w:line="360" w:lineRule="auto"/>
              <w:cnfStyle w:val="100000000000" w:firstRow="1" w:lastRow="0" w:firstColumn="0" w:lastColumn="0" w:oddVBand="0" w:evenVBand="0" w:oddHBand="0" w:evenHBand="0" w:firstRowFirstColumn="0" w:firstRowLastColumn="0" w:lastRowFirstColumn="0" w:lastRowLastColumn="0"/>
            </w:pPr>
            <w:r>
              <w:t>Description</w:t>
            </w:r>
          </w:p>
        </w:tc>
        <w:tc>
          <w:tcPr>
            <w:tcW w:w="1054" w:type="pct"/>
          </w:tcPr>
          <w:p w14:paraId="2A61DD03" w14:textId="77777777" w:rsidR="004D7FCC" w:rsidRPr="00143BCA" w:rsidRDefault="004D7FCC" w:rsidP="00793266">
            <w:pPr>
              <w:pStyle w:val="Tablecolhead"/>
              <w:spacing w:line="360" w:lineRule="auto"/>
              <w:cnfStyle w:val="100000000000" w:firstRow="1" w:lastRow="0" w:firstColumn="0" w:lastColumn="0" w:oddVBand="0" w:evenVBand="0" w:oddHBand="0" w:evenHBand="0" w:firstRowFirstColumn="0" w:firstRowLastColumn="0" w:lastRowFirstColumn="0" w:lastRowLastColumn="0"/>
            </w:pPr>
            <w:r>
              <w:t>Reporting timeframe</w:t>
            </w:r>
            <w:r w:rsidR="00E9501F">
              <w:t>s</w:t>
            </w:r>
          </w:p>
        </w:tc>
        <w:tc>
          <w:tcPr>
            <w:tcW w:w="967" w:type="pct"/>
          </w:tcPr>
          <w:p w14:paraId="07687749" w14:textId="77777777" w:rsidR="004D7FCC" w:rsidRPr="00143BCA" w:rsidRDefault="004D7FCC" w:rsidP="00793266">
            <w:pPr>
              <w:pStyle w:val="Tablecolhead"/>
              <w:spacing w:line="360" w:lineRule="auto"/>
              <w:cnfStyle w:val="100000000000" w:firstRow="1" w:lastRow="0" w:firstColumn="0" w:lastColumn="0" w:oddVBand="0" w:evenVBand="0" w:oddHBand="0" w:evenHBand="0" w:firstRowFirstColumn="0" w:firstRowLastColumn="0" w:lastRowFirstColumn="0" w:lastRowLastColumn="0"/>
            </w:pPr>
            <w:r>
              <w:t>Reporting requirements</w:t>
            </w:r>
          </w:p>
        </w:tc>
      </w:tr>
      <w:tr w:rsidR="00630438" w:rsidRPr="00143BCA" w14:paraId="33207FF1" w14:textId="77777777" w:rsidTr="00B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 w:type="pct"/>
          </w:tcPr>
          <w:p w14:paraId="31B5CD76" w14:textId="77777777" w:rsidR="004D7FCC" w:rsidRPr="00143BCA" w:rsidRDefault="004D7FCC" w:rsidP="00793266">
            <w:pPr>
              <w:pStyle w:val="Tabletext"/>
              <w:spacing w:line="360" w:lineRule="auto"/>
              <w:jc w:val="center"/>
            </w:pPr>
            <w:r w:rsidRPr="001C7824">
              <w:t>1</w:t>
            </w:r>
          </w:p>
        </w:tc>
        <w:tc>
          <w:tcPr>
            <w:tcW w:w="899" w:type="pct"/>
          </w:tcPr>
          <w:p w14:paraId="2697F652" w14:textId="77777777" w:rsidR="00D239B0" w:rsidRPr="007B52F5" w:rsidRDefault="00D239B0"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b/>
                <w:sz w:val="20"/>
              </w:rPr>
            </w:pPr>
            <w:r w:rsidRPr="007B52F5">
              <w:rPr>
                <w:rFonts w:cs="Arial"/>
                <w:b/>
                <w:sz w:val="20"/>
              </w:rPr>
              <w:t>Unexpected death</w:t>
            </w:r>
          </w:p>
          <w:p w14:paraId="2ED16216" w14:textId="77777777" w:rsidR="004D7FCC" w:rsidRPr="0065448C" w:rsidRDefault="004D7FCC"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b/>
                <w:bCs/>
              </w:rPr>
            </w:pPr>
          </w:p>
        </w:tc>
        <w:tc>
          <w:tcPr>
            <w:tcW w:w="1884" w:type="pct"/>
          </w:tcPr>
          <w:p w14:paraId="31ACA59C" w14:textId="77777777" w:rsidR="004D7FCC" w:rsidRPr="0028749A" w:rsidRDefault="00E42C42" w:rsidP="00793266">
            <w:pPr>
              <w:pStyle w:val="DHHStabletext"/>
              <w:numPr>
                <w:ilvl w:val="0"/>
                <w:numId w:val="12"/>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28749A">
              <w:rPr>
                <w:rFonts w:cs="Arial"/>
              </w:rPr>
              <w:t>Death of a service user during service delivery where the death is unexpected.</w:t>
            </w:r>
          </w:p>
        </w:tc>
        <w:tc>
          <w:tcPr>
            <w:tcW w:w="1054" w:type="pct"/>
          </w:tcPr>
          <w:p w14:paraId="475A0D51" w14:textId="77777777" w:rsidR="001C16B9" w:rsidRPr="0028749A" w:rsidRDefault="001C16B9"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bCs/>
                <w:sz w:val="20"/>
              </w:rPr>
            </w:pPr>
            <w:r w:rsidRPr="0028749A">
              <w:rPr>
                <w:rFonts w:cs="Arial"/>
                <w:b/>
                <w:sz w:val="20"/>
              </w:rPr>
              <w:t xml:space="preserve">Short form </w:t>
            </w:r>
            <w:r w:rsidRPr="0028749A">
              <w:rPr>
                <w:rFonts w:cs="Arial"/>
                <w:bCs/>
                <w:sz w:val="20"/>
              </w:rPr>
              <w:t>by c</w:t>
            </w:r>
            <w:r w:rsidRPr="0028749A">
              <w:rPr>
                <w:rFonts w:cs="Arial"/>
                <w:sz w:val="20"/>
              </w:rPr>
              <w:t>lose of business n</w:t>
            </w:r>
            <w:r w:rsidRPr="0028749A">
              <w:rPr>
                <w:sz w:val="20"/>
              </w:rPr>
              <w:t>ext business day</w:t>
            </w:r>
          </w:p>
          <w:p w14:paraId="64BDA661" w14:textId="77777777" w:rsidR="004D7FCC" w:rsidRPr="0028749A" w:rsidRDefault="001C16B9"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sz w:val="20"/>
              </w:rPr>
            </w:pPr>
            <w:r w:rsidRPr="0028749A">
              <w:rPr>
                <w:b/>
                <w:sz w:val="20"/>
              </w:rPr>
              <w:t xml:space="preserve">Full incident report </w:t>
            </w:r>
            <w:r w:rsidRPr="0028749A">
              <w:rPr>
                <w:bCs/>
                <w:sz w:val="20"/>
              </w:rPr>
              <w:t xml:space="preserve">within </w:t>
            </w:r>
            <w:r w:rsidR="00277087">
              <w:rPr>
                <w:bCs/>
                <w:sz w:val="20"/>
              </w:rPr>
              <w:t>3</w:t>
            </w:r>
            <w:r w:rsidRPr="0028749A">
              <w:rPr>
                <w:bCs/>
                <w:sz w:val="20"/>
              </w:rPr>
              <w:t xml:space="preserve"> business days</w:t>
            </w:r>
          </w:p>
        </w:tc>
        <w:tc>
          <w:tcPr>
            <w:tcW w:w="967" w:type="pct"/>
          </w:tcPr>
          <w:p w14:paraId="5AA4BBCA" w14:textId="77777777" w:rsidR="00630438" w:rsidRPr="0028749A" w:rsidRDefault="004D7FCC"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028749A">
              <w:rPr>
                <w:rFonts w:cs="Arial"/>
                <w:sz w:val="20"/>
              </w:rPr>
              <w:t>Clear summary of the incident and</w:t>
            </w:r>
            <w:r w:rsidR="0012609A" w:rsidRPr="0028749A">
              <w:rPr>
                <w:rFonts w:cs="Arial"/>
                <w:sz w:val="20"/>
              </w:rPr>
              <w:t xml:space="preserve"> immediate </w:t>
            </w:r>
            <w:r w:rsidRPr="0028749A">
              <w:rPr>
                <w:rFonts w:cs="Arial"/>
                <w:sz w:val="20"/>
              </w:rPr>
              <w:t>actions taken</w:t>
            </w:r>
          </w:p>
          <w:p w14:paraId="7CC52B71" w14:textId="77777777" w:rsidR="004D7FCC" w:rsidRPr="0028749A" w:rsidRDefault="00630438"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028749A">
              <w:rPr>
                <w:rFonts w:cs="Arial"/>
                <w:sz w:val="20"/>
              </w:rPr>
              <w:t xml:space="preserve">Other </w:t>
            </w:r>
            <w:proofErr w:type="spellStart"/>
            <w:r w:rsidRPr="0028749A">
              <w:rPr>
                <w:rFonts w:cs="Arial"/>
                <w:sz w:val="20"/>
              </w:rPr>
              <w:t>organisations</w:t>
            </w:r>
            <w:proofErr w:type="spellEnd"/>
            <w:r w:rsidRPr="0028749A">
              <w:rPr>
                <w:rFonts w:cs="Arial"/>
                <w:sz w:val="20"/>
              </w:rPr>
              <w:t>/stakeholders contacted</w:t>
            </w:r>
            <w:r w:rsidR="004D7FCC" w:rsidRPr="0028749A">
              <w:rPr>
                <w:rFonts w:cs="Arial"/>
                <w:sz w:val="20"/>
              </w:rPr>
              <w:t xml:space="preserve"> </w:t>
            </w:r>
          </w:p>
        </w:tc>
      </w:tr>
      <w:tr w:rsidR="005C341C" w:rsidRPr="00143BCA" w14:paraId="3CBEB78C" w14:textId="77777777" w:rsidTr="00BF227C">
        <w:tc>
          <w:tcPr>
            <w:cnfStyle w:val="001000000000" w:firstRow="0" w:lastRow="0" w:firstColumn="1" w:lastColumn="0" w:oddVBand="0" w:evenVBand="0" w:oddHBand="0" w:evenHBand="0" w:firstRowFirstColumn="0" w:firstRowLastColumn="0" w:lastRowFirstColumn="0" w:lastRowLastColumn="0"/>
            <w:tcW w:w="197" w:type="pct"/>
          </w:tcPr>
          <w:p w14:paraId="00D91DFE" w14:textId="77777777" w:rsidR="00D372EB" w:rsidRPr="001C7824" w:rsidRDefault="002C4EE2" w:rsidP="00793266">
            <w:pPr>
              <w:pStyle w:val="Tabletext"/>
              <w:spacing w:line="360" w:lineRule="auto"/>
              <w:jc w:val="center"/>
            </w:pPr>
            <w:r>
              <w:t>2</w:t>
            </w:r>
          </w:p>
        </w:tc>
        <w:tc>
          <w:tcPr>
            <w:tcW w:w="899" w:type="pct"/>
          </w:tcPr>
          <w:p w14:paraId="246039CB" w14:textId="77777777" w:rsidR="00D372EB" w:rsidRPr="0065448C" w:rsidRDefault="00D372EB"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b/>
                <w:bCs/>
              </w:rPr>
            </w:pPr>
            <w:r w:rsidRPr="007B52F5">
              <w:rPr>
                <w:rFonts w:cs="Arial"/>
                <w:b/>
                <w:sz w:val="20"/>
              </w:rPr>
              <w:t>Escape from a secure facility</w:t>
            </w:r>
          </w:p>
        </w:tc>
        <w:tc>
          <w:tcPr>
            <w:tcW w:w="1884" w:type="pct"/>
          </w:tcPr>
          <w:p w14:paraId="1A95F425" w14:textId="77777777" w:rsidR="006E0EF5" w:rsidRPr="0028749A" w:rsidRDefault="006E0EF5" w:rsidP="00793266">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Only applies to service users in:</w:t>
            </w:r>
          </w:p>
          <w:p w14:paraId="05C3F4CB" w14:textId="77777777" w:rsidR="006E0EF5" w:rsidRPr="0028749A" w:rsidRDefault="006E0EF5" w:rsidP="00793266">
            <w:pPr>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 xml:space="preserve">Secure </w:t>
            </w:r>
            <w:r w:rsidR="000C25B2">
              <w:rPr>
                <w:rFonts w:cs="Arial"/>
                <w:sz w:val="20"/>
              </w:rPr>
              <w:t>c</w:t>
            </w:r>
            <w:r w:rsidRPr="0028749A">
              <w:rPr>
                <w:rFonts w:cs="Arial"/>
                <w:sz w:val="20"/>
              </w:rPr>
              <w:t>are</w:t>
            </w:r>
          </w:p>
          <w:p w14:paraId="4992B433" w14:textId="77777777" w:rsidR="006E0EF5" w:rsidRPr="0028749A" w:rsidRDefault="006E0EF5" w:rsidP="00793266">
            <w:pPr>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Custodial care</w:t>
            </w:r>
          </w:p>
          <w:p w14:paraId="1C17DD50" w14:textId="77777777" w:rsidR="006E0EF5" w:rsidRPr="0028749A" w:rsidRDefault="006E0EF5" w:rsidP="00793266">
            <w:pPr>
              <w:numPr>
                <w:ilvl w:val="0"/>
                <w:numId w:val="19"/>
              </w:num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Disability services where the relevant service user is subject to compulsory treatment or judicial orders.</w:t>
            </w:r>
          </w:p>
          <w:p w14:paraId="5A91FA83" w14:textId="5C7A5014" w:rsidR="00D372EB" w:rsidRPr="0028749A" w:rsidRDefault="006E0EF5" w:rsidP="00793266">
            <w:pPr>
              <w:pStyle w:val="DHHStabletext"/>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28749A">
              <w:rPr>
                <w:rFonts w:cs="Arial"/>
              </w:rPr>
              <w:t>Scope includes where a service user fails to return from temporary leave</w:t>
            </w:r>
            <w:r w:rsidR="00935AF7">
              <w:rPr>
                <w:rFonts w:cs="Arial"/>
              </w:rPr>
              <w:t>.</w:t>
            </w:r>
          </w:p>
        </w:tc>
        <w:tc>
          <w:tcPr>
            <w:tcW w:w="1054" w:type="pct"/>
          </w:tcPr>
          <w:p w14:paraId="2D445320" w14:textId="77777777" w:rsidR="001C16B9" w:rsidRPr="0028749A" w:rsidRDefault="001C16B9"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bCs/>
                <w:sz w:val="20"/>
              </w:rPr>
            </w:pPr>
            <w:r w:rsidRPr="0028749A">
              <w:rPr>
                <w:rFonts w:cs="Arial"/>
                <w:b/>
                <w:sz w:val="20"/>
              </w:rPr>
              <w:t xml:space="preserve">Short form </w:t>
            </w:r>
            <w:r w:rsidRPr="0028749A">
              <w:rPr>
                <w:rFonts w:cs="Arial"/>
                <w:bCs/>
                <w:sz w:val="20"/>
              </w:rPr>
              <w:t>by c</w:t>
            </w:r>
            <w:r w:rsidRPr="0028749A">
              <w:rPr>
                <w:rFonts w:cs="Arial"/>
                <w:sz w:val="20"/>
              </w:rPr>
              <w:t>lose of business n</w:t>
            </w:r>
            <w:r w:rsidRPr="0028749A">
              <w:rPr>
                <w:sz w:val="20"/>
              </w:rPr>
              <w:t>ext business day</w:t>
            </w:r>
          </w:p>
          <w:p w14:paraId="3135BCCE" w14:textId="77777777" w:rsidR="00D372EB" w:rsidRPr="0028749A" w:rsidRDefault="001C16B9"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sz w:val="20"/>
              </w:rPr>
            </w:pPr>
            <w:r w:rsidRPr="0028749A">
              <w:rPr>
                <w:b/>
                <w:sz w:val="20"/>
              </w:rPr>
              <w:t xml:space="preserve">Full incident report </w:t>
            </w:r>
            <w:r w:rsidRPr="0028749A">
              <w:rPr>
                <w:bCs/>
                <w:sz w:val="20"/>
              </w:rPr>
              <w:t xml:space="preserve">within </w:t>
            </w:r>
            <w:r w:rsidR="00277087">
              <w:rPr>
                <w:bCs/>
                <w:sz w:val="20"/>
              </w:rPr>
              <w:t>3</w:t>
            </w:r>
            <w:r w:rsidRPr="0028749A">
              <w:rPr>
                <w:bCs/>
                <w:sz w:val="20"/>
              </w:rPr>
              <w:t xml:space="preserve"> business days</w:t>
            </w:r>
          </w:p>
        </w:tc>
        <w:tc>
          <w:tcPr>
            <w:tcW w:w="967" w:type="pct"/>
          </w:tcPr>
          <w:p w14:paraId="7598FDEE" w14:textId="77777777" w:rsidR="002C4EE2" w:rsidRPr="0028749A" w:rsidRDefault="002C4EE2"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Clear summary of the incident and immediate actions taken</w:t>
            </w:r>
          </w:p>
          <w:p w14:paraId="09527E2A" w14:textId="77777777" w:rsidR="00D372EB" w:rsidRPr="0028749A" w:rsidRDefault="002C4EE2"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 xml:space="preserve">Other </w:t>
            </w:r>
            <w:proofErr w:type="spellStart"/>
            <w:r w:rsidRPr="0028749A">
              <w:rPr>
                <w:rFonts w:cs="Arial"/>
                <w:sz w:val="20"/>
              </w:rPr>
              <w:t>organisations</w:t>
            </w:r>
            <w:proofErr w:type="spellEnd"/>
            <w:r w:rsidRPr="0028749A">
              <w:rPr>
                <w:rFonts w:cs="Arial"/>
                <w:sz w:val="20"/>
              </w:rPr>
              <w:t xml:space="preserve">/stakeholders contacted </w:t>
            </w:r>
          </w:p>
        </w:tc>
      </w:tr>
      <w:tr w:rsidR="005C341C" w:rsidRPr="00143BCA" w14:paraId="2ED5B31F" w14:textId="77777777" w:rsidTr="00B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 w:type="pct"/>
          </w:tcPr>
          <w:p w14:paraId="7B9448BA" w14:textId="77777777" w:rsidR="006A39C8" w:rsidRPr="001C7824" w:rsidRDefault="002C4EE2" w:rsidP="00793266">
            <w:pPr>
              <w:pStyle w:val="Tabletext"/>
              <w:spacing w:line="360" w:lineRule="auto"/>
              <w:jc w:val="center"/>
            </w:pPr>
            <w:r>
              <w:t>3</w:t>
            </w:r>
          </w:p>
        </w:tc>
        <w:tc>
          <w:tcPr>
            <w:tcW w:w="899" w:type="pct"/>
          </w:tcPr>
          <w:p w14:paraId="02B703BB" w14:textId="77777777" w:rsidR="006A39C8" w:rsidRPr="0065448C" w:rsidRDefault="006A39C8"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b/>
                <w:bCs/>
              </w:rPr>
            </w:pPr>
            <w:r w:rsidRPr="007B52F5">
              <w:rPr>
                <w:rFonts w:cs="Arial"/>
                <w:b/>
                <w:sz w:val="20"/>
              </w:rPr>
              <w:t>Medication error</w:t>
            </w:r>
          </w:p>
        </w:tc>
        <w:tc>
          <w:tcPr>
            <w:tcW w:w="1884" w:type="pct"/>
          </w:tcPr>
          <w:p w14:paraId="4216CFA9" w14:textId="2F1CA99C" w:rsidR="006A39C8" w:rsidRPr="00F26AFA" w:rsidRDefault="00CA7A83" w:rsidP="00793266">
            <w:pPr>
              <w:pStyle w:val="DHHStabletext"/>
              <w:spacing w:line="360" w:lineRule="auto"/>
              <w:cnfStyle w:val="000000100000" w:firstRow="0" w:lastRow="0" w:firstColumn="0" w:lastColumn="0" w:oddVBand="0" w:evenVBand="0" w:oddHBand="1" w:evenHBand="0" w:firstRowFirstColumn="0" w:firstRowLastColumn="0" w:lastRowFirstColumn="0" w:lastRowLastColumn="0"/>
              <w:rPr>
                <w:rFonts w:cs="Arial"/>
              </w:rPr>
            </w:pPr>
            <w:r w:rsidRPr="00F26AFA">
              <w:rPr>
                <w:rFonts w:cs="Arial"/>
              </w:rPr>
              <w:t>The incident results in the service user requiring medical treatment at a hospital</w:t>
            </w:r>
            <w:r w:rsidR="00FD4AA8">
              <w:rPr>
                <w:rFonts w:cs="Arial"/>
              </w:rPr>
              <w:t xml:space="preserve"> (see further information below)</w:t>
            </w:r>
            <w:r w:rsidRPr="00F26AFA">
              <w:rPr>
                <w:rFonts w:cs="Arial"/>
              </w:rPr>
              <w:t xml:space="preserve">. </w:t>
            </w:r>
          </w:p>
          <w:p w14:paraId="00295F1E" w14:textId="77777777" w:rsidR="007A3AED" w:rsidRPr="00F051B3" w:rsidRDefault="007A3AED" w:rsidP="00793266">
            <w:pPr>
              <w:spacing w:line="36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051B3">
              <w:rPr>
                <w:rFonts w:cs="Arial"/>
                <w:sz w:val="18"/>
                <w:szCs w:val="18"/>
              </w:rPr>
              <w:t>Key definitions:</w:t>
            </w:r>
          </w:p>
          <w:p w14:paraId="4E32A869" w14:textId="77777777" w:rsidR="007A3AED" w:rsidRPr="00F051B3" w:rsidRDefault="007A3AED" w:rsidP="00793266">
            <w:pPr>
              <w:numPr>
                <w:ilvl w:val="0"/>
                <w:numId w:val="21"/>
              </w:numPr>
              <w:spacing w:after="0" w:line="36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051B3">
              <w:rPr>
                <w:rFonts w:cs="Arial"/>
                <w:sz w:val="18"/>
                <w:szCs w:val="18"/>
              </w:rPr>
              <w:t xml:space="preserve">Medical treatment means medical interventions undertaken to treat the physical impact of the medication error. </w:t>
            </w:r>
          </w:p>
          <w:p w14:paraId="0873ABED" w14:textId="77777777" w:rsidR="007A3AED" w:rsidRPr="00F051B3" w:rsidRDefault="007A3AED" w:rsidP="00793266">
            <w:pPr>
              <w:spacing w:after="0" w:line="360" w:lineRule="auto"/>
              <w:ind w:left="360"/>
              <w:cnfStyle w:val="000000100000" w:firstRow="0" w:lastRow="0" w:firstColumn="0" w:lastColumn="0" w:oddVBand="0" w:evenVBand="0" w:oddHBand="1" w:evenHBand="0" w:firstRowFirstColumn="0" w:firstRowLastColumn="0" w:lastRowFirstColumn="0" w:lastRowLastColumn="0"/>
              <w:rPr>
                <w:rFonts w:cs="Arial"/>
                <w:sz w:val="18"/>
                <w:szCs w:val="18"/>
              </w:rPr>
            </w:pPr>
          </w:p>
          <w:p w14:paraId="5897548D" w14:textId="77777777" w:rsidR="007A3AED" w:rsidRPr="00F051B3" w:rsidRDefault="007A3AED" w:rsidP="00793266">
            <w:pPr>
              <w:numPr>
                <w:ilvl w:val="0"/>
                <w:numId w:val="21"/>
              </w:numPr>
              <w:spacing w:after="0" w:line="36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051B3">
              <w:rPr>
                <w:rFonts w:cs="Arial"/>
                <w:sz w:val="18"/>
                <w:szCs w:val="18"/>
              </w:rPr>
              <w:t>Examples of medication errors may include (and are not</w:t>
            </w:r>
            <w:r w:rsidRPr="00F051B3" w:rsidDel="007B3184">
              <w:rPr>
                <w:rFonts w:cs="Arial"/>
                <w:sz w:val="18"/>
                <w:szCs w:val="18"/>
              </w:rPr>
              <w:t xml:space="preserve"> </w:t>
            </w:r>
            <w:r w:rsidRPr="00F051B3">
              <w:rPr>
                <w:rFonts w:cs="Arial"/>
                <w:sz w:val="18"/>
                <w:szCs w:val="18"/>
              </w:rPr>
              <w:t>limited to) when a service user</w:t>
            </w:r>
            <w:r w:rsidR="00534796">
              <w:rPr>
                <w:rFonts w:cs="Arial"/>
                <w:sz w:val="18"/>
                <w:szCs w:val="18"/>
              </w:rPr>
              <w:t xml:space="preserve"> is</w:t>
            </w:r>
            <w:r w:rsidRPr="00F051B3">
              <w:rPr>
                <w:rFonts w:cs="Arial"/>
                <w:sz w:val="18"/>
                <w:szCs w:val="18"/>
              </w:rPr>
              <w:t>:</w:t>
            </w:r>
          </w:p>
          <w:p w14:paraId="40937A91" w14:textId="67419A81" w:rsidR="007A3AED" w:rsidRPr="00F051B3" w:rsidRDefault="007A3AED" w:rsidP="00793266">
            <w:pPr>
              <w:numPr>
                <w:ilvl w:val="0"/>
                <w:numId w:val="24"/>
              </w:numPr>
              <w:spacing w:after="0" w:line="36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051B3">
              <w:rPr>
                <w:rFonts w:cs="Arial"/>
                <w:sz w:val="18"/>
                <w:szCs w:val="18"/>
              </w:rPr>
              <w:t>not administered their required medication</w:t>
            </w:r>
          </w:p>
          <w:p w14:paraId="74D1E23E" w14:textId="28F3B09C" w:rsidR="007A3AED" w:rsidRPr="00F051B3" w:rsidRDefault="007A3AED" w:rsidP="00793266">
            <w:pPr>
              <w:numPr>
                <w:ilvl w:val="0"/>
                <w:numId w:val="24"/>
              </w:numPr>
              <w:spacing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F051B3">
              <w:rPr>
                <w:rFonts w:cs="Arial"/>
                <w:sz w:val="18"/>
                <w:szCs w:val="18"/>
              </w:rPr>
              <w:t>given the wrong medication</w:t>
            </w:r>
          </w:p>
          <w:p w14:paraId="32E14EFF" w14:textId="34E91AC4" w:rsidR="007A3AED" w:rsidRPr="00F051B3" w:rsidRDefault="007A3AED" w:rsidP="00793266">
            <w:pPr>
              <w:numPr>
                <w:ilvl w:val="0"/>
                <w:numId w:val="24"/>
              </w:numPr>
              <w:spacing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F051B3">
              <w:rPr>
                <w:rFonts w:cs="Arial"/>
                <w:sz w:val="18"/>
                <w:szCs w:val="18"/>
              </w:rPr>
              <w:t>given a double dose of medication</w:t>
            </w:r>
          </w:p>
          <w:p w14:paraId="08A06AD3" w14:textId="0B0FD3DC" w:rsidR="007A3AED" w:rsidRPr="00F051B3" w:rsidRDefault="00534796" w:rsidP="00793266">
            <w:pPr>
              <w:numPr>
                <w:ilvl w:val="0"/>
                <w:numId w:val="24"/>
              </w:numPr>
              <w:spacing w:after="0" w:line="36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gaining access to</w:t>
            </w:r>
            <w:r w:rsidR="00DD74DC">
              <w:rPr>
                <w:rFonts w:cs="Arial"/>
                <w:sz w:val="18"/>
                <w:szCs w:val="18"/>
              </w:rPr>
              <w:t xml:space="preserve"> </w:t>
            </w:r>
            <w:r w:rsidR="00A34F3E">
              <w:rPr>
                <w:rFonts w:cs="Arial"/>
                <w:sz w:val="18"/>
                <w:szCs w:val="18"/>
              </w:rPr>
              <w:t>and</w:t>
            </w:r>
            <w:r w:rsidR="007A3AED" w:rsidRPr="00F051B3">
              <w:rPr>
                <w:rFonts w:cs="Arial"/>
                <w:sz w:val="18"/>
                <w:szCs w:val="18"/>
              </w:rPr>
              <w:t xml:space="preserve"> tak</w:t>
            </w:r>
            <w:r>
              <w:rPr>
                <w:rFonts w:cs="Arial"/>
                <w:sz w:val="18"/>
                <w:szCs w:val="18"/>
              </w:rPr>
              <w:t>ing</w:t>
            </w:r>
            <w:r w:rsidR="007A3AED" w:rsidRPr="00F051B3">
              <w:rPr>
                <w:rFonts w:cs="Arial"/>
                <w:sz w:val="18"/>
                <w:szCs w:val="18"/>
              </w:rPr>
              <w:t xml:space="preserve"> secured medications (or </w:t>
            </w:r>
            <w:r w:rsidRPr="00534796">
              <w:rPr>
                <w:rFonts w:cs="Arial"/>
                <w:sz w:val="18"/>
                <w:szCs w:val="18"/>
              </w:rPr>
              <w:t>to medications not adequately secured</w:t>
            </w:r>
            <w:r w:rsidR="007A3AED" w:rsidRPr="00F051B3">
              <w:rPr>
                <w:rFonts w:cs="Arial"/>
                <w:sz w:val="18"/>
                <w:szCs w:val="18"/>
              </w:rPr>
              <w:t>).</w:t>
            </w:r>
          </w:p>
          <w:p w14:paraId="0D2EE07F" w14:textId="77777777" w:rsidR="00CA7A83" w:rsidRPr="00001FFC" w:rsidRDefault="00001FFC" w:rsidP="00793266">
            <w:pPr>
              <w:pStyle w:val="DHHStabletext"/>
              <w:spacing w:line="360" w:lineRule="auto"/>
              <w:cnfStyle w:val="000000100000" w:firstRow="0" w:lastRow="0" w:firstColumn="0" w:lastColumn="0" w:oddVBand="0" w:evenVBand="0" w:oddHBand="1" w:evenHBand="0" w:firstRowFirstColumn="0" w:firstRowLastColumn="0" w:lastRowFirstColumn="0" w:lastRowLastColumn="0"/>
              <w:rPr>
                <w:rFonts w:cs="Arial"/>
                <w:szCs w:val="17"/>
              </w:rPr>
            </w:pPr>
            <w:r w:rsidRPr="00F051B3">
              <w:rPr>
                <w:rFonts w:cs="Arial"/>
                <w:sz w:val="18"/>
                <w:szCs w:val="18"/>
              </w:rPr>
              <w:t xml:space="preserve">Examples of medication errors would </w:t>
            </w:r>
            <w:r w:rsidRPr="00736608">
              <w:rPr>
                <w:rFonts w:cs="Arial"/>
                <w:i/>
                <w:sz w:val="18"/>
                <w:szCs w:val="18"/>
              </w:rPr>
              <w:t>not</w:t>
            </w:r>
            <w:r w:rsidRPr="00F051B3">
              <w:rPr>
                <w:rFonts w:cs="Arial"/>
                <w:i/>
                <w:sz w:val="18"/>
                <w:szCs w:val="18"/>
              </w:rPr>
              <w:t xml:space="preserve"> </w:t>
            </w:r>
            <w:r w:rsidRPr="00F051B3">
              <w:rPr>
                <w:rFonts w:cs="Arial"/>
                <w:sz w:val="18"/>
                <w:szCs w:val="18"/>
              </w:rPr>
              <w:t>typically include incidents of substance abuse where the substance is obtained outside of the facility/care situation.</w:t>
            </w:r>
          </w:p>
        </w:tc>
        <w:tc>
          <w:tcPr>
            <w:tcW w:w="1054" w:type="pct"/>
          </w:tcPr>
          <w:p w14:paraId="5A671252" w14:textId="77777777" w:rsidR="001C16B9" w:rsidRPr="0038376A" w:rsidRDefault="001C16B9"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bCs/>
                <w:sz w:val="20"/>
              </w:rPr>
            </w:pPr>
            <w:r w:rsidRPr="0038376A">
              <w:rPr>
                <w:rFonts w:cs="Arial"/>
                <w:b/>
                <w:sz w:val="20"/>
              </w:rPr>
              <w:t xml:space="preserve">Short form </w:t>
            </w:r>
            <w:r w:rsidRPr="0038376A">
              <w:rPr>
                <w:rFonts w:cs="Arial"/>
                <w:bCs/>
                <w:sz w:val="20"/>
              </w:rPr>
              <w:t>by c</w:t>
            </w:r>
            <w:r w:rsidRPr="0038376A">
              <w:rPr>
                <w:rFonts w:cs="Arial"/>
                <w:sz w:val="20"/>
              </w:rPr>
              <w:t>lose of business n</w:t>
            </w:r>
            <w:r w:rsidRPr="0038376A">
              <w:rPr>
                <w:sz w:val="20"/>
              </w:rPr>
              <w:t>ext business day</w:t>
            </w:r>
          </w:p>
          <w:p w14:paraId="3F36B7BE" w14:textId="77777777" w:rsidR="006A39C8" w:rsidRPr="0038376A" w:rsidRDefault="001C16B9"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sz w:val="20"/>
              </w:rPr>
            </w:pPr>
            <w:r w:rsidRPr="0038376A">
              <w:rPr>
                <w:b/>
                <w:sz w:val="20"/>
              </w:rPr>
              <w:t xml:space="preserve">Full incident report </w:t>
            </w:r>
            <w:r w:rsidRPr="0038376A">
              <w:rPr>
                <w:bCs/>
                <w:sz w:val="20"/>
              </w:rPr>
              <w:t xml:space="preserve">within </w:t>
            </w:r>
            <w:r w:rsidR="000C25B2">
              <w:rPr>
                <w:bCs/>
                <w:sz w:val="20"/>
              </w:rPr>
              <w:t>3</w:t>
            </w:r>
            <w:r w:rsidRPr="0038376A">
              <w:rPr>
                <w:bCs/>
                <w:sz w:val="20"/>
              </w:rPr>
              <w:t xml:space="preserve"> business days</w:t>
            </w:r>
          </w:p>
        </w:tc>
        <w:tc>
          <w:tcPr>
            <w:tcW w:w="967" w:type="pct"/>
          </w:tcPr>
          <w:p w14:paraId="3133D9B4" w14:textId="77777777" w:rsidR="002C4EE2" w:rsidRPr="0038376A" w:rsidRDefault="002C4EE2"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038376A">
              <w:rPr>
                <w:rFonts w:cs="Arial"/>
                <w:sz w:val="20"/>
              </w:rPr>
              <w:t>Clear summary of the incident and immediate actions taken</w:t>
            </w:r>
          </w:p>
          <w:p w14:paraId="2D339486" w14:textId="77777777" w:rsidR="006A39C8" w:rsidRPr="0038376A" w:rsidRDefault="002C4EE2"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038376A">
              <w:rPr>
                <w:rFonts w:cs="Arial"/>
                <w:sz w:val="20"/>
              </w:rPr>
              <w:t xml:space="preserve">Other </w:t>
            </w:r>
            <w:proofErr w:type="spellStart"/>
            <w:r w:rsidRPr="0038376A">
              <w:rPr>
                <w:rFonts w:cs="Arial"/>
                <w:sz w:val="20"/>
              </w:rPr>
              <w:t>organisations</w:t>
            </w:r>
            <w:proofErr w:type="spellEnd"/>
            <w:r w:rsidRPr="0038376A">
              <w:rPr>
                <w:rFonts w:cs="Arial"/>
                <w:sz w:val="20"/>
              </w:rPr>
              <w:t>/stakeholders contacted</w:t>
            </w:r>
          </w:p>
        </w:tc>
      </w:tr>
      <w:tr w:rsidR="005C341C" w:rsidRPr="00143BCA" w14:paraId="3FF70711" w14:textId="77777777" w:rsidTr="00BF227C">
        <w:tc>
          <w:tcPr>
            <w:cnfStyle w:val="001000000000" w:firstRow="0" w:lastRow="0" w:firstColumn="1" w:lastColumn="0" w:oddVBand="0" w:evenVBand="0" w:oddHBand="0" w:evenHBand="0" w:firstRowFirstColumn="0" w:firstRowLastColumn="0" w:lastRowFirstColumn="0" w:lastRowLastColumn="0"/>
            <w:tcW w:w="197" w:type="pct"/>
          </w:tcPr>
          <w:p w14:paraId="574568F4" w14:textId="77777777" w:rsidR="006A39C8" w:rsidRPr="001C7824" w:rsidRDefault="002C4EE2" w:rsidP="00793266">
            <w:pPr>
              <w:pStyle w:val="Tabletext"/>
              <w:spacing w:line="360" w:lineRule="auto"/>
              <w:jc w:val="center"/>
            </w:pPr>
            <w:r>
              <w:t>4</w:t>
            </w:r>
          </w:p>
        </w:tc>
        <w:tc>
          <w:tcPr>
            <w:tcW w:w="899" w:type="pct"/>
          </w:tcPr>
          <w:p w14:paraId="1CD8376D" w14:textId="77777777" w:rsidR="006A39C8" w:rsidRPr="0065448C" w:rsidRDefault="005C341C"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b/>
                <w:bCs/>
              </w:rPr>
            </w:pPr>
            <w:r>
              <w:rPr>
                <w:b/>
                <w:bCs/>
              </w:rPr>
              <w:t>Physical abuse</w:t>
            </w:r>
          </w:p>
        </w:tc>
        <w:tc>
          <w:tcPr>
            <w:tcW w:w="1884" w:type="pct"/>
          </w:tcPr>
          <w:p w14:paraId="2DD321D2" w14:textId="77777777" w:rsidR="005C341C" w:rsidRPr="0028749A" w:rsidRDefault="005C341C" w:rsidP="00793266">
            <w:pPr>
              <w:pStyle w:val="DHHStablebullet1"/>
              <w:spacing w:line="360" w:lineRule="auto"/>
              <w:ind w:left="0" w:firstLine="0"/>
              <w:cnfStyle w:val="000000000000" w:firstRow="0" w:lastRow="0" w:firstColumn="0" w:lastColumn="0" w:oddVBand="0" w:evenVBand="0" w:oddHBand="0" w:evenHBand="0" w:firstRowFirstColumn="0" w:firstRowLastColumn="0" w:lastRowFirstColumn="0" w:lastRowLastColumn="0"/>
            </w:pPr>
            <w:r w:rsidRPr="0028749A">
              <w:t>An incident results in the service user requiring medical treatment at a hospital.</w:t>
            </w:r>
          </w:p>
          <w:p w14:paraId="17C54B3C" w14:textId="77777777" w:rsidR="005C341C" w:rsidRPr="0028749A" w:rsidRDefault="005C341C" w:rsidP="00793266">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Additional guidance:</w:t>
            </w:r>
          </w:p>
          <w:p w14:paraId="06E3FD64" w14:textId="77777777" w:rsidR="00AD48F1" w:rsidRDefault="005C341C" w:rsidP="00793266">
            <w:pPr>
              <w:numPr>
                <w:ilvl w:val="0"/>
                <w:numId w:val="22"/>
              </w:numPr>
              <w:spacing w:after="0" w:line="36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D48F1">
              <w:rPr>
                <w:rFonts w:cs="Arial"/>
                <w:sz w:val="18"/>
                <w:szCs w:val="18"/>
              </w:rPr>
              <w:t>Medical treatment means medical interventions undertaken to treat an injury</w:t>
            </w:r>
          </w:p>
          <w:p w14:paraId="737C8877" w14:textId="77777777" w:rsidR="00AD48F1" w:rsidRDefault="00AD48F1" w:rsidP="00793266">
            <w:pPr>
              <w:spacing w:after="0" w:line="360" w:lineRule="auto"/>
              <w:ind w:left="360"/>
              <w:cnfStyle w:val="000000000000" w:firstRow="0" w:lastRow="0" w:firstColumn="0" w:lastColumn="0" w:oddVBand="0" w:evenVBand="0" w:oddHBand="0" w:evenHBand="0" w:firstRowFirstColumn="0" w:firstRowLastColumn="0" w:lastRowFirstColumn="0" w:lastRowLastColumn="0"/>
              <w:rPr>
                <w:rFonts w:cs="Arial"/>
                <w:sz w:val="18"/>
                <w:szCs w:val="18"/>
              </w:rPr>
            </w:pPr>
          </w:p>
          <w:p w14:paraId="0B8C44B4" w14:textId="77777777" w:rsidR="006A39C8" w:rsidRPr="00AD48F1" w:rsidRDefault="005C341C" w:rsidP="00793266">
            <w:pPr>
              <w:numPr>
                <w:ilvl w:val="0"/>
                <w:numId w:val="22"/>
              </w:numPr>
              <w:spacing w:after="0" w:line="36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D48F1">
              <w:rPr>
                <w:rFonts w:cs="Arial"/>
                <w:sz w:val="18"/>
                <w:szCs w:val="18"/>
              </w:rPr>
              <w:t>This does not include interventions to identify the existence of an injury.</w:t>
            </w:r>
          </w:p>
        </w:tc>
        <w:tc>
          <w:tcPr>
            <w:tcW w:w="1054" w:type="pct"/>
          </w:tcPr>
          <w:p w14:paraId="1F347074" w14:textId="77777777" w:rsidR="001C16B9" w:rsidRPr="0028749A" w:rsidRDefault="001C16B9"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bCs/>
                <w:sz w:val="20"/>
              </w:rPr>
            </w:pPr>
            <w:r w:rsidRPr="0028749A">
              <w:rPr>
                <w:rFonts w:cs="Arial"/>
                <w:b/>
                <w:sz w:val="20"/>
              </w:rPr>
              <w:t xml:space="preserve">Short form </w:t>
            </w:r>
            <w:r w:rsidRPr="0028749A">
              <w:rPr>
                <w:rFonts w:cs="Arial"/>
                <w:bCs/>
                <w:sz w:val="20"/>
              </w:rPr>
              <w:t>by c</w:t>
            </w:r>
            <w:r w:rsidRPr="0028749A">
              <w:rPr>
                <w:rFonts w:cs="Arial"/>
                <w:sz w:val="20"/>
              </w:rPr>
              <w:t>lose of business n</w:t>
            </w:r>
            <w:r w:rsidRPr="0028749A">
              <w:rPr>
                <w:sz w:val="20"/>
              </w:rPr>
              <w:t>ext business day</w:t>
            </w:r>
          </w:p>
          <w:p w14:paraId="39CADB6C" w14:textId="77777777" w:rsidR="006A39C8" w:rsidRPr="0028749A" w:rsidRDefault="001C16B9"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sz w:val="20"/>
              </w:rPr>
            </w:pPr>
            <w:r w:rsidRPr="0028749A">
              <w:rPr>
                <w:b/>
                <w:sz w:val="20"/>
              </w:rPr>
              <w:t xml:space="preserve">Full incident report </w:t>
            </w:r>
            <w:r w:rsidRPr="0028749A">
              <w:rPr>
                <w:bCs/>
                <w:sz w:val="20"/>
              </w:rPr>
              <w:t xml:space="preserve">within </w:t>
            </w:r>
            <w:r w:rsidR="000C25B2">
              <w:rPr>
                <w:bCs/>
                <w:sz w:val="20"/>
              </w:rPr>
              <w:t>3</w:t>
            </w:r>
            <w:r w:rsidRPr="0028749A">
              <w:rPr>
                <w:bCs/>
                <w:sz w:val="20"/>
              </w:rPr>
              <w:t xml:space="preserve"> business days</w:t>
            </w:r>
          </w:p>
        </w:tc>
        <w:tc>
          <w:tcPr>
            <w:tcW w:w="967" w:type="pct"/>
          </w:tcPr>
          <w:p w14:paraId="36508A70" w14:textId="77777777" w:rsidR="00773F68" w:rsidRDefault="00773F68"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38376A">
              <w:rPr>
                <w:rFonts w:cs="Arial"/>
                <w:sz w:val="20"/>
              </w:rPr>
              <w:t>Clear summary of the incident and immediate actions taken</w:t>
            </w:r>
          </w:p>
          <w:p w14:paraId="4ADBBA1C" w14:textId="77777777" w:rsidR="00773F68" w:rsidRPr="0038376A" w:rsidRDefault="00773F68"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Supports provided to the alleged victim</w:t>
            </w:r>
          </w:p>
          <w:p w14:paraId="6A7FB2B0" w14:textId="77777777" w:rsidR="006A39C8" w:rsidRPr="09DEFD8D" w:rsidRDefault="00773F68"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38376A">
              <w:rPr>
                <w:rFonts w:cs="Arial"/>
                <w:sz w:val="20"/>
              </w:rPr>
              <w:t xml:space="preserve">Other </w:t>
            </w:r>
            <w:proofErr w:type="spellStart"/>
            <w:r w:rsidRPr="0038376A">
              <w:rPr>
                <w:rFonts w:cs="Arial"/>
                <w:sz w:val="20"/>
              </w:rPr>
              <w:t>organisations</w:t>
            </w:r>
            <w:proofErr w:type="spellEnd"/>
            <w:r w:rsidRPr="0038376A">
              <w:rPr>
                <w:rFonts w:cs="Arial"/>
                <w:sz w:val="20"/>
              </w:rPr>
              <w:t>/stakeholders contacted</w:t>
            </w:r>
          </w:p>
        </w:tc>
      </w:tr>
      <w:tr w:rsidR="005C341C" w:rsidRPr="00143BCA" w14:paraId="2F94FAD2" w14:textId="77777777" w:rsidTr="00B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 w:type="pct"/>
          </w:tcPr>
          <w:p w14:paraId="02D6FE0E" w14:textId="77777777" w:rsidR="006A39C8" w:rsidRPr="001C7824" w:rsidRDefault="002C4EE2" w:rsidP="00793266">
            <w:pPr>
              <w:pStyle w:val="Tabletext"/>
              <w:spacing w:line="360" w:lineRule="auto"/>
              <w:jc w:val="center"/>
            </w:pPr>
            <w:r>
              <w:t>5</w:t>
            </w:r>
          </w:p>
        </w:tc>
        <w:tc>
          <w:tcPr>
            <w:tcW w:w="899" w:type="pct"/>
          </w:tcPr>
          <w:p w14:paraId="0CDD21A0" w14:textId="77777777" w:rsidR="006A39C8" w:rsidRPr="0065448C" w:rsidRDefault="002827B4"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b/>
                <w:bCs/>
              </w:rPr>
            </w:pPr>
            <w:r>
              <w:rPr>
                <w:b/>
                <w:bCs/>
              </w:rPr>
              <w:t>Sexual abuse</w:t>
            </w:r>
          </w:p>
        </w:tc>
        <w:tc>
          <w:tcPr>
            <w:tcW w:w="1884" w:type="pct"/>
          </w:tcPr>
          <w:p w14:paraId="1A5FB5FF" w14:textId="623251A0" w:rsidR="006A39C8" w:rsidRPr="0028749A" w:rsidRDefault="002827B4" w:rsidP="00793266">
            <w:pPr>
              <w:pStyle w:val="DHHStabletext"/>
              <w:spacing w:line="360" w:lineRule="auto"/>
              <w:cnfStyle w:val="000000100000" w:firstRow="0" w:lastRow="0" w:firstColumn="0" w:lastColumn="0" w:oddVBand="0" w:evenVBand="0" w:oddHBand="1" w:evenHBand="0" w:firstRowFirstColumn="0" w:firstRowLastColumn="0" w:lastRowFirstColumn="0" w:lastRowLastColumn="0"/>
            </w:pPr>
            <w:r w:rsidRPr="0028749A">
              <w:t xml:space="preserve">An incident required police </w:t>
            </w:r>
            <w:proofErr w:type="gramStart"/>
            <w:r w:rsidRPr="0028749A">
              <w:t>involvement</w:t>
            </w:r>
            <w:proofErr w:type="gramEnd"/>
            <w:r w:rsidRPr="0028749A">
              <w:t xml:space="preserve"> and the service user required medical treatment at a hospital</w:t>
            </w:r>
            <w:r w:rsidR="00FC2056">
              <w:t xml:space="preserve"> (see further information below)</w:t>
            </w:r>
            <w:r w:rsidRPr="0028749A">
              <w:t>.</w:t>
            </w:r>
          </w:p>
          <w:p w14:paraId="64D5AAF4" w14:textId="77777777" w:rsidR="00401FD1" w:rsidRDefault="00401FD1" w:rsidP="00793266">
            <w:pPr>
              <w:pStyle w:val="DHHStabletext"/>
              <w:spacing w:line="360" w:lineRule="auto"/>
              <w:cnfStyle w:val="000000100000" w:firstRow="0" w:lastRow="0" w:firstColumn="0" w:lastColumn="0" w:oddVBand="0" w:evenVBand="0" w:oddHBand="1" w:evenHBand="0" w:firstRowFirstColumn="0" w:firstRowLastColumn="0" w:lastRowFirstColumn="0" w:lastRowLastColumn="0"/>
            </w:pPr>
            <w:r>
              <w:t>Additional guidance:</w:t>
            </w:r>
          </w:p>
          <w:p w14:paraId="740C2D7D" w14:textId="77777777" w:rsidR="00401FD1" w:rsidRPr="00401FD1" w:rsidRDefault="00401FD1" w:rsidP="00793266">
            <w:pPr>
              <w:pStyle w:val="DHHStabletext"/>
              <w:numPr>
                <w:ilvl w:val="0"/>
                <w:numId w:val="25"/>
              </w:numPr>
              <w:spacing w:line="360" w:lineRule="auto"/>
              <w:cnfStyle w:val="000000100000" w:firstRow="0" w:lastRow="0" w:firstColumn="0" w:lastColumn="0" w:oddVBand="0" w:evenVBand="0" w:oddHBand="1" w:evenHBand="0" w:firstRowFirstColumn="0" w:firstRowLastColumn="0" w:lastRowFirstColumn="0" w:lastRowLastColumn="0"/>
            </w:pPr>
            <w:r w:rsidRPr="00401FD1">
              <w:rPr>
                <w:sz w:val="18"/>
                <w:szCs w:val="18"/>
              </w:rPr>
              <w:t xml:space="preserve">Medical treatment means medical interventions undertaken to treat an injury arising from </w:t>
            </w:r>
            <w:proofErr w:type="gramStart"/>
            <w:r w:rsidRPr="00401FD1">
              <w:rPr>
                <w:sz w:val="18"/>
                <w:szCs w:val="18"/>
              </w:rPr>
              <w:t>the sexual</w:t>
            </w:r>
            <w:proofErr w:type="gramEnd"/>
            <w:r w:rsidRPr="00401FD1">
              <w:rPr>
                <w:sz w:val="18"/>
                <w:szCs w:val="18"/>
              </w:rPr>
              <w:t xml:space="preserve"> abuse and/or a forensic medical examination.</w:t>
            </w:r>
          </w:p>
          <w:p w14:paraId="123A0AA6" w14:textId="77777777" w:rsidR="00401FD1" w:rsidRPr="00401FD1" w:rsidRDefault="00401FD1" w:rsidP="00793266">
            <w:pPr>
              <w:pStyle w:val="DHHStabletext"/>
              <w:numPr>
                <w:ilvl w:val="0"/>
                <w:numId w:val="25"/>
              </w:numPr>
              <w:spacing w:line="360" w:lineRule="auto"/>
              <w:cnfStyle w:val="000000100000" w:firstRow="0" w:lastRow="0" w:firstColumn="0" w:lastColumn="0" w:oddVBand="0" w:evenVBand="0" w:oddHBand="1" w:evenHBand="0" w:firstRowFirstColumn="0" w:firstRowLastColumn="0" w:lastRowFirstColumn="0" w:lastRowLastColumn="0"/>
            </w:pPr>
            <w:r w:rsidRPr="00401FD1">
              <w:rPr>
                <w:sz w:val="18"/>
                <w:szCs w:val="18"/>
              </w:rPr>
              <w:t>Medical treatment at a hospital includes a forensic examination at an alternative facility.</w:t>
            </w:r>
          </w:p>
          <w:p w14:paraId="57B74E0E" w14:textId="77777777" w:rsidR="002827B4" w:rsidRPr="00401FD1" w:rsidRDefault="00401FD1" w:rsidP="00793266">
            <w:pPr>
              <w:pStyle w:val="DHHStabletext"/>
              <w:numPr>
                <w:ilvl w:val="0"/>
                <w:numId w:val="25"/>
              </w:numPr>
              <w:spacing w:line="360" w:lineRule="auto"/>
              <w:cnfStyle w:val="000000100000" w:firstRow="0" w:lastRow="0" w:firstColumn="0" w:lastColumn="0" w:oddVBand="0" w:evenVBand="0" w:oddHBand="1" w:evenHBand="0" w:firstRowFirstColumn="0" w:firstRowLastColumn="0" w:lastRowFirstColumn="0" w:lastRowLastColumn="0"/>
            </w:pPr>
            <w:r w:rsidRPr="00401FD1">
              <w:rPr>
                <w:sz w:val="18"/>
                <w:szCs w:val="18"/>
              </w:rPr>
              <w:t xml:space="preserve">Police involvement means that the nature of the allegations and presentation of the alleged victim has warranted a notification to the police. This does </w:t>
            </w:r>
            <w:r w:rsidRPr="00736608">
              <w:rPr>
                <w:i/>
                <w:sz w:val="18"/>
                <w:szCs w:val="18"/>
              </w:rPr>
              <w:t>not</w:t>
            </w:r>
            <w:r w:rsidRPr="00401FD1">
              <w:rPr>
                <w:i/>
                <w:sz w:val="18"/>
                <w:szCs w:val="18"/>
              </w:rPr>
              <w:t xml:space="preserve"> </w:t>
            </w:r>
            <w:r w:rsidRPr="00401FD1">
              <w:rPr>
                <w:sz w:val="18"/>
                <w:szCs w:val="18"/>
              </w:rPr>
              <w:t>include any subsequent determination by the police on their pursuit of the matter.</w:t>
            </w:r>
          </w:p>
        </w:tc>
        <w:tc>
          <w:tcPr>
            <w:tcW w:w="1054" w:type="pct"/>
          </w:tcPr>
          <w:p w14:paraId="2E3A616E" w14:textId="77777777" w:rsidR="001C16B9" w:rsidRPr="0028749A" w:rsidRDefault="001C16B9"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bCs/>
                <w:sz w:val="20"/>
              </w:rPr>
            </w:pPr>
            <w:r w:rsidRPr="0028749A">
              <w:rPr>
                <w:rFonts w:cs="Arial"/>
                <w:b/>
                <w:sz w:val="20"/>
              </w:rPr>
              <w:t xml:space="preserve">Short form </w:t>
            </w:r>
            <w:r w:rsidRPr="0028749A">
              <w:rPr>
                <w:rFonts w:cs="Arial"/>
                <w:bCs/>
                <w:sz w:val="20"/>
              </w:rPr>
              <w:t>by c</w:t>
            </w:r>
            <w:r w:rsidRPr="0028749A">
              <w:rPr>
                <w:rFonts w:cs="Arial"/>
                <w:sz w:val="20"/>
              </w:rPr>
              <w:t>lose of business n</w:t>
            </w:r>
            <w:r w:rsidRPr="0028749A">
              <w:rPr>
                <w:sz w:val="20"/>
              </w:rPr>
              <w:t>ext business day</w:t>
            </w:r>
          </w:p>
          <w:p w14:paraId="10B8737C" w14:textId="77777777" w:rsidR="006A39C8" w:rsidRPr="0028749A" w:rsidRDefault="001C16B9"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sz w:val="20"/>
              </w:rPr>
            </w:pPr>
            <w:r w:rsidRPr="0028749A">
              <w:rPr>
                <w:b/>
                <w:sz w:val="20"/>
              </w:rPr>
              <w:t xml:space="preserve">Full incident report </w:t>
            </w:r>
            <w:r w:rsidRPr="0028749A">
              <w:rPr>
                <w:bCs/>
                <w:sz w:val="20"/>
              </w:rPr>
              <w:t xml:space="preserve">within </w:t>
            </w:r>
            <w:r w:rsidR="000C25B2">
              <w:rPr>
                <w:bCs/>
                <w:sz w:val="20"/>
              </w:rPr>
              <w:t>3</w:t>
            </w:r>
            <w:r w:rsidRPr="0028749A">
              <w:rPr>
                <w:bCs/>
                <w:sz w:val="20"/>
              </w:rPr>
              <w:t xml:space="preserve"> business days</w:t>
            </w:r>
          </w:p>
        </w:tc>
        <w:tc>
          <w:tcPr>
            <w:tcW w:w="967" w:type="pct"/>
          </w:tcPr>
          <w:p w14:paraId="0F330A35" w14:textId="77777777" w:rsidR="00773F68" w:rsidRDefault="00773F68"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038376A">
              <w:rPr>
                <w:rFonts w:cs="Arial"/>
                <w:sz w:val="20"/>
              </w:rPr>
              <w:t>Clear summary of the incident and immediate actions taken</w:t>
            </w:r>
          </w:p>
          <w:p w14:paraId="341B4289" w14:textId="77777777" w:rsidR="00773F68" w:rsidRPr="0038376A" w:rsidRDefault="00773F68"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Supports provided to the alleged victim</w:t>
            </w:r>
          </w:p>
          <w:p w14:paraId="14D44CDA" w14:textId="77777777" w:rsidR="006A39C8" w:rsidRPr="09DEFD8D" w:rsidRDefault="00773F68" w:rsidP="00793266">
            <w:pPr>
              <w:pStyle w:val="Tabletext"/>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r w:rsidRPr="0038376A">
              <w:rPr>
                <w:rFonts w:cs="Arial"/>
                <w:sz w:val="20"/>
              </w:rPr>
              <w:t xml:space="preserve">Other </w:t>
            </w:r>
            <w:proofErr w:type="spellStart"/>
            <w:r w:rsidRPr="0038376A">
              <w:rPr>
                <w:rFonts w:cs="Arial"/>
                <w:sz w:val="20"/>
              </w:rPr>
              <w:t>organisations</w:t>
            </w:r>
            <w:proofErr w:type="spellEnd"/>
            <w:r w:rsidRPr="0038376A">
              <w:rPr>
                <w:rFonts w:cs="Arial"/>
                <w:sz w:val="20"/>
              </w:rPr>
              <w:t>/stakeholders contacted</w:t>
            </w:r>
          </w:p>
        </w:tc>
      </w:tr>
      <w:tr w:rsidR="005C341C" w:rsidRPr="00143BCA" w14:paraId="5F446346" w14:textId="77777777" w:rsidTr="00BF227C">
        <w:tc>
          <w:tcPr>
            <w:cnfStyle w:val="001000000000" w:firstRow="0" w:lastRow="0" w:firstColumn="1" w:lastColumn="0" w:oddVBand="0" w:evenVBand="0" w:oddHBand="0" w:evenHBand="0" w:firstRowFirstColumn="0" w:firstRowLastColumn="0" w:lastRowFirstColumn="0" w:lastRowLastColumn="0"/>
            <w:tcW w:w="197" w:type="pct"/>
          </w:tcPr>
          <w:p w14:paraId="016729E7" w14:textId="77777777" w:rsidR="006A39C8" w:rsidRPr="001C7824" w:rsidRDefault="002C4EE2" w:rsidP="00793266">
            <w:pPr>
              <w:pStyle w:val="Tabletext"/>
              <w:spacing w:line="360" w:lineRule="auto"/>
              <w:jc w:val="center"/>
            </w:pPr>
            <w:r>
              <w:t>6</w:t>
            </w:r>
          </w:p>
        </w:tc>
        <w:tc>
          <w:tcPr>
            <w:tcW w:w="899" w:type="pct"/>
          </w:tcPr>
          <w:p w14:paraId="6DBF2DB3" w14:textId="77777777" w:rsidR="006A39C8" w:rsidRPr="0065448C" w:rsidRDefault="00DB04E4"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b/>
                <w:bCs/>
              </w:rPr>
            </w:pPr>
            <w:r w:rsidRPr="007B52F5">
              <w:rPr>
                <w:rFonts w:cs="Arial"/>
                <w:b/>
                <w:sz w:val="20"/>
              </w:rPr>
              <w:t xml:space="preserve">Fire, flood or </w:t>
            </w:r>
            <w:proofErr w:type="gramStart"/>
            <w:r w:rsidRPr="007B52F5">
              <w:rPr>
                <w:rFonts w:cs="Arial"/>
                <w:b/>
                <w:sz w:val="20"/>
              </w:rPr>
              <w:t>other</w:t>
            </w:r>
            <w:proofErr w:type="gramEnd"/>
            <w:r w:rsidRPr="007B52F5">
              <w:rPr>
                <w:rFonts w:cs="Arial"/>
                <w:sz w:val="20"/>
              </w:rPr>
              <w:t xml:space="preserve"> </w:t>
            </w:r>
            <w:r w:rsidRPr="007B52F5">
              <w:rPr>
                <w:rFonts w:cs="Arial"/>
                <w:b/>
                <w:sz w:val="20"/>
              </w:rPr>
              <w:t>emergency event</w:t>
            </w:r>
          </w:p>
        </w:tc>
        <w:tc>
          <w:tcPr>
            <w:tcW w:w="1884" w:type="pct"/>
          </w:tcPr>
          <w:p w14:paraId="5A49215D" w14:textId="77777777" w:rsidR="00066E36" w:rsidRPr="0028749A" w:rsidRDefault="00066E36" w:rsidP="00793266">
            <w:pPr>
              <w:pStyle w:val="DHHStabletext"/>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28749A">
              <w:rPr>
                <w:rFonts w:cs="Arial"/>
              </w:rPr>
              <w:t xml:space="preserve">Fire, flood or </w:t>
            </w:r>
            <w:proofErr w:type="gramStart"/>
            <w:r w:rsidRPr="0028749A">
              <w:rPr>
                <w:rFonts w:cs="Arial"/>
              </w:rPr>
              <w:t>other</w:t>
            </w:r>
            <w:proofErr w:type="gramEnd"/>
            <w:r w:rsidRPr="0028749A">
              <w:rPr>
                <w:rFonts w:cs="Arial"/>
              </w:rPr>
              <w:t xml:space="preserve"> emergency </w:t>
            </w:r>
            <w:proofErr w:type="gramStart"/>
            <w:r w:rsidRPr="0028749A">
              <w:rPr>
                <w:rFonts w:cs="Arial"/>
              </w:rPr>
              <w:t>event</w:t>
            </w:r>
            <w:proofErr w:type="gramEnd"/>
            <w:r w:rsidRPr="0028749A">
              <w:rPr>
                <w:rFonts w:cs="Arial"/>
              </w:rPr>
              <w:t xml:space="preserve"> that: </w:t>
            </w:r>
          </w:p>
          <w:p w14:paraId="4291E366" w14:textId="77777777" w:rsidR="00DB04E4" w:rsidRPr="0028749A" w:rsidRDefault="00066E36" w:rsidP="00793266">
            <w:pPr>
              <w:numPr>
                <w:ilvl w:val="0"/>
                <w:numId w:val="23"/>
              </w:num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results in a service user requiring medical treatment at a hospital; and/or</w:t>
            </w:r>
          </w:p>
          <w:p w14:paraId="71CD8822" w14:textId="77777777" w:rsidR="006A39C8" w:rsidRPr="0028749A" w:rsidRDefault="00066E36" w:rsidP="00793266">
            <w:pPr>
              <w:numPr>
                <w:ilvl w:val="0"/>
                <w:numId w:val="23"/>
              </w:num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28749A">
              <w:rPr>
                <w:rFonts w:cs="Arial"/>
                <w:sz w:val="20"/>
              </w:rPr>
              <w:t>the relocation of service users.</w:t>
            </w:r>
          </w:p>
        </w:tc>
        <w:tc>
          <w:tcPr>
            <w:tcW w:w="1054" w:type="pct"/>
          </w:tcPr>
          <w:p w14:paraId="74EC7683" w14:textId="77777777" w:rsidR="001C16B9" w:rsidRPr="0028749A" w:rsidRDefault="001C16B9"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bCs/>
                <w:sz w:val="20"/>
              </w:rPr>
            </w:pPr>
            <w:r w:rsidRPr="0028749A">
              <w:rPr>
                <w:rFonts w:cs="Arial"/>
                <w:b/>
                <w:sz w:val="20"/>
              </w:rPr>
              <w:t xml:space="preserve">Short form </w:t>
            </w:r>
            <w:r w:rsidRPr="0028749A">
              <w:rPr>
                <w:rFonts w:cs="Arial"/>
                <w:bCs/>
                <w:sz w:val="20"/>
              </w:rPr>
              <w:t>by c</w:t>
            </w:r>
            <w:r w:rsidRPr="0028749A">
              <w:rPr>
                <w:rFonts w:cs="Arial"/>
                <w:sz w:val="20"/>
              </w:rPr>
              <w:t>lose of business n</w:t>
            </w:r>
            <w:r w:rsidRPr="0028749A">
              <w:rPr>
                <w:sz w:val="20"/>
              </w:rPr>
              <w:t>ext business day</w:t>
            </w:r>
          </w:p>
          <w:p w14:paraId="2E8B6AAA" w14:textId="77777777" w:rsidR="006A39C8" w:rsidRPr="0028749A" w:rsidRDefault="001C16B9"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sz w:val="20"/>
              </w:rPr>
            </w:pPr>
            <w:r w:rsidRPr="0028749A">
              <w:rPr>
                <w:b/>
                <w:sz w:val="20"/>
              </w:rPr>
              <w:t xml:space="preserve">Full incident report </w:t>
            </w:r>
            <w:r w:rsidRPr="0028749A">
              <w:rPr>
                <w:bCs/>
                <w:sz w:val="20"/>
              </w:rPr>
              <w:t xml:space="preserve">within </w:t>
            </w:r>
            <w:r w:rsidR="000C25B2">
              <w:rPr>
                <w:bCs/>
                <w:sz w:val="20"/>
              </w:rPr>
              <w:t>3</w:t>
            </w:r>
            <w:r w:rsidRPr="0028749A">
              <w:rPr>
                <w:bCs/>
                <w:sz w:val="20"/>
              </w:rPr>
              <w:t xml:space="preserve"> business days</w:t>
            </w:r>
          </w:p>
        </w:tc>
        <w:tc>
          <w:tcPr>
            <w:tcW w:w="967" w:type="pct"/>
          </w:tcPr>
          <w:p w14:paraId="3587C4F7" w14:textId="77777777" w:rsidR="00773F68" w:rsidRDefault="00773F68"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38376A">
              <w:rPr>
                <w:rFonts w:cs="Arial"/>
                <w:sz w:val="20"/>
              </w:rPr>
              <w:t>Clear summary of the incident and immediate actions taken</w:t>
            </w:r>
          </w:p>
          <w:p w14:paraId="349BFCF7" w14:textId="77777777" w:rsidR="006A39C8" w:rsidRPr="09DEFD8D" w:rsidRDefault="00773F68" w:rsidP="00793266">
            <w:pPr>
              <w:pStyle w:val="Tabletext"/>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r w:rsidRPr="0038376A">
              <w:rPr>
                <w:rFonts w:cs="Arial"/>
                <w:sz w:val="20"/>
              </w:rPr>
              <w:t xml:space="preserve">Other </w:t>
            </w:r>
            <w:proofErr w:type="spellStart"/>
            <w:r w:rsidRPr="0038376A">
              <w:rPr>
                <w:rFonts w:cs="Arial"/>
                <w:sz w:val="20"/>
              </w:rPr>
              <w:t>organisations</w:t>
            </w:r>
            <w:proofErr w:type="spellEnd"/>
            <w:r w:rsidRPr="0038376A">
              <w:rPr>
                <w:rFonts w:cs="Arial"/>
                <w:sz w:val="20"/>
              </w:rPr>
              <w:t xml:space="preserve"> / stakeholders contacted</w:t>
            </w:r>
          </w:p>
        </w:tc>
      </w:tr>
    </w:tbl>
    <w:p w14:paraId="37E60424" w14:textId="7B682BC9" w:rsidR="00E37927" w:rsidRDefault="00E37927" w:rsidP="00E37927">
      <w:pPr>
        <w:spacing w:after="0" w:line="360" w:lineRule="auto"/>
        <w:rPr>
          <w:sz w:val="20"/>
        </w:rPr>
      </w:pPr>
      <w:bookmarkStart w:id="13" w:name="_Toc180055179"/>
    </w:p>
    <w:p w14:paraId="5DA16293" w14:textId="77777777" w:rsidR="00E37927" w:rsidRDefault="00E37927" w:rsidP="005A12F2">
      <w:pPr>
        <w:spacing w:after="0" w:line="240" w:lineRule="auto"/>
        <w:rPr>
          <w:sz w:val="20"/>
        </w:rPr>
      </w:pPr>
      <w:r>
        <w:rPr>
          <w:sz w:val="20"/>
        </w:rPr>
        <w:br w:type="page"/>
      </w:r>
    </w:p>
    <w:p w14:paraId="134F7BB2" w14:textId="793F662D" w:rsidR="00645BCA" w:rsidRPr="00E37927" w:rsidRDefault="007D6308" w:rsidP="00E37927">
      <w:pPr>
        <w:pStyle w:val="Heading2"/>
        <w:rPr>
          <w:sz w:val="20"/>
        </w:rPr>
      </w:pPr>
      <w:r>
        <w:t xml:space="preserve">Further reporting </w:t>
      </w:r>
      <w:r w:rsidR="003B0B01">
        <w:t xml:space="preserve">protocols </w:t>
      </w:r>
      <w:r>
        <w:t>for supported residential services</w:t>
      </w:r>
      <w:bookmarkEnd w:id="13"/>
    </w:p>
    <w:p w14:paraId="6B490A6B" w14:textId="7918C03E" w:rsidR="007D6308" w:rsidRDefault="007D6308" w:rsidP="00793266">
      <w:pPr>
        <w:pStyle w:val="Body"/>
        <w:spacing w:line="360" w:lineRule="auto"/>
      </w:pPr>
      <w:r>
        <w:t xml:space="preserve">Supported residential services (SRS) have further reporting </w:t>
      </w:r>
      <w:r w:rsidR="003B0B01">
        <w:t xml:space="preserve">protocols </w:t>
      </w:r>
      <w:r>
        <w:t xml:space="preserve">for notifiable incidents. These </w:t>
      </w:r>
      <w:r w:rsidR="003B0B01">
        <w:t xml:space="preserve">protocols </w:t>
      </w:r>
      <w:r>
        <w:t>only apply to providers of supported residential services.</w:t>
      </w:r>
    </w:p>
    <w:p w14:paraId="6C2191E5" w14:textId="77777777" w:rsidR="007D6308" w:rsidRDefault="007D6308" w:rsidP="00793266">
      <w:pPr>
        <w:pStyle w:val="Body"/>
        <w:spacing w:line="360" w:lineRule="auto"/>
      </w:pPr>
      <w:r>
        <w:t>The following notifiable incidents must be reported to a resident’s guardian or person nominated:</w:t>
      </w:r>
    </w:p>
    <w:p w14:paraId="5EE6F51A" w14:textId="77777777" w:rsidR="007D6308" w:rsidRPr="0009249D" w:rsidRDefault="007D6308" w:rsidP="00793266">
      <w:pPr>
        <w:pStyle w:val="Bullet1"/>
        <w:numPr>
          <w:ilvl w:val="0"/>
          <w:numId w:val="37"/>
        </w:numPr>
        <w:spacing w:after="120" w:line="360" w:lineRule="auto"/>
      </w:pPr>
      <w:r>
        <w:t>d</w:t>
      </w:r>
      <w:r w:rsidRPr="0009249D">
        <w:t>eterioration in health</w:t>
      </w:r>
    </w:p>
    <w:p w14:paraId="5D55CA79" w14:textId="77777777" w:rsidR="007D6308" w:rsidRPr="0009249D" w:rsidRDefault="007D6308" w:rsidP="00793266">
      <w:pPr>
        <w:pStyle w:val="Bullet1"/>
        <w:numPr>
          <w:ilvl w:val="0"/>
          <w:numId w:val="37"/>
        </w:numPr>
        <w:spacing w:after="120" w:line="360" w:lineRule="auto"/>
      </w:pPr>
      <w:r>
        <w:t>i</w:t>
      </w:r>
      <w:r w:rsidRPr="0009249D">
        <w:t>njury</w:t>
      </w:r>
    </w:p>
    <w:p w14:paraId="3F45709A" w14:textId="77777777" w:rsidR="007D6308" w:rsidRPr="0009249D" w:rsidRDefault="007D6308" w:rsidP="00793266">
      <w:pPr>
        <w:pStyle w:val="Bullet1"/>
        <w:numPr>
          <w:ilvl w:val="0"/>
          <w:numId w:val="37"/>
        </w:numPr>
        <w:spacing w:after="120" w:line="360" w:lineRule="auto"/>
      </w:pPr>
      <w:r>
        <w:t>m</w:t>
      </w:r>
      <w:r w:rsidRPr="0009249D">
        <w:t>edication error</w:t>
      </w:r>
    </w:p>
    <w:p w14:paraId="4FC8A09A" w14:textId="5F1EE3B0" w:rsidR="007D6308" w:rsidRPr="0009249D" w:rsidRDefault="00CC1487" w:rsidP="00793266">
      <w:pPr>
        <w:pStyle w:val="Bullet1"/>
        <w:numPr>
          <w:ilvl w:val="0"/>
          <w:numId w:val="37"/>
        </w:numPr>
        <w:spacing w:after="120" w:line="360" w:lineRule="auto"/>
      </w:pPr>
      <w:r>
        <w:t>p</w:t>
      </w:r>
      <w:r w:rsidR="003B0B01">
        <w:t xml:space="preserve">ersonal </w:t>
      </w:r>
      <w:r w:rsidR="007D6308">
        <w:t>b</w:t>
      </w:r>
      <w:r w:rsidR="007D6308" w:rsidRPr="0009249D">
        <w:t>ehaviour that may pose a serious risk to safety</w:t>
      </w:r>
    </w:p>
    <w:p w14:paraId="5EC6137A" w14:textId="77777777" w:rsidR="007D6308" w:rsidRDefault="007D6308" w:rsidP="00793266">
      <w:pPr>
        <w:pStyle w:val="Bullet1"/>
        <w:numPr>
          <w:ilvl w:val="0"/>
          <w:numId w:val="37"/>
        </w:numPr>
        <w:spacing w:after="120" w:line="360" w:lineRule="auto"/>
      </w:pPr>
      <w:r w:rsidRPr="0009249D">
        <w:t>relocation of resident</w:t>
      </w:r>
    </w:p>
    <w:p w14:paraId="6FE61FDC" w14:textId="77777777" w:rsidR="007D6308" w:rsidRDefault="007D6308" w:rsidP="00793266">
      <w:pPr>
        <w:pStyle w:val="Bullet1"/>
        <w:numPr>
          <w:ilvl w:val="0"/>
          <w:numId w:val="37"/>
        </w:numPr>
        <w:spacing w:after="120" w:line="360" w:lineRule="auto"/>
      </w:pPr>
      <w:r w:rsidRPr="0009249D">
        <w:t>termination of residential and services agreement.</w:t>
      </w:r>
    </w:p>
    <w:p w14:paraId="6A613461" w14:textId="77777777" w:rsidR="007D6308" w:rsidRDefault="007D6308" w:rsidP="00793266">
      <w:pPr>
        <w:spacing w:after="0" w:line="360" w:lineRule="auto"/>
      </w:pPr>
    </w:p>
    <w:p w14:paraId="2E235803" w14:textId="3F11D03F" w:rsidR="00AD2B03" w:rsidRDefault="003B0B01" w:rsidP="00793266">
      <w:pPr>
        <w:spacing w:after="0" w:line="360" w:lineRule="auto"/>
        <w:jc w:val="both"/>
      </w:pPr>
      <w:r w:rsidRPr="003B0B01">
        <w:t xml:space="preserve">The Regulator has identified that because of the unique risk profile of </w:t>
      </w:r>
      <w:proofErr w:type="gramStart"/>
      <w:r w:rsidRPr="003B0B01">
        <w:t>SRSs,</w:t>
      </w:r>
      <w:proofErr w:type="gramEnd"/>
      <w:r w:rsidRPr="003B0B01">
        <w:t xml:space="preserve"> notifiable incidents are to</w:t>
      </w:r>
      <w:r w:rsidRPr="003B0B01" w:rsidDel="003B0B01">
        <w:t xml:space="preserve"> </w:t>
      </w:r>
      <w:r w:rsidR="007D6308">
        <w:t xml:space="preserve">be reported to the resident’s guardian (or person nominated) </w:t>
      </w:r>
      <w:r w:rsidR="007D6308" w:rsidRPr="000E4523">
        <w:rPr>
          <w:b/>
          <w:bCs/>
        </w:rPr>
        <w:t xml:space="preserve">within </w:t>
      </w:r>
      <w:r w:rsidR="00105742">
        <w:rPr>
          <w:b/>
          <w:bCs/>
        </w:rPr>
        <w:t>3</w:t>
      </w:r>
      <w:r w:rsidR="007D6308" w:rsidRPr="000E4523">
        <w:rPr>
          <w:b/>
          <w:bCs/>
        </w:rPr>
        <w:t xml:space="preserve"> business days</w:t>
      </w:r>
      <w:r w:rsidR="007D6308">
        <w:t>.</w:t>
      </w:r>
    </w:p>
    <w:p w14:paraId="1CF43EB6" w14:textId="77777777" w:rsidR="003B0B01" w:rsidRDefault="003B0B01" w:rsidP="00793266">
      <w:pPr>
        <w:spacing w:line="360" w:lineRule="auto"/>
        <w:jc w:val="both"/>
      </w:pPr>
    </w:p>
    <w:p w14:paraId="61169ADD" w14:textId="1D39FE33" w:rsidR="00E038DC" w:rsidRDefault="007D6308" w:rsidP="00793266">
      <w:pPr>
        <w:spacing w:line="360" w:lineRule="auto"/>
        <w:jc w:val="both"/>
      </w:pPr>
      <w:r w:rsidRPr="00AD2B03">
        <w:t>These</w:t>
      </w:r>
      <w:r w:rsidRPr="00AD2B03" w:rsidDel="00407D71">
        <w:t xml:space="preserve"> </w:t>
      </w:r>
      <w:r w:rsidRPr="00AD2B03">
        <w:t xml:space="preserve">reporting </w:t>
      </w:r>
      <w:r w:rsidR="003B0B01">
        <w:t>protocols</w:t>
      </w:r>
      <w:r w:rsidR="003B0B01" w:rsidRPr="00AD2B03">
        <w:t xml:space="preserve"> </w:t>
      </w:r>
      <w:r w:rsidRPr="00AD2B03">
        <w:t xml:space="preserve">apply </w:t>
      </w:r>
      <w:r w:rsidRPr="00BE6841">
        <w:rPr>
          <w:b/>
          <w:bCs/>
        </w:rPr>
        <w:t>in addition to</w:t>
      </w:r>
      <w:r w:rsidRPr="00AD2B03">
        <w:t xml:space="preserve"> the</w:t>
      </w:r>
      <w:r w:rsidR="00E26413">
        <w:t xml:space="preserve"> other</w:t>
      </w:r>
      <w:r w:rsidRPr="00AD2B03">
        <w:t xml:space="preserve"> requirements for reporting </w:t>
      </w:r>
      <w:r w:rsidR="00E26413">
        <w:t>notifiable incidents under the Act</w:t>
      </w:r>
      <w:r w:rsidRPr="00AD2B03">
        <w:t>.</w:t>
      </w:r>
    </w:p>
    <w:p w14:paraId="3B400CD1" w14:textId="54D9BCA6" w:rsidR="007D6308" w:rsidRPr="00AD2B03" w:rsidRDefault="00E26413" w:rsidP="00793266">
      <w:pPr>
        <w:spacing w:line="360" w:lineRule="auto"/>
        <w:jc w:val="both"/>
      </w:pPr>
      <w:r>
        <w:t>SRS</w:t>
      </w:r>
      <w:r w:rsidR="007D6308" w:rsidRPr="00AD2B03">
        <w:t xml:space="preserve"> providers may also</w:t>
      </w:r>
      <w:r>
        <w:t>, on request,</w:t>
      </w:r>
      <w:r w:rsidR="007D6308" w:rsidRPr="00AD2B03">
        <w:t xml:space="preserve"> need to provide further evidence to the Regulator about responding to medication errors and changes in health and support needs.</w:t>
      </w:r>
    </w:p>
    <w:p w14:paraId="2338836C" w14:textId="77777777" w:rsidR="007D6308" w:rsidRPr="0009249D" w:rsidRDefault="007D6308" w:rsidP="00793266">
      <w:pPr>
        <w:pStyle w:val="Heading3"/>
        <w:spacing w:line="360" w:lineRule="auto"/>
      </w:pPr>
      <w:r>
        <w:t>Responding to medication errors</w:t>
      </w:r>
    </w:p>
    <w:p w14:paraId="4A168360" w14:textId="349685F1" w:rsidR="007D6308" w:rsidRDefault="007D6308" w:rsidP="00793266">
      <w:pPr>
        <w:pStyle w:val="Bullet1"/>
        <w:numPr>
          <w:ilvl w:val="0"/>
          <w:numId w:val="0"/>
        </w:numPr>
        <w:spacing w:after="120" w:line="360" w:lineRule="auto"/>
        <w:ind w:left="284" w:hanging="284"/>
      </w:pPr>
      <w:r>
        <w:t xml:space="preserve">For medication errors, providers of </w:t>
      </w:r>
      <w:r w:rsidR="00E26413">
        <w:t>SRS</w:t>
      </w:r>
      <w:r>
        <w:t xml:space="preserve"> </w:t>
      </w:r>
      <w:r w:rsidR="00CC1487">
        <w:t>are to</w:t>
      </w:r>
      <w:r>
        <w:t>:</w:t>
      </w:r>
    </w:p>
    <w:p w14:paraId="5CBADC1B" w14:textId="77777777" w:rsidR="007D6308" w:rsidRDefault="007D6308" w:rsidP="00793266">
      <w:pPr>
        <w:pStyle w:val="Body"/>
        <w:numPr>
          <w:ilvl w:val="0"/>
          <w:numId w:val="8"/>
        </w:numPr>
        <w:spacing w:before="240" w:line="360" w:lineRule="auto"/>
      </w:pPr>
      <w:r>
        <w:t>seek medical advice (for example, the treating doctor, local chemist or Nurse-On-Call) about the potential risks and recommended follow up action</w:t>
      </w:r>
    </w:p>
    <w:p w14:paraId="079AD6AC" w14:textId="77777777" w:rsidR="007D6308" w:rsidRDefault="007D6308" w:rsidP="00793266">
      <w:pPr>
        <w:pStyle w:val="Body"/>
        <w:numPr>
          <w:ilvl w:val="0"/>
          <w:numId w:val="8"/>
        </w:numPr>
        <w:spacing w:before="240" w:line="360" w:lineRule="auto"/>
      </w:pPr>
      <w:r>
        <w:t>immediately make records after any medication errors, including:</w:t>
      </w:r>
    </w:p>
    <w:p w14:paraId="5A2A364F" w14:textId="77777777" w:rsidR="007D6308" w:rsidRDefault="007D6308" w:rsidP="00793266">
      <w:pPr>
        <w:pStyle w:val="Body"/>
        <w:numPr>
          <w:ilvl w:val="1"/>
          <w:numId w:val="8"/>
        </w:numPr>
        <w:spacing w:before="120" w:line="360" w:lineRule="auto"/>
        <w:ind w:left="1434" w:hanging="357"/>
      </w:pPr>
      <w:r>
        <w:t>the date and time</w:t>
      </w:r>
    </w:p>
    <w:p w14:paraId="20726CE3" w14:textId="77777777" w:rsidR="007D6308" w:rsidRDefault="007D6308" w:rsidP="00793266">
      <w:pPr>
        <w:pStyle w:val="Body"/>
        <w:numPr>
          <w:ilvl w:val="1"/>
          <w:numId w:val="8"/>
        </w:numPr>
        <w:spacing w:before="120" w:line="360" w:lineRule="auto"/>
        <w:ind w:left="1434" w:hanging="357"/>
      </w:pPr>
      <w:r>
        <w:t>what occurred</w:t>
      </w:r>
    </w:p>
    <w:p w14:paraId="60C8016D" w14:textId="77777777" w:rsidR="007D6308" w:rsidRDefault="007D6308" w:rsidP="00793266">
      <w:pPr>
        <w:pStyle w:val="Body"/>
        <w:numPr>
          <w:ilvl w:val="1"/>
          <w:numId w:val="8"/>
        </w:numPr>
        <w:spacing w:before="120" w:line="360" w:lineRule="auto"/>
        <w:ind w:left="1434" w:hanging="357"/>
      </w:pPr>
      <w:r>
        <w:t>what was administered</w:t>
      </w:r>
    </w:p>
    <w:p w14:paraId="73EB9EF1" w14:textId="77777777" w:rsidR="007D6308" w:rsidRPr="0009249D" w:rsidRDefault="007D6308" w:rsidP="00793266">
      <w:pPr>
        <w:pStyle w:val="Body"/>
        <w:numPr>
          <w:ilvl w:val="1"/>
          <w:numId w:val="8"/>
        </w:numPr>
        <w:spacing w:before="120" w:line="360" w:lineRule="auto"/>
        <w:ind w:left="1434" w:hanging="357"/>
      </w:pPr>
      <w:r>
        <w:t>the name and signature of the staff member who administered or supervised the administration of the medication.</w:t>
      </w:r>
    </w:p>
    <w:p w14:paraId="313D766B" w14:textId="77777777" w:rsidR="007D6308" w:rsidRDefault="007D6308" w:rsidP="00793266">
      <w:pPr>
        <w:pStyle w:val="Heading3"/>
        <w:spacing w:line="360" w:lineRule="auto"/>
      </w:pPr>
      <w:r>
        <w:t>Change in health and personal support needs</w:t>
      </w:r>
    </w:p>
    <w:p w14:paraId="1DF4ABE2" w14:textId="77777777" w:rsidR="007D6308" w:rsidRDefault="007D6308" w:rsidP="00793266">
      <w:pPr>
        <w:pStyle w:val="Body"/>
        <w:spacing w:before="240" w:line="360" w:lineRule="auto"/>
      </w:pPr>
      <w:r>
        <w:t>If a resident’s health and personal support needs change:</w:t>
      </w:r>
    </w:p>
    <w:p w14:paraId="4E72BBBE" w14:textId="77777777" w:rsidR="007D6308" w:rsidRDefault="007D6308" w:rsidP="00793266">
      <w:pPr>
        <w:pStyle w:val="Body"/>
        <w:numPr>
          <w:ilvl w:val="0"/>
          <w:numId w:val="10"/>
        </w:numPr>
        <w:spacing w:before="240" w:line="360" w:lineRule="auto"/>
      </w:pPr>
      <w:r>
        <w:t xml:space="preserve">the service provider must ensure that the resident’s ongoing support plan is reviewed and </w:t>
      </w:r>
      <w:r w:rsidR="003665A0">
        <w:t xml:space="preserve">changed </w:t>
      </w:r>
      <w:r>
        <w:t>as necessary to meet the changed needs of the resident</w:t>
      </w:r>
    </w:p>
    <w:p w14:paraId="22993C2C" w14:textId="77777777" w:rsidR="00F560D9" w:rsidRDefault="007D6308" w:rsidP="00793266">
      <w:pPr>
        <w:pStyle w:val="Body"/>
        <w:numPr>
          <w:ilvl w:val="0"/>
          <w:numId w:val="10"/>
        </w:numPr>
        <w:spacing w:before="240" w:line="360" w:lineRule="auto"/>
      </w:pPr>
      <w:r>
        <w:t>ongoing support plans must set out the ongoing health and personal support requirements of the resident</w:t>
      </w:r>
      <w:r w:rsidR="00A75400">
        <w:t xml:space="preserve">. </w:t>
      </w:r>
      <w:r w:rsidR="00386482">
        <w:t xml:space="preserve">There must also be </w:t>
      </w:r>
      <w:r>
        <w:t xml:space="preserve">agreements </w:t>
      </w:r>
      <w:r w:rsidR="000C27BE">
        <w:t xml:space="preserve">as to </w:t>
      </w:r>
      <w:r>
        <w:t xml:space="preserve">how a service provider </w:t>
      </w:r>
      <w:r w:rsidR="000C27BE">
        <w:t xml:space="preserve">can </w:t>
      </w:r>
      <w:r w:rsidR="00CE1A70">
        <w:t>help</w:t>
      </w:r>
      <w:r>
        <w:t xml:space="preserve"> with the resident</w:t>
      </w:r>
      <w:r w:rsidR="000C27BE">
        <w:t>’s</w:t>
      </w:r>
      <w:r>
        <w:t xml:space="preserve"> ongoing health and support needs.</w:t>
      </w:r>
    </w:p>
    <w:p w14:paraId="6BA616C9" w14:textId="77777777" w:rsidR="007D6308" w:rsidRDefault="007D6308" w:rsidP="00793266">
      <w:pPr>
        <w:pStyle w:val="Heading2"/>
        <w:spacing w:after="0" w:line="360" w:lineRule="auto"/>
        <w:rPr>
          <w:rFonts w:eastAsia="Times"/>
        </w:rPr>
      </w:pPr>
      <w:bookmarkStart w:id="14" w:name="_Toc180055180"/>
      <w:r>
        <w:t>How to report</w:t>
      </w:r>
      <w:bookmarkEnd w:id="14"/>
    </w:p>
    <w:p w14:paraId="5DC4FCB4" w14:textId="77777777" w:rsidR="007D6308" w:rsidRDefault="007D6308" w:rsidP="00793266">
      <w:pPr>
        <w:pStyle w:val="Heading3"/>
        <w:spacing w:line="360" w:lineRule="auto"/>
      </w:pPr>
      <w:r>
        <w:t xml:space="preserve">Reporting notifiable incidents </w:t>
      </w:r>
    </w:p>
    <w:p w14:paraId="691F5D94" w14:textId="4C204584" w:rsidR="007D6308" w:rsidRDefault="007D6308" w:rsidP="00793266">
      <w:pPr>
        <w:pStyle w:val="Body"/>
        <w:spacing w:line="360" w:lineRule="auto"/>
      </w:pPr>
      <w:r w:rsidRPr="002035DC">
        <w:rPr>
          <w:b/>
          <w:bCs/>
        </w:rPr>
        <w:t>All</w:t>
      </w:r>
      <w:r>
        <w:t xml:space="preserve"> notifiable incidents </w:t>
      </w:r>
      <w:r w:rsidR="00944F0C">
        <w:t>must</w:t>
      </w:r>
      <w:r>
        <w:t xml:space="preserve"> be reported to the </w:t>
      </w:r>
      <w:proofErr w:type="gramStart"/>
      <w:r>
        <w:t>Regulator</w:t>
      </w:r>
      <w:r w:rsidR="00944F0C">
        <w:t>.</w:t>
      </w:r>
      <w:r>
        <w:t>.</w:t>
      </w:r>
      <w:proofErr w:type="gramEnd"/>
    </w:p>
    <w:p w14:paraId="7355EEF3" w14:textId="0D17B80A" w:rsidR="007D6308" w:rsidRDefault="007D6308" w:rsidP="00793266">
      <w:pPr>
        <w:pStyle w:val="Body"/>
        <w:spacing w:line="360" w:lineRule="auto"/>
      </w:pPr>
      <w:r>
        <w:t>Service providers do this by completing a full incident report. There are different ways to complete the incident report.</w:t>
      </w:r>
    </w:p>
    <w:p w14:paraId="0D52289F" w14:textId="38F384CF" w:rsidR="00716FE6" w:rsidRDefault="00CC1487" w:rsidP="00793266">
      <w:pPr>
        <w:pStyle w:val="Body"/>
        <w:spacing w:line="360" w:lineRule="auto"/>
      </w:pPr>
      <w:r>
        <w:t>Client Incident Management System (</w:t>
      </w:r>
      <w:r w:rsidR="00716FE6">
        <w:t>CIMS</w:t>
      </w:r>
      <w:r>
        <w:t>)</w:t>
      </w:r>
      <w:r w:rsidR="00716FE6">
        <w:t xml:space="preserve"> is an e</w:t>
      </w:r>
      <w:r w:rsidR="00F102BC">
        <w:t>-</w:t>
      </w:r>
      <w:r w:rsidR="00716FE6">
        <w:t>system</w:t>
      </w:r>
      <w:r w:rsidR="000526F7">
        <w:t xml:space="preserve"> </w:t>
      </w:r>
      <w:r>
        <w:t xml:space="preserve">used </w:t>
      </w:r>
      <w:proofErr w:type="gramStart"/>
      <w:r>
        <w:t xml:space="preserve">by </w:t>
      </w:r>
      <w:r w:rsidR="00C51962">
        <w:t xml:space="preserve"> the</w:t>
      </w:r>
      <w:proofErr w:type="gramEnd"/>
      <w:r w:rsidR="00C51962">
        <w:t xml:space="preserve"> Department of Families, Fairness and Housing (DFFH)</w:t>
      </w:r>
      <w:r>
        <w:t xml:space="preserve"> for incident reporting for providers funded by DFFH</w:t>
      </w:r>
      <w:r w:rsidR="00C51962">
        <w:t>.</w:t>
      </w:r>
      <w:r w:rsidR="004E1EA2">
        <w:t xml:space="preserve"> Relevant reports made in CIMS will be sent to DFFH and the Social Services Regulator</w:t>
      </w:r>
      <w:r w:rsidR="00FF1C16">
        <w:t>. This means service providers report once.</w:t>
      </w:r>
      <w:r w:rsidR="00484451">
        <w:t xml:space="preserve"> </w:t>
      </w:r>
      <w:r w:rsidR="00042F92" w:rsidRPr="006A2EF2">
        <w:rPr>
          <w:rFonts w:eastAsia="Times New Roman" w:cs="Arial"/>
          <w:lang w:eastAsia="en-AU"/>
        </w:rPr>
        <w:t>If your service is not funded by DFFH, you will not report through CIMS.</w:t>
      </w:r>
    </w:p>
    <w:p w14:paraId="23ED1C94" w14:textId="77777777" w:rsidR="00CC1487" w:rsidRPr="00DC5EFC" w:rsidRDefault="00CC1487" w:rsidP="00793266">
      <w:pPr>
        <w:pStyle w:val="Heading4"/>
        <w:spacing w:line="360" w:lineRule="auto"/>
      </w:pPr>
      <w:r>
        <w:t xml:space="preserve">Reporting using </w:t>
      </w:r>
      <w:r w:rsidRPr="00DC5EFC">
        <w:t>CIMS</w:t>
      </w:r>
    </w:p>
    <w:p w14:paraId="4BAE2D4E" w14:textId="77777777" w:rsidR="007D6308" w:rsidRPr="00952795" w:rsidRDefault="007D6308" w:rsidP="00793266">
      <w:pPr>
        <w:pStyle w:val="Body"/>
        <w:spacing w:line="360" w:lineRule="auto"/>
      </w:pPr>
      <w:r>
        <w:t>If you use CIMS, you can complete the full incident report using CIMS.</w:t>
      </w:r>
    </w:p>
    <w:p w14:paraId="740CF3E2" w14:textId="77777777" w:rsidR="007D6308" w:rsidRDefault="007D6308" w:rsidP="00793266">
      <w:pPr>
        <w:pStyle w:val="Body"/>
        <w:spacing w:line="360" w:lineRule="auto"/>
      </w:pPr>
      <w:r w:rsidRPr="003A68D0">
        <w:rPr>
          <w:b/>
          <w:bCs/>
        </w:rPr>
        <w:t>Step 1</w:t>
      </w:r>
      <w:r>
        <w:t xml:space="preserve"> Ensure the immediate safety and wellbeing of service users directly and indirectly impacted.</w:t>
      </w:r>
    </w:p>
    <w:p w14:paraId="2FF50A2E" w14:textId="77777777" w:rsidR="007D6308" w:rsidRDefault="007D6308" w:rsidP="00793266">
      <w:pPr>
        <w:pStyle w:val="Body"/>
        <w:spacing w:line="360" w:lineRule="auto"/>
      </w:pPr>
      <w:r w:rsidRPr="003A68D0">
        <w:rPr>
          <w:b/>
          <w:bCs/>
        </w:rPr>
        <w:t>Step 2</w:t>
      </w:r>
      <w:r>
        <w:t xml:space="preserve"> Within 3 business days report using </w:t>
      </w:r>
      <w:hyperlink r:id="rId21" w:history="1">
        <w:r w:rsidRPr="0090204D">
          <w:rPr>
            <w:rStyle w:val="Hyperlink"/>
          </w:rPr>
          <w:t>CIMS</w:t>
        </w:r>
      </w:hyperlink>
      <w:r w:rsidRPr="0090204D">
        <w:t>.</w:t>
      </w:r>
    </w:p>
    <w:p w14:paraId="669461E6" w14:textId="713ABB82" w:rsidR="007D6308" w:rsidRPr="00421793" w:rsidRDefault="00CC1487" w:rsidP="00793266">
      <w:pPr>
        <w:pStyle w:val="Body"/>
        <w:spacing w:line="360" w:lineRule="auto"/>
      </w:pPr>
      <w:r>
        <w:t xml:space="preserve">The CIMS guide has </w:t>
      </w:r>
      <w:r w:rsidR="00F60C74">
        <w:t xml:space="preserve">further information about reporting </w:t>
      </w:r>
      <w:r w:rsidR="00484451">
        <w:t>at</w:t>
      </w:r>
      <w:r w:rsidR="007D6308">
        <w:t xml:space="preserve"> </w:t>
      </w:r>
      <w:hyperlink r:id="rId22" w:history="1">
        <w:r w:rsidR="007D6308" w:rsidRPr="00FC0D2F">
          <w:rPr>
            <w:rStyle w:val="Hyperlink"/>
          </w:rPr>
          <w:t>CIMS guidance and resources</w:t>
        </w:r>
        <w:r w:rsidR="00484451" w:rsidRPr="00FC0D2F">
          <w:rPr>
            <w:rStyle w:val="Hyperlink"/>
          </w:rPr>
          <w:t xml:space="preserve"> – </w:t>
        </w:r>
        <w:r w:rsidR="007D6308" w:rsidRPr="00FC0D2F">
          <w:rPr>
            <w:rStyle w:val="Hyperlink"/>
          </w:rPr>
          <w:t>DFFH Service Providers</w:t>
        </w:r>
      </w:hyperlink>
      <w:r w:rsidR="007D6308" w:rsidRPr="0090204D">
        <w:t>.</w:t>
      </w:r>
      <w:r w:rsidR="007D6308">
        <w:t xml:space="preserve"> </w:t>
      </w:r>
    </w:p>
    <w:p w14:paraId="76C2E69C" w14:textId="77777777" w:rsidR="007D6308" w:rsidRPr="00DC5EFC" w:rsidRDefault="007D6308" w:rsidP="00793266">
      <w:pPr>
        <w:pStyle w:val="Heading4"/>
        <w:spacing w:line="360" w:lineRule="auto"/>
      </w:pPr>
      <w:r w:rsidRPr="00DC5EFC">
        <w:t>For all non-CIMS users</w:t>
      </w:r>
    </w:p>
    <w:p w14:paraId="2E15EA01" w14:textId="753860E9" w:rsidR="00FF1C16" w:rsidRDefault="007D6308" w:rsidP="00793266">
      <w:pPr>
        <w:pStyle w:val="Body"/>
        <w:spacing w:line="360" w:lineRule="auto"/>
      </w:pPr>
      <w:r>
        <w:t xml:space="preserve">Some service providers do not use CIMS. </w:t>
      </w:r>
      <w:r w:rsidR="00FF1C16" w:rsidRPr="00701298">
        <w:t>Non-CIMS users include</w:t>
      </w:r>
      <w:r w:rsidR="00701298" w:rsidRPr="00701298">
        <w:t xml:space="preserve"> </w:t>
      </w:r>
      <w:r w:rsidR="00042F92">
        <w:t>SRSs</w:t>
      </w:r>
      <w:r w:rsidR="00701298" w:rsidRPr="00701298">
        <w:t xml:space="preserve">, </w:t>
      </w:r>
      <w:r w:rsidR="00701298" w:rsidRPr="00701298">
        <w:br/>
        <w:t>providers funded by the Transport Accident Commission (TAC), and providers funded by WorkSafe.</w:t>
      </w:r>
    </w:p>
    <w:p w14:paraId="19BF019B" w14:textId="77777777" w:rsidR="007D6308" w:rsidRPr="00934430" w:rsidRDefault="007D6308" w:rsidP="00793266">
      <w:pPr>
        <w:pStyle w:val="Body"/>
        <w:spacing w:line="360" w:lineRule="auto"/>
      </w:pPr>
      <w:r>
        <w:t>This means you can complete the full incident report using a form on our website.</w:t>
      </w:r>
    </w:p>
    <w:p w14:paraId="4FAD5799" w14:textId="77777777" w:rsidR="007D6308" w:rsidRDefault="007D6308" w:rsidP="00793266">
      <w:pPr>
        <w:pStyle w:val="Body"/>
        <w:spacing w:line="360" w:lineRule="auto"/>
      </w:pPr>
      <w:r w:rsidRPr="003A68D0">
        <w:rPr>
          <w:b/>
          <w:bCs/>
        </w:rPr>
        <w:t>Step 1</w:t>
      </w:r>
      <w:r w:rsidR="00AF5560">
        <w:rPr>
          <w:b/>
          <w:bCs/>
        </w:rPr>
        <w:t>.</w:t>
      </w:r>
      <w:r>
        <w:t xml:space="preserve"> Ensure the immediate safety and wellbeing of service users directly and indirectly impacted.</w:t>
      </w:r>
    </w:p>
    <w:p w14:paraId="48065C94" w14:textId="0EEAC00F" w:rsidR="007D6308" w:rsidRPr="00560D95" w:rsidRDefault="007D6308" w:rsidP="00793266">
      <w:pPr>
        <w:pStyle w:val="Body"/>
        <w:spacing w:line="360" w:lineRule="auto"/>
      </w:pPr>
      <w:r w:rsidRPr="003A68D0">
        <w:rPr>
          <w:b/>
          <w:bCs/>
        </w:rPr>
        <w:t>Step 2</w:t>
      </w:r>
      <w:r w:rsidR="00AF5560">
        <w:rPr>
          <w:b/>
          <w:bCs/>
        </w:rPr>
        <w:t>.</w:t>
      </w:r>
      <w:r>
        <w:t xml:space="preserve"> </w:t>
      </w:r>
      <w:r w:rsidR="00CC1487">
        <w:t>W</w:t>
      </w:r>
      <w:r>
        <w:t xml:space="preserve">ithin 3 business days </w:t>
      </w:r>
      <w:r w:rsidR="00CC1487">
        <w:t xml:space="preserve">report </w:t>
      </w:r>
      <w:r>
        <w:t xml:space="preserve">using the </w:t>
      </w:r>
      <w:hyperlink r:id="rId23" w:history="1">
        <w:r w:rsidRPr="00285B06">
          <w:rPr>
            <w:rStyle w:val="Hyperlink"/>
          </w:rPr>
          <w:t>Social Services Regulator incident report form</w:t>
        </w:r>
      </w:hyperlink>
      <w:r w:rsidRPr="00285B06">
        <w:t>.</w:t>
      </w:r>
    </w:p>
    <w:p w14:paraId="371A64FF" w14:textId="77777777" w:rsidR="00C43071" w:rsidRDefault="00C43071" w:rsidP="00793266">
      <w:pPr>
        <w:pStyle w:val="Body"/>
        <w:spacing w:line="360" w:lineRule="auto"/>
      </w:pPr>
    </w:p>
    <w:p w14:paraId="0AA14C34" w14:textId="2E146400" w:rsidR="007D6308" w:rsidRDefault="0006680B" w:rsidP="00793266">
      <w:pPr>
        <w:pStyle w:val="Body"/>
        <w:spacing w:line="360" w:lineRule="auto"/>
      </w:pPr>
      <w:r w:rsidRPr="0006680B">
        <w:t>Health services providers also complete the non-CIMS users’ full incident report form. It is not possible to report notifiable incidents through VHIMS. Providers of SRSs should also use this form to make a full incident report.</w:t>
      </w:r>
      <w:r w:rsidR="007D6308">
        <w:t xml:space="preserve"> </w:t>
      </w:r>
    </w:p>
    <w:p w14:paraId="68F517E4" w14:textId="77777777" w:rsidR="007D6308" w:rsidRPr="00FE7E5B" w:rsidRDefault="007D6308" w:rsidP="00793266">
      <w:pPr>
        <w:pStyle w:val="Heading3"/>
        <w:spacing w:line="360" w:lineRule="auto"/>
      </w:pPr>
      <w:r w:rsidRPr="00FE7E5B">
        <w:t>Reporting a critical notifiable incident</w:t>
      </w:r>
    </w:p>
    <w:p w14:paraId="1DA27E17" w14:textId="77777777" w:rsidR="007D6308" w:rsidRPr="00D00C1D" w:rsidRDefault="007D6308" w:rsidP="00793266">
      <w:pPr>
        <w:pStyle w:val="Body"/>
        <w:spacing w:line="360" w:lineRule="auto"/>
        <w:rPr>
          <w:bCs/>
        </w:rPr>
      </w:pPr>
      <w:r>
        <w:rPr>
          <w:bCs/>
        </w:rPr>
        <w:t>Determine if the incident meets the definition of a critical notifiable incident (see Table 2).</w:t>
      </w:r>
    </w:p>
    <w:p w14:paraId="7DCC0048" w14:textId="77777777" w:rsidR="007D6308" w:rsidRDefault="007D6308" w:rsidP="00793266">
      <w:pPr>
        <w:pStyle w:val="Body"/>
        <w:spacing w:line="360" w:lineRule="auto"/>
      </w:pPr>
      <w:r w:rsidRPr="00AB6728">
        <w:rPr>
          <w:b/>
        </w:rPr>
        <w:t>Step 1</w:t>
      </w:r>
      <w:r w:rsidR="00C43071">
        <w:rPr>
          <w:b/>
        </w:rPr>
        <w:t>.</w:t>
      </w:r>
      <w:r>
        <w:t xml:space="preserve"> Ensure the immediate safety and wellbeing of service users directly and indirectly impacted.</w:t>
      </w:r>
    </w:p>
    <w:p w14:paraId="1633D8BF" w14:textId="5F4D30AF" w:rsidR="007D6308" w:rsidRPr="00384527" w:rsidRDefault="007D6308" w:rsidP="00793266">
      <w:pPr>
        <w:pStyle w:val="Body"/>
        <w:spacing w:before="240" w:line="360" w:lineRule="auto"/>
      </w:pPr>
      <w:r w:rsidRPr="00AB6728">
        <w:rPr>
          <w:b/>
        </w:rPr>
        <w:t>Step 2</w:t>
      </w:r>
      <w:r w:rsidR="00C43071">
        <w:rPr>
          <w:b/>
        </w:rPr>
        <w:t>.</w:t>
      </w:r>
      <w:r>
        <w:t xml:space="preserve"> </w:t>
      </w:r>
      <w:r w:rsidR="00CC1487">
        <w:t>B</w:t>
      </w:r>
      <w:r>
        <w:t xml:space="preserve">y close of business the next business day </w:t>
      </w:r>
      <w:r w:rsidR="00CC1487">
        <w:t xml:space="preserve">report </w:t>
      </w:r>
      <w:r>
        <w:t xml:space="preserve">using the </w:t>
      </w:r>
      <w:hyperlink r:id="rId24" w:history="1">
        <w:r w:rsidRPr="00285B06">
          <w:rPr>
            <w:rStyle w:val="Hyperlink"/>
          </w:rPr>
          <w:t>Social Services Regulator critical notifiable incident short form</w:t>
        </w:r>
      </w:hyperlink>
      <w:r w:rsidRPr="00285B06">
        <w:t>.</w:t>
      </w:r>
    </w:p>
    <w:p w14:paraId="5E0EE456" w14:textId="77777777" w:rsidR="007D6308" w:rsidRDefault="007D6308" w:rsidP="00793266">
      <w:pPr>
        <w:pStyle w:val="Body"/>
        <w:spacing w:before="240" w:line="360" w:lineRule="auto"/>
      </w:pPr>
      <w:r>
        <w:t>This short form asks you to provide a brief description of the incident and actions taken.</w:t>
      </w:r>
    </w:p>
    <w:p w14:paraId="7C5AA5FC" w14:textId="2F519DDD" w:rsidR="007D6308" w:rsidRDefault="007D6308" w:rsidP="00793266">
      <w:pPr>
        <w:pStyle w:val="Body"/>
        <w:spacing w:before="240" w:line="360" w:lineRule="auto"/>
      </w:pPr>
      <w:r>
        <w:t>If the incident occurred on a Friday or the weekend</w:t>
      </w:r>
      <w:r w:rsidR="008A3868">
        <w:t>,</w:t>
      </w:r>
      <w:r>
        <w:t xml:space="preserve"> you </w:t>
      </w:r>
      <w:r w:rsidR="00CC1487">
        <w:t>are to</w:t>
      </w:r>
      <w:r>
        <w:t xml:space="preserve"> submit the form by close of business the next business day.</w:t>
      </w:r>
    </w:p>
    <w:p w14:paraId="3C9EA038" w14:textId="1962B81D" w:rsidR="007D6308" w:rsidRPr="00F05525" w:rsidRDefault="007D6308" w:rsidP="00793266">
      <w:pPr>
        <w:pStyle w:val="Body"/>
        <w:spacing w:before="240" w:line="360" w:lineRule="auto"/>
        <w:rPr>
          <w:b/>
          <w:bCs/>
        </w:rPr>
      </w:pPr>
      <w:r w:rsidRPr="280DEEB8">
        <w:rPr>
          <w:b/>
          <w:bCs/>
        </w:rPr>
        <w:t>Step 3</w:t>
      </w:r>
      <w:r w:rsidR="0098100B">
        <w:rPr>
          <w:b/>
          <w:bCs/>
        </w:rPr>
        <w:t>.</w:t>
      </w:r>
      <w:r>
        <w:t xml:space="preserve"> </w:t>
      </w:r>
      <w:r w:rsidR="00CC1487">
        <w:t>Within 3 business days c</w:t>
      </w:r>
      <w:r w:rsidR="00F34D00">
        <w:t xml:space="preserve">omplete and submit </w:t>
      </w:r>
      <w:r w:rsidR="00F34D00" w:rsidRPr="280DEEB8">
        <w:rPr>
          <w:b/>
          <w:bCs/>
        </w:rPr>
        <w:t>a full incident report</w:t>
      </w:r>
      <w:r w:rsidRPr="00384527">
        <w:t>.</w:t>
      </w:r>
    </w:p>
    <w:p w14:paraId="2C755EEF" w14:textId="77777777" w:rsidR="007D6308" w:rsidRDefault="007D6308" w:rsidP="00793266">
      <w:pPr>
        <w:pStyle w:val="Body"/>
        <w:numPr>
          <w:ilvl w:val="0"/>
          <w:numId w:val="41"/>
        </w:numPr>
        <w:spacing w:before="240" w:line="360" w:lineRule="auto"/>
      </w:pPr>
      <w:r>
        <w:t xml:space="preserve">CIMS users submit the full incident report via </w:t>
      </w:r>
      <w:hyperlink r:id="rId25" w:history="1">
        <w:r w:rsidRPr="0038475F">
          <w:rPr>
            <w:rStyle w:val="Hyperlink"/>
          </w:rPr>
          <w:t>CIMS</w:t>
        </w:r>
      </w:hyperlink>
      <w:r w:rsidR="008A3868">
        <w:t>.</w:t>
      </w:r>
      <w:r>
        <w:t xml:space="preserve">  </w:t>
      </w:r>
    </w:p>
    <w:p w14:paraId="2DC7C174" w14:textId="77777777" w:rsidR="007D6308" w:rsidRDefault="007D6308" w:rsidP="00793266">
      <w:pPr>
        <w:pStyle w:val="Body"/>
        <w:numPr>
          <w:ilvl w:val="0"/>
          <w:numId w:val="41"/>
        </w:numPr>
        <w:spacing w:before="240" w:line="360" w:lineRule="auto"/>
      </w:pPr>
      <w:r>
        <w:t xml:space="preserve">Non-CIMS users submit the full incident report using the </w:t>
      </w:r>
      <w:hyperlink r:id="rId26" w:history="1">
        <w:r w:rsidRPr="0038475F">
          <w:rPr>
            <w:rStyle w:val="Hyperlink"/>
          </w:rPr>
          <w:t>Social Services Regulator incident report form</w:t>
        </w:r>
      </w:hyperlink>
      <w:r w:rsidRPr="0038475F">
        <w:t>.</w:t>
      </w:r>
      <w:r>
        <w:rPr>
          <w:rStyle w:val="CommentReference"/>
          <w:rFonts w:eastAsia="Times New Roman"/>
        </w:rPr>
        <w:t xml:space="preserve"> </w:t>
      </w:r>
    </w:p>
    <w:p w14:paraId="5BC4EC8B" w14:textId="77777777" w:rsidR="007D6308" w:rsidRDefault="007D6308" w:rsidP="00793266">
      <w:pPr>
        <w:pStyle w:val="Heading3"/>
        <w:spacing w:line="360" w:lineRule="auto"/>
      </w:pPr>
      <w:r>
        <w:t>What happens after I report a notifiable incident?</w:t>
      </w:r>
    </w:p>
    <w:p w14:paraId="2CB385C3" w14:textId="77777777" w:rsidR="007D6308" w:rsidRDefault="007D6308" w:rsidP="00793266">
      <w:pPr>
        <w:pStyle w:val="Heading4"/>
        <w:spacing w:line="360" w:lineRule="auto"/>
      </w:pPr>
      <w:r>
        <w:t>Response to a full incident report</w:t>
      </w:r>
    </w:p>
    <w:p w14:paraId="7E1F4794" w14:textId="77777777" w:rsidR="007D6308" w:rsidRDefault="007D6308" w:rsidP="00793266">
      <w:pPr>
        <w:pStyle w:val="Body"/>
        <w:spacing w:line="360" w:lineRule="auto"/>
      </w:pPr>
      <w:r w:rsidRPr="00B47E8E">
        <w:t xml:space="preserve">Shortly after submitting </w:t>
      </w:r>
      <w:r>
        <w:t>a full incident</w:t>
      </w:r>
      <w:r w:rsidRPr="00B47E8E">
        <w:t xml:space="preserve"> report, you will receive a confirmation email</w:t>
      </w:r>
      <w:r w:rsidR="000F12BC">
        <w:t xml:space="preserve">. This </w:t>
      </w:r>
      <w:r w:rsidRPr="00B47E8E">
        <w:t xml:space="preserve">will include a reference number. You may need to check </w:t>
      </w:r>
      <w:r>
        <w:t>your</w:t>
      </w:r>
      <w:r w:rsidRPr="00B47E8E">
        <w:t xml:space="preserve"> junk email</w:t>
      </w:r>
      <w:r>
        <w:t xml:space="preserve"> (or trash)</w:t>
      </w:r>
      <w:r w:rsidRPr="00B47E8E">
        <w:t xml:space="preserve"> folder.</w:t>
      </w:r>
    </w:p>
    <w:p w14:paraId="1109EC62" w14:textId="77777777" w:rsidR="007D6308" w:rsidRDefault="007D6308" w:rsidP="00793266">
      <w:pPr>
        <w:pStyle w:val="Body"/>
        <w:spacing w:line="360" w:lineRule="auto"/>
      </w:pPr>
      <w:r>
        <w:t xml:space="preserve">After receiving the full incident report on a notifiable incident, the Regulator will: </w:t>
      </w:r>
    </w:p>
    <w:p w14:paraId="44BE2991" w14:textId="77777777" w:rsidR="007D6308" w:rsidRDefault="007D6308" w:rsidP="00793266">
      <w:pPr>
        <w:pStyle w:val="Body"/>
        <w:numPr>
          <w:ilvl w:val="0"/>
          <w:numId w:val="31"/>
        </w:numPr>
        <w:spacing w:line="360" w:lineRule="auto"/>
      </w:pPr>
      <w:r>
        <w:t>review the information</w:t>
      </w:r>
    </w:p>
    <w:p w14:paraId="4E4D81D5" w14:textId="77777777" w:rsidR="007D6308" w:rsidRDefault="007D6308" w:rsidP="00793266">
      <w:pPr>
        <w:pStyle w:val="Body"/>
        <w:numPr>
          <w:ilvl w:val="0"/>
          <w:numId w:val="31"/>
        </w:numPr>
        <w:spacing w:line="360" w:lineRule="auto"/>
      </w:pPr>
      <w:r>
        <w:t xml:space="preserve">confirm the report is in scope </w:t>
      </w:r>
    </w:p>
    <w:p w14:paraId="0E7AA046" w14:textId="77777777" w:rsidR="007D6308" w:rsidRDefault="007D6308" w:rsidP="00793266">
      <w:pPr>
        <w:pStyle w:val="Body"/>
        <w:numPr>
          <w:ilvl w:val="0"/>
          <w:numId w:val="31"/>
        </w:numPr>
        <w:spacing w:line="360" w:lineRule="auto"/>
      </w:pPr>
      <w:r>
        <w:t>assess the risk of the incident and determine a response.</w:t>
      </w:r>
    </w:p>
    <w:p w14:paraId="11635362" w14:textId="77777777" w:rsidR="007D6308" w:rsidRDefault="007D6308" w:rsidP="00793266">
      <w:pPr>
        <w:spacing w:after="240" w:line="360" w:lineRule="auto"/>
        <w:jc w:val="both"/>
      </w:pPr>
      <w:r>
        <w:t xml:space="preserve">The Regulator takes all reports seriously and is committed to </w:t>
      </w:r>
      <w:r w:rsidRPr="00FD53F4">
        <w:rPr>
          <w:rFonts w:eastAsia="MS PMincho" w:cs="Arial"/>
          <w:szCs w:val="21"/>
        </w:rPr>
        <w:t>preventing and responding to significant harm or risk of harm to service users.</w:t>
      </w:r>
      <w:r>
        <w:rPr>
          <w:rFonts w:eastAsia="MS PMincho" w:cs="Arial"/>
          <w:sz w:val="20"/>
        </w:rPr>
        <w:t xml:space="preserve"> </w:t>
      </w:r>
      <w:r>
        <w:t xml:space="preserve">The Regulator may: </w:t>
      </w:r>
    </w:p>
    <w:p w14:paraId="2A8281B0" w14:textId="77777777" w:rsidR="00FE5C88" w:rsidRPr="00FE5C88" w:rsidRDefault="007D6308" w:rsidP="00793266">
      <w:pPr>
        <w:numPr>
          <w:ilvl w:val="0"/>
          <w:numId w:val="32"/>
        </w:numPr>
        <w:spacing w:after="240" w:line="360" w:lineRule="auto"/>
        <w:jc w:val="both"/>
        <w:rPr>
          <w:rFonts w:eastAsia="MS PMincho" w:cs="Arial"/>
          <w:sz w:val="20"/>
        </w:rPr>
      </w:pPr>
      <w:r>
        <w:t>ask you for further information</w:t>
      </w:r>
    </w:p>
    <w:p w14:paraId="6BB6016B" w14:textId="77777777" w:rsidR="00FE5C88" w:rsidRPr="00FE5C88" w:rsidRDefault="007D6308" w:rsidP="00793266">
      <w:pPr>
        <w:numPr>
          <w:ilvl w:val="0"/>
          <w:numId w:val="32"/>
        </w:numPr>
        <w:spacing w:after="240" w:line="360" w:lineRule="auto"/>
        <w:jc w:val="both"/>
        <w:rPr>
          <w:rFonts w:eastAsia="MS PMincho" w:cs="Arial"/>
          <w:sz w:val="20"/>
        </w:rPr>
      </w:pPr>
      <w:r>
        <w:t xml:space="preserve">monitor the response to the notifiable incident </w:t>
      </w:r>
    </w:p>
    <w:p w14:paraId="406166D3" w14:textId="77777777" w:rsidR="00FE5C88" w:rsidRPr="00FE5C88" w:rsidRDefault="007D6308" w:rsidP="00793266">
      <w:pPr>
        <w:numPr>
          <w:ilvl w:val="0"/>
          <w:numId w:val="32"/>
        </w:numPr>
        <w:spacing w:after="240" w:line="360" w:lineRule="auto"/>
        <w:jc w:val="both"/>
        <w:rPr>
          <w:rFonts w:eastAsia="MS PMincho" w:cs="Arial"/>
          <w:sz w:val="20"/>
        </w:rPr>
      </w:pPr>
      <w:r>
        <w:t>investigate the notifiable incident</w:t>
      </w:r>
    </w:p>
    <w:p w14:paraId="73B2775A" w14:textId="77777777" w:rsidR="00FE5C88" w:rsidRPr="00FE5C88" w:rsidRDefault="007D6308" w:rsidP="00793266">
      <w:pPr>
        <w:numPr>
          <w:ilvl w:val="0"/>
          <w:numId w:val="32"/>
        </w:numPr>
        <w:spacing w:after="240" w:line="360" w:lineRule="auto"/>
        <w:jc w:val="both"/>
        <w:rPr>
          <w:rFonts w:eastAsia="MS PMincho" w:cs="Arial"/>
          <w:sz w:val="20"/>
        </w:rPr>
      </w:pPr>
      <w:proofErr w:type="gramStart"/>
      <w:r>
        <w:t>take action</w:t>
      </w:r>
      <w:proofErr w:type="gramEnd"/>
      <w:r>
        <w:t xml:space="preserve"> for non-compliance against the Social Services Standards (Standards), or breaches of the Act or the Social Services Regulations 2023 (the Regulations) </w:t>
      </w:r>
    </w:p>
    <w:p w14:paraId="2099BB92" w14:textId="77777777" w:rsidR="007D6308" w:rsidRPr="00FE5C88" w:rsidRDefault="007D6308" w:rsidP="00793266">
      <w:pPr>
        <w:numPr>
          <w:ilvl w:val="0"/>
          <w:numId w:val="32"/>
        </w:numPr>
        <w:spacing w:after="240" w:line="360" w:lineRule="auto"/>
        <w:jc w:val="both"/>
        <w:rPr>
          <w:rFonts w:eastAsia="MS PMincho" w:cs="Arial"/>
          <w:sz w:val="20"/>
        </w:rPr>
      </w:pPr>
      <w:r>
        <w:t>close the report with no further action.</w:t>
      </w:r>
    </w:p>
    <w:p w14:paraId="44BD9DE4" w14:textId="77777777" w:rsidR="007D6308" w:rsidRDefault="007D6308" w:rsidP="00793266">
      <w:pPr>
        <w:spacing w:after="240" w:line="360" w:lineRule="auto"/>
        <w:jc w:val="both"/>
      </w:pPr>
      <w:r>
        <w:t>The Regulator records all notifiable incidents for intelligence purposes and identifying trends.</w:t>
      </w:r>
    </w:p>
    <w:p w14:paraId="395F031A" w14:textId="77777777" w:rsidR="007D6308" w:rsidRPr="00394125" w:rsidRDefault="007D6308" w:rsidP="00793266">
      <w:pPr>
        <w:pStyle w:val="Heading4"/>
        <w:spacing w:line="360" w:lineRule="auto"/>
      </w:pPr>
      <w:r>
        <w:t>Response to critical notifiable incidents</w:t>
      </w:r>
    </w:p>
    <w:p w14:paraId="0D06DD08" w14:textId="77777777" w:rsidR="000B55B6" w:rsidRDefault="007D6308" w:rsidP="00793266">
      <w:pPr>
        <w:spacing w:after="240" w:line="360" w:lineRule="auto"/>
        <w:jc w:val="both"/>
        <w:rPr>
          <w:rFonts w:eastAsia="MS PMincho" w:cs="Arial"/>
          <w:szCs w:val="21"/>
        </w:rPr>
      </w:pPr>
      <w:r w:rsidRPr="00394125">
        <w:rPr>
          <w:rFonts w:eastAsia="MS PMincho" w:cs="Arial"/>
          <w:szCs w:val="21"/>
        </w:rPr>
        <w:t xml:space="preserve">In most cases, </w:t>
      </w:r>
      <w:r>
        <w:rPr>
          <w:rFonts w:eastAsia="MS PMincho" w:cs="Arial"/>
          <w:szCs w:val="21"/>
        </w:rPr>
        <w:t>if the critical notifiable incident short form is completed correctly</w:t>
      </w:r>
      <w:r w:rsidR="00C95421" w:rsidRPr="00C95421">
        <w:rPr>
          <w:rFonts w:cs="Arial"/>
          <w:lang w:eastAsia="en-AU"/>
        </w:rPr>
        <w:t xml:space="preserve"> </w:t>
      </w:r>
      <w:r w:rsidR="00C95421" w:rsidRPr="006A2EF2">
        <w:rPr>
          <w:rFonts w:cs="Arial"/>
          <w:lang w:eastAsia="en-AU"/>
        </w:rPr>
        <w:t>and the reported response is deemed appropriate</w:t>
      </w:r>
      <w:r>
        <w:rPr>
          <w:rFonts w:eastAsia="MS PMincho" w:cs="Arial"/>
          <w:szCs w:val="21"/>
        </w:rPr>
        <w:t xml:space="preserve">, </w:t>
      </w:r>
      <w:r w:rsidRPr="00394125">
        <w:rPr>
          <w:rFonts w:eastAsia="MS PMincho" w:cs="Arial"/>
          <w:szCs w:val="21"/>
        </w:rPr>
        <w:t xml:space="preserve">the Regulator will wait to review the full incident report before contacting the service provider. The information provided in the </w:t>
      </w:r>
      <w:r>
        <w:rPr>
          <w:rFonts w:eastAsia="MS PMincho" w:cs="Arial"/>
          <w:szCs w:val="21"/>
        </w:rPr>
        <w:t>short</w:t>
      </w:r>
      <w:r w:rsidRPr="00D23837">
        <w:rPr>
          <w:rFonts w:eastAsia="MS PMincho" w:cs="Arial"/>
          <w:szCs w:val="21"/>
        </w:rPr>
        <w:t xml:space="preserve"> form helps to inform the Regulator’s decision.</w:t>
      </w:r>
      <w:bookmarkEnd w:id="5"/>
      <w:bookmarkEnd w:id="6"/>
    </w:p>
    <w:p w14:paraId="0BC7FFDA" w14:textId="721FA5B1" w:rsidR="005A12F2" w:rsidRPr="00636162" w:rsidRDefault="005A12F2">
      <w:pPr>
        <w:spacing w:after="0" w:line="240" w:lineRule="auto"/>
        <w:rPr>
          <w:rFonts w:eastAsia="MS PMincho" w:cs="Arial"/>
          <w:szCs w:val="21"/>
        </w:rPr>
      </w:pPr>
      <w:r>
        <w:rPr>
          <w:rFonts w:eastAsia="MS PMincho"/>
        </w:rPr>
        <w:br w:type="page"/>
      </w:r>
    </w:p>
    <w:p w14:paraId="12AEF95B" w14:textId="77777777" w:rsidR="005A12F2" w:rsidRDefault="005A12F2" w:rsidP="00793266">
      <w:pPr>
        <w:spacing w:after="240" w:line="360" w:lineRule="auto"/>
        <w:jc w:val="both"/>
        <w:rPr>
          <w:rFonts w:eastAsia="MS PMincho"/>
        </w:rPr>
      </w:pPr>
    </w:p>
    <w:tbl>
      <w:tblPr>
        <w:tblStyle w:val="TableGrid"/>
        <w:tblW w:w="10199" w:type="dxa"/>
        <w:tblCellMar>
          <w:bottom w:w="108" w:type="dxa"/>
        </w:tblCellMar>
        <w:tblLook w:val="0620" w:firstRow="1" w:lastRow="0" w:firstColumn="0" w:lastColumn="0" w:noHBand="1" w:noVBand="1"/>
      </w:tblPr>
      <w:tblGrid>
        <w:gridCol w:w="10199"/>
      </w:tblGrid>
      <w:tr w:rsidR="00636162" w14:paraId="294474F8" w14:textId="77777777" w:rsidTr="001C44F5">
        <w:tc>
          <w:tcPr>
            <w:tcW w:w="10199" w:type="dxa"/>
          </w:tcPr>
          <w:p w14:paraId="5DA0E383" w14:textId="77777777" w:rsidR="00636162" w:rsidRPr="0055119B" w:rsidRDefault="00636162" w:rsidP="00793266">
            <w:pPr>
              <w:pStyle w:val="Accessibilitypara"/>
              <w:spacing w:line="360" w:lineRule="auto"/>
            </w:pPr>
            <w:r w:rsidRPr="0055119B">
              <w:t>To receive this document in another format</w:t>
            </w:r>
            <w:r>
              <w:t>,</w:t>
            </w:r>
            <w:r w:rsidRPr="0055119B">
              <w:t xml:space="preserve"> email </w:t>
            </w:r>
            <w:hyperlink r:id="rId27" w:history="1">
              <w:r w:rsidRPr="00381615">
                <w:rPr>
                  <w:rStyle w:val="Hyperlink"/>
                </w:rPr>
                <w:t>Social Services Regulator</w:t>
              </w:r>
            </w:hyperlink>
            <w:r w:rsidRPr="00381615">
              <w:t xml:space="preserve"> </w:t>
            </w:r>
          </w:p>
          <w:p w14:paraId="0044EF10" w14:textId="77777777" w:rsidR="00636162" w:rsidRPr="0055119B" w:rsidRDefault="00636162" w:rsidP="00793266">
            <w:pPr>
              <w:pStyle w:val="Imprint"/>
              <w:spacing w:line="360" w:lineRule="auto"/>
            </w:pPr>
            <w:r w:rsidRPr="0055119B">
              <w:t>Authorised and published by the Victorian Government, 1 Treasury Place, Melbourne.</w:t>
            </w:r>
          </w:p>
          <w:p w14:paraId="6F93DD73" w14:textId="6551EC57" w:rsidR="00636162" w:rsidRPr="0055119B" w:rsidRDefault="00636162" w:rsidP="00793266">
            <w:pPr>
              <w:pStyle w:val="Imprint"/>
              <w:spacing w:line="360" w:lineRule="auto"/>
            </w:pPr>
            <w:r w:rsidRPr="0055119B">
              <w:t xml:space="preserve">© State of Victoria, Australia, Department </w:t>
            </w:r>
            <w:r w:rsidRPr="001B058F">
              <w:t xml:space="preserve">of </w:t>
            </w:r>
            <w:r>
              <w:t>Families, Fairness and Housing</w:t>
            </w:r>
            <w:r w:rsidRPr="0055119B">
              <w:t xml:space="preserve">, </w:t>
            </w:r>
            <w:r w:rsidR="0023053A">
              <w:t>June</w:t>
            </w:r>
            <w:r w:rsidRPr="00347297">
              <w:t xml:space="preserve"> 202</w:t>
            </w:r>
            <w:r w:rsidR="0023053A">
              <w:t>5</w:t>
            </w:r>
            <w:r w:rsidRPr="0055119B">
              <w:t>.</w:t>
            </w:r>
          </w:p>
          <w:p w14:paraId="16A37E2A" w14:textId="77777777" w:rsidR="00636162" w:rsidRPr="00E33237" w:rsidRDefault="00636162" w:rsidP="00793266">
            <w:pPr>
              <w:pStyle w:val="Imprint"/>
              <w:spacing w:line="360" w:lineRule="auto"/>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92BDD03" w14:textId="77777777" w:rsidR="00636162" w:rsidRPr="00E33237" w:rsidRDefault="00636162" w:rsidP="00793266">
            <w:pPr>
              <w:pStyle w:val="Imprint"/>
              <w:spacing w:line="360" w:lineRule="auto"/>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42CA8811" w14:textId="77777777" w:rsidR="00636162" w:rsidRDefault="00636162" w:rsidP="00793266">
            <w:pPr>
              <w:pStyle w:val="Imprint"/>
              <w:spacing w:line="360" w:lineRule="auto"/>
            </w:pPr>
            <w:r w:rsidRPr="0055119B">
              <w:t>ISBN</w:t>
            </w:r>
            <w:r>
              <w:rPr>
                <w:rFonts w:cs="Arial"/>
                <w:color w:val="000000"/>
              </w:rPr>
              <w:t xml:space="preserve"> </w:t>
            </w:r>
            <w:r w:rsidRPr="00A8223C">
              <w:t>978-1-76130-699-0</w:t>
            </w:r>
            <w:r>
              <w:rPr>
                <w:rFonts w:cs="Arial"/>
                <w:color w:val="000000"/>
              </w:rPr>
              <w:t xml:space="preserve"> </w:t>
            </w:r>
            <w:r>
              <w:rPr>
                <w:rFonts w:cs="Arial"/>
                <w:b/>
                <w:bCs/>
                <w:color w:val="000000"/>
              </w:rPr>
              <w:t>(pdf/online/MS word)</w:t>
            </w:r>
          </w:p>
          <w:p w14:paraId="6ED2D50E" w14:textId="77777777" w:rsidR="00636162" w:rsidRDefault="00636162" w:rsidP="00793266">
            <w:pPr>
              <w:pStyle w:val="Imprint"/>
              <w:spacing w:line="360" w:lineRule="auto"/>
            </w:pPr>
            <w:r w:rsidRPr="0055119B">
              <w:t xml:space="preserve">Available at </w:t>
            </w:r>
            <w:hyperlink r:id="rId28" w:history="1">
              <w:r w:rsidRPr="005273A5">
                <w:rPr>
                  <w:rStyle w:val="Hyperlink"/>
                </w:rPr>
                <w:t>vic.gov.au/</w:t>
              </w:r>
              <w:proofErr w:type="spellStart"/>
              <w:r w:rsidRPr="005273A5">
                <w:rPr>
                  <w:rStyle w:val="Hyperlink"/>
                </w:rPr>
                <w:t>ssr</w:t>
              </w:r>
              <w:proofErr w:type="spellEnd"/>
              <w:r w:rsidRPr="005273A5">
                <w:rPr>
                  <w:rStyle w:val="Hyperlink"/>
                </w:rPr>
                <w:t>-reporting-notifiable-incident</w:t>
              </w:r>
            </w:hyperlink>
            <w:r>
              <w:t xml:space="preserve"> </w:t>
            </w:r>
          </w:p>
        </w:tc>
      </w:tr>
    </w:tbl>
    <w:p w14:paraId="2C078E63" w14:textId="68163873" w:rsidR="00636162" w:rsidRDefault="00636162" w:rsidP="00793266">
      <w:pPr>
        <w:pStyle w:val="Body"/>
        <w:spacing w:line="360" w:lineRule="auto"/>
      </w:pPr>
    </w:p>
    <w:p w14:paraId="6578E1AF" w14:textId="1DF08CD0" w:rsidR="005A11D3" w:rsidRDefault="005A11D3" w:rsidP="00793266">
      <w:pPr>
        <w:pStyle w:val="Body"/>
        <w:spacing w:line="360" w:lineRule="auto"/>
      </w:pPr>
      <w:r>
        <w:t>Ends</w:t>
      </w:r>
    </w:p>
    <w:p w14:paraId="1E4139F9" w14:textId="5B501513" w:rsidR="08EB5346" w:rsidRDefault="08EB5346" w:rsidP="00793266">
      <w:pPr>
        <w:pStyle w:val="Body"/>
        <w:spacing w:line="360" w:lineRule="auto"/>
      </w:pPr>
    </w:p>
    <w:sectPr w:rsidR="08EB5346"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13980" w14:textId="77777777" w:rsidR="008337A1" w:rsidRDefault="008337A1">
      <w:r>
        <w:separator/>
      </w:r>
    </w:p>
    <w:p w14:paraId="7727B997" w14:textId="77777777" w:rsidR="008337A1" w:rsidRDefault="008337A1"/>
  </w:endnote>
  <w:endnote w:type="continuationSeparator" w:id="0">
    <w:p w14:paraId="27F9C2A7" w14:textId="77777777" w:rsidR="008337A1" w:rsidRDefault="008337A1">
      <w:r>
        <w:continuationSeparator/>
      </w:r>
    </w:p>
    <w:p w14:paraId="33AD3C2A" w14:textId="77777777" w:rsidR="008337A1" w:rsidRDefault="008337A1"/>
  </w:endnote>
  <w:endnote w:type="continuationNotice" w:id="1">
    <w:p w14:paraId="005B113B" w14:textId="77777777" w:rsidR="008337A1" w:rsidRDefault="00833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r>
      <w:rPr>
        <w:noProof/>
        <w:lang w:eastAsia="en-AU"/>
      </w:rPr>
      <w:drawing>
        <wp:anchor distT="0" distB="0" distL="114300" distR="114300" simplePos="0" relativeHeight="251658240"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905975729" name="Picture 90597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1"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r>
      <w:rPr>
        <w:noProof/>
      </w:rPr>
      <mc:AlternateContent>
        <mc:Choice Requires="wps">
          <w:drawing>
            <wp:anchor distT="0" distB="0" distL="114300" distR="114300" simplePos="0" relativeHeight="25165824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r>
      <w:rPr>
        <w:noProof/>
        <w:lang w:eastAsia="en-AU"/>
      </w:rPr>
      <mc:AlternateContent>
        <mc:Choice Requires="wps">
          <w:drawing>
            <wp:anchor distT="0" distB="0" distL="114300" distR="114300" simplePos="0" relativeHeight="251658243"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C7861" w14:textId="77777777" w:rsidR="008337A1" w:rsidRDefault="008337A1" w:rsidP="00207717">
      <w:pPr>
        <w:spacing w:before="120"/>
      </w:pPr>
      <w:r>
        <w:separator/>
      </w:r>
    </w:p>
  </w:footnote>
  <w:footnote w:type="continuationSeparator" w:id="0">
    <w:p w14:paraId="14695D5B" w14:textId="77777777" w:rsidR="008337A1" w:rsidRDefault="008337A1">
      <w:r>
        <w:continuationSeparator/>
      </w:r>
    </w:p>
    <w:p w14:paraId="292F2E26" w14:textId="77777777" w:rsidR="008337A1" w:rsidRDefault="008337A1"/>
  </w:footnote>
  <w:footnote w:type="continuationNotice" w:id="1">
    <w:p w14:paraId="29F61D1F" w14:textId="77777777" w:rsidR="008337A1" w:rsidRDefault="00833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8B73B72" w:rsidR="00E261B3" w:rsidRPr="0051568D" w:rsidRDefault="007D6308" w:rsidP="0017674D">
    <w:r>
      <w:t>Reporting notifiable incidents</w:t>
    </w:r>
    <w:r w:rsidR="00B14B5F">
      <w:ptab w:relativeTo="margin" w:alignment="right" w:leader="none"/>
    </w:r>
    <w:r w:rsidR="00B14B5F" w:rsidRPr="00DE6C85">
      <w:rPr>
        <w:b/>
        <w:bCs/>
      </w:rPr>
      <w:fldChar w:fldCharType="begin"/>
    </w:r>
    <w:r w:rsidR="00B14B5F" w:rsidRPr="00DE6C85">
      <w:rPr>
        <w:bCs/>
      </w:rPr>
      <w:instrText xml:space="preserve"> PAGE </w:instrText>
    </w:r>
    <w:r w:rsidR="00B14B5F" w:rsidRPr="00DE6C85">
      <w:rPr>
        <w:b/>
        <w:bCs/>
      </w:rPr>
      <w:fldChar w:fldCharType="separate"/>
    </w:r>
    <w:r w:rsidR="00B14B5F" w:rsidRPr="00DE6C85">
      <w:rPr>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464D"/>
    <w:multiLevelType w:val="hybridMultilevel"/>
    <w:tmpl w:val="7A06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8707F"/>
    <w:multiLevelType w:val="hybridMultilevel"/>
    <w:tmpl w:val="344E0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627FFC"/>
    <w:multiLevelType w:val="hybridMultilevel"/>
    <w:tmpl w:val="365E1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0568EF"/>
    <w:multiLevelType w:val="hybridMultilevel"/>
    <w:tmpl w:val="9A54F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66FFC"/>
    <w:multiLevelType w:val="hybridMultilevel"/>
    <w:tmpl w:val="B3241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848FD"/>
    <w:multiLevelType w:val="multilevel"/>
    <w:tmpl w:val="97B0D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A6FF7"/>
    <w:multiLevelType w:val="hybridMultilevel"/>
    <w:tmpl w:val="F39A0E72"/>
    <w:lvl w:ilvl="0" w:tplc="A71EDE4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ED0EEB"/>
    <w:multiLevelType w:val="multilevel"/>
    <w:tmpl w:val="672A3116"/>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9FA6552"/>
    <w:multiLevelType w:val="hybridMultilevel"/>
    <w:tmpl w:val="B06EE3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2E2207"/>
    <w:multiLevelType w:val="hybridMultilevel"/>
    <w:tmpl w:val="4336C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BCA068B"/>
    <w:multiLevelType w:val="hybridMultilevel"/>
    <w:tmpl w:val="BE3CA1C8"/>
    <w:lvl w:ilvl="0" w:tplc="A71EDE48">
      <w:start w:val="8"/>
      <w:numFmt w:val="bullet"/>
      <w:lvlText w:val="-"/>
      <w:lvlJc w:val="left"/>
      <w:pPr>
        <w:ind w:left="720" w:hanging="360"/>
      </w:pPr>
      <w:rPr>
        <w:rFonts w:ascii="Arial" w:eastAsia="Times New Roman" w:hAnsi="Arial" w:cs="Arial" w:hint="default"/>
      </w:rPr>
    </w:lvl>
    <w:lvl w:ilvl="1" w:tplc="FFFFFFFF">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FD5509"/>
    <w:multiLevelType w:val="hybridMultilevel"/>
    <w:tmpl w:val="90F4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190354"/>
    <w:multiLevelType w:val="hybridMultilevel"/>
    <w:tmpl w:val="50B49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516D0"/>
    <w:multiLevelType w:val="hybridMultilevel"/>
    <w:tmpl w:val="E17CDBD2"/>
    <w:lvl w:ilvl="0" w:tplc="1E3C2C38">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D05D2"/>
    <w:multiLevelType w:val="hybridMultilevel"/>
    <w:tmpl w:val="EF5AEEF4"/>
    <w:lvl w:ilvl="0" w:tplc="A71EDE4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B52E4"/>
    <w:multiLevelType w:val="hybridMultilevel"/>
    <w:tmpl w:val="68EA4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892350"/>
    <w:multiLevelType w:val="hybridMultilevel"/>
    <w:tmpl w:val="E13A13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74381E"/>
    <w:multiLevelType w:val="hybridMultilevel"/>
    <w:tmpl w:val="4DF65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260C70"/>
    <w:multiLevelType w:val="hybridMultilevel"/>
    <w:tmpl w:val="BC4A0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7305E6"/>
    <w:multiLevelType w:val="hybridMultilevel"/>
    <w:tmpl w:val="EDA0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90DE8"/>
    <w:multiLevelType w:val="hybridMultilevel"/>
    <w:tmpl w:val="A724A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441BE7"/>
    <w:multiLevelType w:val="hybridMultilevel"/>
    <w:tmpl w:val="5D3AF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9B74E4"/>
    <w:multiLevelType w:val="hybridMultilevel"/>
    <w:tmpl w:val="5BF8C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B26606"/>
    <w:multiLevelType w:val="hybridMultilevel"/>
    <w:tmpl w:val="04C8E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F5140FE"/>
    <w:multiLevelType w:val="hybridMultilevel"/>
    <w:tmpl w:val="B728E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3A65B7"/>
    <w:multiLevelType w:val="hybridMultilevel"/>
    <w:tmpl w:val="C59EEF7C"/>
    <w:lvl w:ilvl="0" w:tplc="A71EDE4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C7048B"/>
    <w:multiLevelType w:val="hybridMultilevel"/>
    <w:tmpl w:val="863C1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383C99"/>
    <w:multiLevelType w:val="hybridMultilevel"/>
    <w:tmpl w:val="112AD024"/>
    <w:lvl w:ilvl="0" w:tplc="1E3C2C38">
      <w:numFmt w:val="bullet"/>
      <w:lvlText w:val="•"/>
      <w:lvlJc w:val="left"/>
      <w:pPr>
        <w:ind w:left="1440" w:hanging="72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743814"/>
    <w:multiLevelType w:val="hybridMultilevel"/>
    <w:tmpl w:val="47921C92"/>
    <w:lvl w:ilvl="0" w:tplc="FFFFFFFF">
      <w:start w:val="1"/>
      <w:numFmt w:val="bullet"/>
      <w:lvlText w:val=""/>
      <w:lvlJc w:val="left"/>
      <w:pPr>
        <w:ind w:left="720" w:hanging="360"/>
      </w:pPr>
      <w:rPr>
        <w:rFonts w:ascii="Symbol" w:hAnsi="Symbol" w:hint="default"/>
      </w:rPr>
    </w:lvl>
    <w:lvl w:ilvl="1" w:tplc="A71EDE48">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3660A5D"/>
    <w:multiLevelType w:val="multilevel"/>
    <w:tmpl w:val="9EE06B42"/>
    <w:lvl w:ilvl="0">
      <w:start w:val="1"/>
      <w:numFmt w:val="bullet"/>
      <w:lvlText w:val=""/>
      <w:lvlJc w:val="left"/>
      <w:pPr>
        <w:tabs>
          <w:tab w:val="num" w:pos="397"/>
        </w:tabs>
        <w:ind w:left="397" w:hanging="397"/>
      </w:pPr>
      <w:rPr>
        <w:rFonts w:ascii="Symbol" w:hAnsi="Symbol"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468257C"/>
    <w:multiLevelType w:val="hybridMultilevel"/>
    <w:tmpl w:val="F4F02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8D1575"/>
    <w:multiLevelType w:val="hybridMultilevel"/>
    <w:tmpl w:val="ADF06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3A4EC8"/>
    <w:multiLevelType w:val="hybridMultilevel"/>
    <w:tmpl w:val="06B82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77459A"/>
    <w:multiLevelType w:val="hybridMultilevel"/>
    <w:tmpl w:val="F36E7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AE7509"/>
    <w:multiLevelType w:val="multilevel"/>
    <w:tmpl w:val="5F1C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EB5678"/>
    <w:multiLevelType w:val="hybridMultilevel"/>
    <w:tmpl w:val="148A5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6499732">
    <w:abstractNumId w:val="23"/>
  </w:num>
  <w:num w:numId="2" w16cid:durableId="620889137">
    <w:abstractNumId w:val="33"/>
  </w:num>
  <w:num w:numId="3" w16cid:durableId="1586377817">
    <w:abstractNumId w:val="31"/>
  </w:num>
  <w:num w:numId="4" w16cid:durableId="496849498">
    <w:abstractNumId w:val="34"/>
  </w:num>
  <w:num w:numId="5" w16cid:durableId="767576029">
    <w:abstractNumId w:val="26"/>
  </w:num>
  <w:num w:numId="6" w16cid:durableId="1279681164">
    <w:abstractNumId w:val="10"/>
  </w:num>
  <w:num w:numId="7" w16cid:durableId="1639265705">
    <w:abstractNumId w:val="8"/>
  </w:num>
  <w:num w:numId="8" w16cid:durableId="1707219888">
    <w:abstractNumId w:val="39"/>
  </w:num>
  <w:num w:numId="9" w16cid:durableId="312416304">
    <w:abstractNumId w:val="13"/>
  </w:num>
  <w:num w:numId="10" w16cid:durableId="1955669898">
    <w:abstractNumId w:val="0"/>
  </w:num>
  <w:num w:numId="11" w16cid:durableId="1469585802">
    <w:abstractNumId w:val="4"/>
  </w:num>
  <w:num w:numId="12" w16cid:durableId="1664120724">
    <w:abstractNumId w:val="21"/>
  </w:num>
  <w:num w:numId="13" w16cid:durableId="1613434149">
    <w:abstractNumId w:val="41"/>
  </w:num>
  <w:num w:numId="14" w16cid:durableId="607542709">
    <w:abstractNumId w:val="17"/>
  </w:num>
  <w:num w:numId="15" w16cid:durableId="349260196">
    <w:abstractNumId w:val="29"/>
  </w:num>
  <w:num w:numId="16" w16cid:durableId="2010211088">
    <w:abstractNumId w:val="7"/>
  </w:num>
  <w:num w:numId="17" w16cid:durableId="417361783">
    <w:abstractNumId w:val="37"/>
  </w:num>
  <w:num w:numId="18" w16cid:durableId="2092386917">
    <w:abstractNumId w:val="19"/>
  </w:num>
  <w:num w:numId="19" w16cid:durableId="901133365">
    <w:abstractNumId w:val="1"/>
  </w:num>
  <w:num w:numId="20" w16cid:durableId="594555585">
    <w:abstractNumId w:val="6"/>
  </w:num>
  <w:num w:numId="21" w16cid:durableId="779836009">
    <w:abstractNumId w:val="25"/>
  </w:num>
  <w:num w:numId="22" w16cid:durableId="364066602">
    <w:abstractNumId w:val="2"/>
  </w:num>
  <w:num w:numId="23" w16cid:durableId="860626194">
    <w:abstractNumId w:val="36"/>
  </w:num>
  <w:num w:numId="24" w16cid:durableId="1452934939">
    <w:abstractNumId w:val="28"/>
  </w:num>
  <w:num w:numId="25" w16cid:durableId="1401634006">
    <w:abstractNumId w:val="16"/>
  </w:num>
  <w:num w:numId="26" w16cid:durableId="511915859">
    <w:abstractNumId w:val="32"/>
  </w:num>
  <w:num w:numId="27" w16cid:durableId="792207831">
    <w:abstractNumId w:val="11"/>
  </w:num>
  <w:num w:numId="28" w16cid:durableId="279340303">
    <w:abstractNumId w:val="15"/>
  </w:num>
  <w:num w:numId="29" w16cid:durableId="1237473072">
    <w:abstractNumId w:val="14"/>
  </w:num>
  <w:num w:numId="30" w16cid:durableId="2082167318">
    <w:abstractNumId w:val="30"/>
  </w:num>
  <w:num w:numId="31" w16cid:durableId="1307472236">
    <w:abstractNumId w:val="12"/>
  </w:num>
  <w:num w:numId="32" w16cid:durableId="852691856">
    <w:abstractNumId w:val="24"/>
  </w:num>
  <w:num w:numId="33" w16cid:durableId="1883203742">
    <w:abstractNumId w:val="18"/>
  </w:num>
  <w:num w:numId="34" w16cid:durableId="346950601">
    <w:abstractNumId w:val="22"/>
  </w:num>
  <w:num w:numId="35" w16cid:durableId="516041226">
    <w:abstractNumId w:val="38"/>
  </w:num>
  <w:num w:numId="36" w16cid:durableId="1055354888">
    <w:abstractNumId w:val="20"/>
  </w:num>
  <w:num w:numId="37" w16cid:durableId="1168984564">
    <w:abstractNumId w:val="35"/>
  </w:num>
  <w:num w:numId="38" w16cid:durableId="636031813">
    <w:abstractNumId w:val="40"/>
  </w:num>
  <w:num w:numId="39" w16cid:durableId="1747074892">
    <w:abstractNumId w:val="5"/>
  </w:num>
  <w:num w:numId="40" w16cid:durableId="1764759774">
    <w:abstractNumId w:val="27"/>
  </w:num>
  <w:num w:numId="41" w16cid:durableId="2033410020">
    <w:abstractNumId w:val="9"/>
  </w:num>
  <w:num w:numId="42" w16cid:durableId="203707470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3D6B54"/>
    <w:rsid w:val="00000719"/>
    <w:rsid w:val="00001FFC"/>
    <w:rsid w:val="00002D68"/>
    <w:rsid w:val="00003403"/>
    <w:rsid w:val="00004475"/>
    <w:rsid w:val="00005347"/>
    <w:rsid w:val="000072B6"/>
    <w:rsid w:val="00007B98"/>
    <w:rsid w:val="0001021B"/>
    <w:rsid w:val="00011D89"/>
    <w:rsid w:val="00011FEA"/>
    <w:rsid w:val="000153C4"/>
    <w:rsid w:val="000154FD"/>
    <w:rsid w:val="00022271"/>
    <w:rsid w:val="000235E8"/>
    <w:rsid w:val="00024D89"/>
    <w:rsid w:val="000250B6"/>
    <w:rsid w:val="0002513D"/>
    <w:rsid w:val="00026A8F"/>
    <w:rsid w:val="000271D8"/>
    <w:rsid w:val="000301B7"/>
    <w:rsid w:val="000316FD"/>
    <w:rsid w:val="00033D81"/>
    <w:rsid w:val="00035BCB"/>
    <w:rsid w:val="00037366"/>
    <w:rsid w:val="0004071F"/>
    <w:rsid w:val="00041BF0"/>
    <w:rsid w:val="00042C8A"/>
    <w:rsid w:val="00042F92"/>
    <w:rsid w:val="0004536B"/>
    <w:rsid w:val="00046B68"/>
    <w:rsid w:val="000470D9"/>
    <w:rsid w:val="000526F7"/>
    <w:rsid w:val="000527DD"/>
    <w:rsid w:val="00053E40"/>
    <w:rsid w:val="000578B2"/>
    <w:rsid w:val="00060959"/>
    <w:rsid w:val="00060C8F"/>
    <w:rsid w:val="0006298A"/>
    <w:rsid w:val="000643BD"/>
    <w:rsid w:val="000663CD"/>
    <w:rsid w:val="0006680B"/>
    <w:rsid w:val="00066E36"/>
    <w:rsid w:val="000733FE"/>
    <w:rsid w:val="00074219"/>
    <w:rsid w:val="00074ED5"/>
    <w:rsid w:val="0008508E"/>
    <w:rsid w:val="00086557"/>
    <w:rsid w:val="00087951"/>
    <w:rsid w:val="0009050A"/>
    <w:rsid w:val="0009113B"/>
    <w:rsid w:val="000916E0"/>
    <w:rsid w:val="00093402"/>
    <w:rsid w:val="00094DA3"/>
    <w:rsid w:val="00096CD1"/>
    <w:rsid w:val="00097F67"/>
    <w:rsid w:val="000A012C"/>
    <w:rsid w:val="000A0EB9"/>
    <w:rsid w:val="000A186C"/>
    <w:rsid w:val="000A1EA4"/>
    <w:rsid w:val="000A2476"/>
    <w:rsid w:val="000A641A"/>
    <w:rsid w:val="000B1038"/>
    <w:rsid w:val="000B2117"/>
    <w:rsid w:val="000B305B"/>
    <w:rsid w:val="000B3A2A"/>
    <w:rsid w:val="000B3EDB"/>
    <w:rsid w:val="000B543D"/>
    <w:rsid w:val="000B55B6"/>
    <w:rsid w:val="000B55F9"/>
    <w:rsid w:val="000B5BF7"/>
    <w:rsid w:val="000B6BC8"/>
    <w:rsid w:val="000C0303"/>
    <w:rsid w:val="000C25B2"/>
    <w:rsid w:val="000C27BE"/>
    <w:rsid w:val="000C42EA"/>
    <w:rsid w:val="000C4546"/>
    <w:rsid w:val="000D1242"/>
    <w:rsid w:val="000D7620"/>
    <w:rsid w:val="000E075A"/>
    <w:rsid w:val="000E0970"/>
    <w:rsid w:val="000E18B0"/>
    <w:rsid w:val="000E3CC7"/>
    <w:rsid w:val="000E5AFA"/>
    <w:rsid w:val="000E6BD4"/>
    <w:rsid w:val="000E6D6D"/>
    <w:rsid w:val="000F12BC"/>
    <w:rsid w:val="000F1F1E"/>
    <w:rsid w:val="000F2259"/>
    <w:rsid w:val="000F2DDA"/>
    <w:rsid w:val="000F2EA0"/>
    <w:rsid w:val="000F43FE"/>
    <w:rsid w:val="000F5213"/>
    <w:rsid w:val="000F57C1"/>
    <w:rsid w:val="000F6895"/>
    <w:rsid w:val="00101001"/>
    <w:rsid w:val="00103276"/>
    <w:rsid w:val="0010392D"/>
    <w:rsid w:val="0010447F"/>
    <w:rsid w:val="00104FE3"/>
    <w:rsid w:val="00105291"/>
    <w:rsid w:val="00105742"/>
    <w:rsid w:val="0010714F"/>
    <w:rsid w:val="001078D5"/>
    <w:rsid w:val="001120C5"/>
    <w:rsid w:val="00114B7F"/>
    <w:rsid w:val="00115D75"/>
    <w:rsid w:val="00116FBD"/>
    <w:rsid w:val="00120BD3"/>
    <w:rsid w:val="001223CA"/>
    <w:rsid w:val="0012283B"/>
    <w:rsid w:val="00122C6F"/>
    <w:rsid w:val="00122FEA"/>
    <w:rsid w:val="001232BD"/>
    <w:rsid w:val="00124ED5"/>
    <w:rsid w:val="0012609A"/>
    <w:rsid w:val="001276FA"/>
    <w:rsid w:val="00130ABD"/>
    <w:rsid w:val="0013638F"/>
    <w:rsid w:val="00136C39"/>
    <w:rsid w:val="00142EF4"/>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0BC"/>
    <w:rsid w:val="00197968"/>
    <w:rsid w:val="001979FF"/>
    <w:rsid w:val="00197B17"/>
    <w:rsid w:val="001A1950"/>
    <w:rsid w:val="001A1C54"/>
    <w:rsid w:val="001A1E95"/>
    <w:rsid w:val="001A1F2E"/>
    <w:rsid w:val="001A202A"/>
    <w:rsid w:val="001A3ACE"/>
    <w:rsid w:val="001B058F"/>
    <w:rsid w:val="001B214F"/>
    <w:rsid w:val="001B4F8C"/>
    <w:rsid w:val="001B5738"/>
    <w:rsid w:val="001B66F5"/>
    <w:rsid w:val="001B6B96"/>
    <w:rsid w:val="001B7228"/>
    <w:rsid w:val="001B738B"/>
    <w:rsid w:val="001C09DB"/>
    <w:rsid w:val="001C16B9"/>
    <w:rsid w:val="001C20B7"/>
    <w:rsid w:val="001C277E"/>
    <w:rsid w:val="001C2A72"/>
    <w:rsid w:val="001C31B7"/>
    <w:rsid w:val="001C44F5"/>
    <w:rsid w:val="001D0B1A"/>
    <w:rsid w:val="001D0B75"/>
    <w:rsid w:val="001D39A5"/>
    <w:rsid w:val="001D3C09"/>
    <w:rsid w:val="001D44E8"/>
    <w:rsid w:val="001D5BFB"/>
    <w:rsid w:val="001D60EC"/>
    <w:rsid w:val="001D6F59"/>
    <w:rsid w:val="001E44DF"/>
    <w:rsid w:val="001E5C3D"/>
    <w:rsid w:val="001E68A5"/>
    <w:rsid w:val="001E6BB0"/>
    <w:rsid w:val="001E7282"/>
    <w:rsid w:val="001F3826"/>
    <w:rsid w:val="001F579D"/>
    <w:rsid w:val="001F6E46"/>
    <w:rsid w:val="001F7C91"/>
    <w:rsid w:val="00201D49"/>
    <w:rsid w:val="002033B7"/>
    <w:rsid w:val="00206463"/>
    <w:rsid w:val="00206F2F"/>
    <w:rsid w:val="00207717"/>
    <w:rsid w:val="0021053D"/>
    <w:rsid w:val="00210A92"/>
    <w:rsid w:val="0021176D"/>
    <w:rsid w:val="00216C03"/>
    <w:rsid w:val="00220C04"/>
    <w:rsid w:val="0022278D"/>
    <w:rsid w:val="00222EB8"/>
    <w:rsid w:val="00226762"/>
    <w:rsid w:val="0022701F"/>
    <w:rsid w:val="00227C68"/>
    <w:rsid w:val="0023053A"/>
    <w:rsid w:val="00230A02"/>
    <w:rsid w:val="00233311"/>
    <w:rsid w:val="002333F5"/>
    <w:rsid w:val="00233724"/>
    <w:rsid w:val="002365B4"/>
    <w:rsid w:val="0023724F"/>
    <w:rsid w:val="00242378"/>
    <w:rsid w:val="002432E1"/>
    <w:rsid w:val="00245B93"/>
    <w:rsid w:val="00246207"/>
    <w:rsid w:val="00246C5E"/>
    <w:rsid w:val="00250960"/>
    <w:rsid w:val="00250DC4"/>
    <w:rsid w:val="00251343"/>
    <w:rsid w:val="002536A4"/>
    <w:rsid w:val="00254F58"/>
    <w:rsid w:val="002620BC"/>
    <w:rsid w:val="00262802"/>
    <w:rsid w:val="00263A90"/>
    <w:rsid w:val="0026408B"/>
    <w:rsid w:val="00267C3E"/>
    <w:rsid w:val="002709BB"/>
    <w:rsid w:val="00270A70"/>
    <w:rsid w:val="0027131C"/>
    <w:rsid w:val="00273BAC"/>
    <w:rsid w:val="002763B3"/>
    <w:rsid w:val="00277087"/>
    <w:rsid w:val="00277C7A"/>
    <w:rsid w:val="002802E3"/>
    <w:rsid w:val="00280C4B"/>
    <w:rsid w:val="0028213D"/>
    <w:rsid w:val="002827B4"/>
    <w:rsid w:val="00285B06"/>
    <w:rsid w:val="002862F1"/>
    <w:rsid w:val="0028749A"/>
    <w:rsid w:val="00290FCF"/>
    <w:rsid w:val="00291373"/>
    <w:rsid w:val="002923EE"/>
    <w:rsid w:val="00292C84"/>
    <w:rsid w:val="00294A7D"/>
    <w:rsid w:val="0029523B"/>
    <w:rsid w:val="0029597D"/>
    <w:rsid w:val="002962C3"/>
    <w:rsid w:val="0029752B"/>
    <w:rsid w:val="002A05CF"/>
    <w:rsid w:val="002A0A9C"/>
    <w:rsid w:val="002A483C"/>
    <w:rsid w:val="002A689B"/>
    <w:rsid w:val="002B0C7C"/>
    <w:rsid w:val="002B1729"/>
    <w:rsid w:val="002B36C7"/>
    <w:rsid w:val="002B4DD4"/>
    <w:rsid w:val="002B5277"/>
    <w:rsid w:val="002B5375"/>
    <w:rsid w:val="002B77C1"/>
    <w:rsid w:val="002C0094"/>
    <w:rsid w:val="002C0ED7"/>
    <w:rsid w:val="002C2728"/>
    <w:rsid w:val="002C4EE2"/>
    <w:rsid w:val="002C7FC1"/>
    <w:rsid w:val="002D1D57"/>
    <w:rsid w:val="002D1E0D"/>
    <w:rsid w:val="002D5006"/>
    <w:rsid w:val="002D7006"/>
    <w:rsid w:val="002E01D0"/>
    <w:rsid w:val="002E161D"/>
    <w:rsid w:val="002E3100"/>
    <w:rsid w:val="002E6C95"/>
    <w:rsid w:val="002E7C36"/>
    <w:rsid w:val="002F30E8"/>
    <w:rsid w:val="002F386D"/>
    <w:rsid w:val="002F3ADF"/>
    <w:rsid w:val="002F3B7F"/>
    <w:rsid w:val="002F3D32"/>
    <w:rsid w:val="002F3DD6"/>
    <w:rsid w:val="002F5F31"/>
    <w:rsid w:val="002F5F46"/>
    <w:rsid w:val="002F6369"/>
    <w:rsid w:val="00300AC1"/>
    <w:rsid w:val="00302216"/>
    <w:rsid w:val="00303E53"/>
    <w:rsid w:val="003052B0"/>
    <w:rsid w:val="00305CC1"/>
    <w:rsid w:val="003069D3"/>
    <w:rsid w:val="00306E5F"/>
    <w:rsid w:val="00307E14"/>
    <w:rsid w:val="003130B6"/>
    <w:rsid w:val="00314054"/>
    <w:rsid w:val="00316F27"/>
    <w:rsid w:val="003214F1"/>
    <w:rsid w:val="00322E4B"/>
    <w:rsid w:val="003252EE"/>
    <w:rsid w:val="00327870"/>
    <w:rsid w:val="00330824"/>
    <w:rsid w:val="0033259D"/>
    <w:rsid w:val="003333D2"/>
    <w:rsid w:val="00337290"/>
    <w:rsid w:val="00337339"/>
    <w:rsid w:val="003406C6"/>
    <w:rsid w:val="003418CC"/>
    <w:rsid w:val="003459BD"/>
    <w:rsid w:val="00350D38"/>
    <w:rsid w:val="00351405"/>
    <w:rsid w:val="003518E3"/>
    <w:rsid w:val="00351948"/>
    <w:rsid w:val="00351B36"/>
    <w:rsid w:val="00352441"/>
    <w:rsid w:val="003530B6"/>
    <w:rsid w:val="00357226"/>
    <w:rsid w:val="00357B4E"/>
    <w:rsid w:val="00362B65"/>
    <w:rsid w:val="003665A0"/>
    <w:rsid w:val="003716FD"/>
    <w:rsid w:val="0037204B"/>
    <w:rsid w:val="003744CF"/>
    <w:rsid w:val="00374717"/>
    <w:rsid w:val="00376706"/>
    <w:rsid w:val="0037676C"/>
    <w:rsid w:val="00377A1A"/>
    <w:rsid w:val="00381043"/>
    <w:rsid w:val="00381615"/>
    <w:rsid w:val="003829E5"/>
    <w:rsid w:val="0038376A"/>
    <w:rsid w:val="00384527"/>
    <w:rsid w:val="0038475F"/>
    <w:rsid w:val="00386109"/>
    <w:rsid w:val="00386482"/>
    <w:rsid w:val="00386944"/>
    <w:rsid w:val="0039409D"/>
    <w:rsid w:val="003956CC"/>
    <w:rsid w:val="00395C9A"/>
    <w:rsid w:val="003A04E1"/>
    <w:rsid w:val="003A0853"/>
    <w:rsid w:val="003A525F"/>
    <w:rsid w:val="003A6B67"/>
    <w:rsid w:val="003A6BEF"/>
    <w:rsid w:val="003B0B01"/>
    <w:rsid w:val="003B13B6"/>
    <w:rsid w:val="003B14C3"/>
    <w:rsid w:val="003B15E6"/>
    <w:rsid w:val="003B1BDC"/>
    <w:rsid w:val="003B408A"/>
    <w:rsid w:val="003C08A2"/>
    <w:rsid w:val="003C2045"/>
    <w:rsid w:val="003C30BB"/>
    <w:rsid w:val="003C43A1"/>
    <w:rsid w:val="003C4FC0"/>
    <w:rsid w:val="003C55F4"/>
    <w:rsid w:val="003C7897"/>
    <w:rsid w:val="003C7A3F"/>
    <w:rsid w:val="003D2766"/>
    <w:rsid w:val="003D2A74"/>
    <w:rsid w:val="003D3E8F"/>
    <w:rsid w:val="003D6475"/>
    <w:rsid w:val="003D6EE6"/>
    <w:rsid w:val="003D7000"/>
    <w:rsid w:val="003D7E30"/>
    <w:rsid w:val="003E33D1"/>
    <w:rsid w:val="003E375C"/>
    <w:rsid w:val="003E39D7"/>
    <w:rsid w:val="003E4086"/>
    <w:rsid w:val="003E4C9A"/>
    <w:rsid w:val="003E639E"/>
    <w:rsid w:val="003E71E5"/>
    <w:rsid w:val="003F0445"/>
    <w:rsid w:val="003F0CF0"/>
    <w:rsid w:val="003F14B1"/>
    <w:rsid w:val="003F2B20"/>
    <w:rsid w:val="003F3289"/>
    <w:rsid w:val="003F3C62"/>
    <w:rsid w:val="003F5CB9"/>
    <w:rsid w:val="004013C7"/>
    <w:rsid w:val="00401FCF"/>
    <w:rsid w:val="00401FD1"/>
    <w:rsid w:val="00406157"/>
    <w:rsid w:val="00406285"/>
    <w:rsid w:val="00412336"/>
    <w:rsid w:val="0041280D"/>
    <w:rsid w:val="004148F9"/>
    <w:rsid w:val="00416B4C"/>
    <w:rsid w:val="0042084E"/>
    <w:rsid w:val="00421EEF"/>
    <w:rsid w:val="00424D65"/>
    <w:rsid w:val="00430393"/>
    <w:rsid w:val="00431806"/>
    <w:rsid w:val="004350F9"/>
    <w:rsid w:val="00436699"/>
    <w:rsid w:val="004377EE"/>
    <w:rsid w:val="00437AC5"/>
    <w:rsid w:val="00442C6C"/>
    <w:rsid w:val="00443CBE"/>
    <w:rsid w:val="00443E8A"/>
    <w:rsid w:val="004441BC"/>
    <w:rsid w:val="004468B4"/>
    <w:rsid w:val="0045230A"/>
    <w:rsid w:val="00453CC1"/>
    <w:rsid w:val="00454AD0"/>
    <w:rsid w:val="00457337"/>
    <w:rsid w:val="00462E3D"/>
    <w:rsid w:val="0046440A"/>
    <w:rsid w:val="00466E79"/>
    <w:rsid w:val="00470D7D"/>
    <w:rsid w:val="00473464"/>
    <w:rsid w:val="0047372D"/>
    <w:rsid w:val="00473BA3"/>
    <w:rsid w:val="00473CD8"/>
    <w:rsid w:val="004743DD"/>
    <w:rsid w:val="00474CEA"/>
    <w:rsid w:val="00480103"/>
    <w:rsid w:val="00480EA5"/>
    <w:rsid w:val="0048348D"/>
    <w:rsid w:val="00483968"/>
    <w:rsid w:val="004841BE"/>
    <w:rsid w:val="00484451"/>
    <w:rsid w:val="00484F86"/>
    <w:rsid w:val="0048656F"/>
    <w:rsid w:val="00490746"/>
    <w:rsid w:val="00490852"/>
    <w:rsid w:val="00491C9C"/>
    <w:rsid w:val="00492F30"/>
    <w:rsid w:val="004946F4"/>
    <w:rsid w:val="0049487E"/>
    <w:rsid w:val="00495DC9"/>
    <w:rsid w:val="004A160D"/>
    <w:rsid w:val="004A3E81"/>
    <w:rsid w:val="004A4195"/>
    <w:rsid w:val="004A59C3"/>
    <w:rsid w:val="004A5C62"/>
    <w:rsid w:val="004A5CE5"/>
    <w:rsid w:val="004A62B9"/>
    <w:rsid w:val="004A707D"/>
    <w:rsid w:val="004B2353"/>
    <w:rsid w:val="004B3F9F"/>
    <w:rsid w:val="004B4185"/>
    <w:rsid w:val="004B5376"/>
    <w:rsid w:val="004C19E8"/>
    <w:rsid w:val="004C5541"/>
    <w:rsid w:val="004C6EEE"/>
    <w:rsid w:val="004C702B"/>
    <w:rsid w:val="004D0033"/>
    <w:rsid w:val="004D016B"/>
    <w:rsid w:val="004D1B22"/>
    <w:rsid w:val="004D23CC"/>
    <w:rsid w:val="004D36F2"/>
    <w:rsid w:val="004D7FCC"/>
    <w:rsid w:val="004E0003"/>
    <w:rsid w:val="004E1106"/>
    <w:rsid w:val="004E138F"/>
    <w:rsid w:val="004E1EA2"/>
    <w:rsid w:val="004E24EB"/>
    <w:rsid w:val="004E4649"/>
    <w:rsid w:val="004E5C2B"/>
    <w:rsid w:val="004E7570"/>
    <w:rsid w:val="004F00DD"/>
    <w:rsid w:val="004F12C3"/>
    <w:rsid w:val="004F2133"/>
    <w:rsid w:val="004F5398"/>
    <w:rsid w:val="004F55F1"/>
    <w:rsid w:val="004F6936"/>
    <w:rsid w:val="004F7B35"/>
    <w:rsid w:val="0050108D"/>
    <w:rsid w:val="00503DC6"/>
    <w:rsid w:val="00503FBD"/>
    <w:rsid w:val="00506F5D"/>
    <w:rsid w:val="00510C37"/>
    <w:rsid w:val="005126D0"/>
    <w:rsid w:val="00513078"/>
    <w:rsid w:val="00513109"/>
    <w:rsid w:val="00513161"/>
    <w:rsid w:val="00514667"/>
    <w:rsid w:val="0051568D"/>
    <w:rsid w:val="00515CE6"/>
    <w:rsid w:val="00526AC7"/>
    <w:rsid w:val="00526C15"/>
    <w:rsid w:val="00527479"/>
    <w:rsid w:val="00534796"/>
    <w:rsid w:val="00536499"/>
    <w:rsid w:val="00542A03"/>
    <w:rsid w:val="00543903"/>
    <w:rsid w:val="00543F11"/>
    <w:rsid w:val="00546305"/>
    <w:rsid w:val="00547A95"/>
    <w:rsid w:val="0055119B"/>
    <w:rsid w:val="00561202"/>
    <w:rsid w:val="005620A3"/>
    <w:rsid w:val="00564B41"/>
    <w:rsid w:val="0056729A"/>
    <w:rsid w:val="00572031"/>
    <w:rsid w:val="00572282"/>
    <w:rsid w:val="005724EE"/>
    <w:rsid w:val="00573CE3"/>
    <w:rsid w:val="00576029"/>
    <w:rsid w:val="00576E84"/>
    <w:rsid w:val="00580394"/>
    <w:rsid w:val="005809CD"/>
    <w:rsid w:val="00582B8C"/>
    <w:rsid w:val="0058757E"/>
    <w:rsid w:val="00587B69"/>
    <w:rsid w:val="00593A99"/>
    <w:rsid w:val="00594AD3"/>
    <w:rsid w:val="005952D2"/>
    <w:rsid w:val="00596A4B"/>
    <w:rsid w:val="00597507"/>
    <w:rsid w:val="005A11D3"/>
    <w:rsid w:val="005A12F2"/>
    <w:rsid w:val="005A2AF8"/>
    <w:rsid w:val="005A3CDA"/>
    <w:rsid w:val="005A479D"/>
    <w:rsid w:val="005B1C6D"/>
    <w:rsid w:val="005B21B6"/>
    <w:rsid w:val="005B3A08"/>
    <w:rsid w:val="005B7A63"/>
    <w:rsid w:val="005C0955"/>
    <w:rsid w:val="005C341C"/>
    <w:rsid w:val="005C3EDD"/>
    <w:rsid w:val="005C4027"/>
    <w:rsid w:val="005C49DA"/>
    <w:rsid w:val="005C50F3"/>
    <w:rsid w:val="005C54B5"/>
    <w:rsid w:val="005C5D80"/>
    <w:rsid w:val="005C5D91"/>
    <w:rsid w:val="005C656D"/>
    <w:rsid w:val="005D0537"/>
    <w:rsid w:val="005D07B8"/>
    <w:rsid w:val="005D0827"/>
    <w:rsid w:val="005D1125"/>
    <w:rsid w:val="005D2C3C"/>
    <w:rsid w:val="005D37F8"/>
    <w:rsid w:val="005D5392"/>
    <w:rsid w:val="005D6597"/>
    <w:rsid w:val="005E14E7"/>
    <w:rsid w:val="005E26A3"/>
    <w:rsid w:val="005E2ECB"/>
    <w:rsid w:val="005E2F30"/>
    <w:rsid w:val="005E42BA"/>
    <w:rsid w:val="005E447E"/>
    <w:rsid w:val="005E4A72"/>
    <w:rsid w:val="005E4FD1"/>
    <w:rsid w:val="005F0775"/>
    <w:rsid w:val="005F0CF5"/>
    <w:rsid w:val="005F1ECC"/>
    <w:rsid w:val="005F21EB"/>
    <w:rsid w:val="005F64CF"/>
    <w:rsid w:val="005F6C7D"/>
    <w:rsid w:val="006041AD"/>
    <w:rsid w:val="00605908"/>
    <w:rsid w:val="00606EB2"/>
    <w:rsid w:val="00607850"/>
    <w:rsid w:val="00610D7C"/>
    <w:rsid w:val="00613414"/>
    <w:rsid w:val="00620154"/>
    <w:rsid w:val="00623D7A"/>
    <w:rsid w:val="0062408D"/>
    <w:rsid w:val="006240CC"/>
    <w:rsid w:val="006241A7"/>
    <w:rsid w:val="00624940"/>
    <w:rsid w:val="006254F8"/>
    <w:rsid w:val="00625887"/>
    <w:rsid w:val="006269FB"/>
    <w:rsid w:val="00627DA7"/>
    <w:rsid w:val="00630438"/>
    <w:rsid w:val="00630DA4"/>
    <w:rsid w:val="00631CD4"/>
    <w:rsid w:val="00632597"/>
    <w:rsid w:val="00632BD5"/>
    <w:rsid w:val="006332F1"/>
    <w:rsid w:val="00634D13"/>
    <w:rsid w:val="006358B4"/>
    <w:rsid w:val="00636162"/>
    <w:rsid w:val="00640B6C"/>
    <w:rsid w:val="00641724"/>
    <w:rsid w:val="006419AA"/>
    <w:rsid w:val="00643606"/>
    <w:rsid w:val="00644B1F"/>
    <w:rsid w:val="00644B7E"/>
    <w:rsid w:val="006454E6"/>
    <w:rsid w:val="00645BCA"/>
    <w:rsid w:val="00646235"/>
    <w:rsid w:val="00646A68"/>
    <w:rsid w:val="006475B6"/>
    <w:rsid w:val="006505BD"/>
    <w:rsid w:val="006508EA"/>
    <w:rsid w:val="0065092E"/>
    <w:rsid w:val="006523D1"/>
    <w:rsid w:val="0065448C"/>
    <w:rsid w:val="006557A7"/>
    <w:rsid w:val="00656290"/>
    <w:rsid w:val="006572E2"/>
    <w:rsid w:val="006601C9"/>
    <w:rsid w:val="006608D8"/>
    <w:rsid w:val="00661C14"/>
    <w:rsid w:val="006621D7"/>
    <w:rsid w:val="0066302A"/>
    <w:rsid w:val="00667770"/>
    <w:rsid w:val="00670597"/>
    <w:rsid w:val="006706D0"/>
    <w:rsid w:val="00677574"/>
    <w:rsid w:val="00680CB7"/>
    <w:rsid w:val="00681794"/>
    <w:rsid w:val="00683878"/>
    <w:rsid w:val="0068454C"/>
    <w:rsid w:val="00691B62"/>
    <w:rsid w:val="00692267"/>
    <w:rsid w:val="006933B5"/>
    <w:rsid w:val="00693D14"/>
    <w:rsid w:val="006951A2"/>
    <w:rsid w:val="00695A93"/>
    <w:rsid w:val="0069668A"/>
    <w:rsid w:val="00696BA2"/>
    <w:rsid w:val="00696EA5"/>
    <w:rsid w:val="00696F27"/>
    <w:rsid w:val="006A0CA2"/>
    <w:rsid w:val="006A1245"/>
    <w:rsid w:val="006A149B"/>
    <w:rsid w:val="006A18C2"/>
    <w:rsid w:val="006A2FA1"/>
    <w:rsid w:val="006A3383"/>
    <w:rsid w:val="006A39C8"/>
    <w:rsid w:val="006A46D1"/>
    <w:rsid w:val="006A4958"/>
    <w:rsid w:val="006A7288"/>
    <w:rsid w:val="006A79F4"/>
    <w:rsid w:val="006B077C"/>
    <w:rsid w:val="006B16AF"/>
    <w:rsid w:val="006B437C"/>
    <w:rsid w:val="006B5EBD"/>
    <w:rsid w:val="006B6803"/>
    <w:rsid w:val="006D0CFC"/>
    <w:rsid w:val="006D0E45"/>
    <w:rsid w:val="006D0F16"/>
    <w:rsid w:val="006D2A3F"/>
    <w:rsid w:val="006D2FBC"/>
    <w:rsid w:val="006E085D"/>
    <w:rsid w:val="006E0EF5"/>
    <w:rsid w:val="006E138B"/>
    <w:rsid w:val="006E1867"/>
    <w:rsid w:val="006E1BCA"/>
    <w:rsid w:val="006E3466"/>
    <w:rsid w:val="006E7B51"/>
    <w:rsid w:val="006F0330"/>
    <w:rsid w:val="006F1FDC"/>
    <w:rsid w:val="006F58D2"/>
    <w:rsid w:val="006F6B8C"/>
    <w:rsid w:val="006F74D3"/>
    <w:rsid w:val="00700677"/>
    <w:rsid w:val="00701298"/>
    <w:rsid w:val="007013EF"/>
    <w:rsid w:val="007019B0"/>
    <w:rsid w:val="00704E41"/>
    <w:rsid w:val="007055BD"/>
    <w:rsid w:val="00705A97"/>
    <w:rsid w:val="007110AC"/>
    <w:rsid w:val="007111A8"/>
    <w:rsid w:val="0071409D"/>
    <w:rsid w:val="00714C9E"/>
    <w:rsid w:val="0071547C"/>
    <w:rsid w:val="007158AE"/>
    <w:rsid w:val="00716FE6"/>
    <w:rsid w:val="007173CA"/>
    <w:rsid w:val="00717816"/>
    <w:rsid w:val="007216AA"/>
    <w:rsid w:val="00721AB5"/>
    <w:rsid w:val="00721CFB"/>
    <w:rsid w:val="00721DEF"/>
    <w:rsid w:val="00722D78"/>
    <w:rsid w:val="00724A43"/>
    <w:rsid w:val="007273AC"/>
    <w:rsid w:val="00731AD4"/>
    <w:rsid w:val="00731B0C"/>
    <w:rsid w:val="00732E0C"/>
    <w:rsid w:val="0073428A"/>
    <w:rsid w:val="007346E4"/>
    <w:rsid w:val="007361BB"/>
    <w:rsid w:val="007363AE"/>
    <w:rsid w:val="00736608"/>
    <w:rsid w:val="00740BF9"/>
    <w:rsid w:val="00740F22"/>
    <w:rsid w:val="00741977"/>
    <w:rsid w:val="00741CF0"/>
    <w:rsid w:val="00741F1A"/>
    <w:rsid w:val="00743A2C"/>
    <w:rsid w:val="007447DA"/>
    <w:rsid w:val="00744F5C"/>
    <w:rsid w:val="007450F8"/>
    <w:rsid w:val="0074696E"/>
    <w:rsid w:val="00746F86"/>
    <w:rsid w:val="00750135"/>
    <w:rsid w:val="00750EC2"/>
    <w:rsid w:val="00752B28"/>
    <w:rsid w:val="007541A9"/>
    <w:rsid w:val="00754E36"/>
    <w:rsid w:val="00760744"/>
    <w:rsid w:val="00763139"/>
    <w:rsid w:val="00766F80"/>
    <w:rsid w:val="00770F37"/>
    <w:rsid w:val="007711A0"/>
    <w:rsid w:val="00771D54"/>
    <w:rsid w:val="00772D5E"/>
    <w:rsid w:val="00773F68"/>
    <w:rsid w:val="0077463E"/>
    <w:rsid w:val="00776928"/>
    <w:rsid w:val="00776E0F"/>
    <w:rsid w:val="007774B1"/>
    <w:rsid w:val="00777BE1"/>
    <w:rsid w:val="007833D8"/>
    <w:rsid w:val="00785677"/>
    <w:rsid w:val="00786F16"/>
    <w:rsid w:val="00791BD7"/>
    <w:rsid w:val="00793266"/>
    <w:rsid w:val="007933F7"/>
    <w:rsid w:val="00793626"/>
    <w:rsid w:val="00796E20"/>
    <w:rsid w:val="00797C32"/>
    <w:rsid w:val="007A0A49"/>
    <w:rsid w:val="007A11E8"/>
    <w:rsid w:val="007A3AED"/>
    <w:rsid w:val="007A427A"/>
    <w:rsid w:val="007A5B21"/>
    <w:rsid w:val="007A5F51"/>
    <w:rsid w:val="007A6564"/>
    <w:rsid w:val="007B0914"/>
    <w:rsid w:val="007B1374"/>
    <w:rsid w:val="007B32E5"/>
    <w:rsid w:val="007B3DB9"/>
    <w:rsid w:val="007B589F"/>
    <w:rsid w:val="007B6186"/>
    <w:rsid w:val="007B73BC"/>
    <w:rsid w:val="007C1838"/>
    <w:rsid w:val="007C20B9"/>
    <w:rsid w:val="007C3E22"/>
    <w:rsid w:val="007C598A"/>
    <w:rsid w:val="007C7301"/>
    <w:rsid w:val="007C7859"/>
    <w:rsid w:val="007C7F28"/>
    <w:rsid w:val="007D1466"/>
    <w:rsid w:val="007D2BDE"/>
    <w:rsid w:val="007D2FB6"/>
    <w:rsid w:val="007D49EB"/>
    <w:rsid w:val="007D5E1C"/>
    <w:rsid w:val="007D6308"/>
    <w:rsid w:val="007E0DE2"/>
    <w:rsid w:val="007E2FBB"/>
    <w:rsid w:val="007E3B98"/>
    <w:rsid w:val="007E417A"/>
    <w:rsid w:val="007E609C"/>
    <w:rsid w:val="007F0799"/>
    <w:rsid w:val="007F1AAF"/>
    <w:rsid w:val="007F2592"/>
    <w:rsid w:val="007F31B6"/>
    <w:rsid w:val="007F546C"/>
    <w:rsid w:val="007F55D8"/>
    <w:rsid w:val="007F5AA4"/>
    <w:rsid w:val="007F625F"/>
    <w:rsid w:val="007F665E"/>
    <w:rsid w:val="00800412"/>
    <w:rsid w:val="0080587B"/>
    <w:rsid w:val="00806468"/>
    <w:rsid w:val="0080733D"/>
    <w:rsid w:val="00811396"/>
    <w:rsid w:val="008119CA"/>
    <w:rsid w:val="00811BBF"/>
    <w:rsid w:val="00811C7C"/>
    <w:rsid w:val="008130C4"/>
    <w:rsid w:val="008155F0"/>
    <w:rsid w:val="00816735"/>
    <w:rsid w:val="00820141"/>
    <w:rsid w:val="00820E0C"/>
    <w:rsid w:val="00823275"/>
    <w:rsid w:val="0082366F"/>
    <w:rsid w:val="0082480F"/>
    <w:rsid w:val="00831A5A"/>
    <w:rsid w:val="008337A1"/>
    <w:rsid w:val="008338A2"/>
    <w:rsid w:val="00841AA9"/>
    <w:rsid w:val="008474FE"/>
    <w:rsid w:val="00847FEC"/>
    <w:rsid w:val="0085232E"/>
    <w:rsid w:val="00853EE4"/>
    <w:rsid w:val="00855535"/>
    <w:rsid w:val="00857C5A"/>
    <w:rsid w:val="0086127C"/>
    <w:rsid w:val="008616A8"/>
    <w:rsid w:val="0086255E"/>
    <w:rsid w:val="008628BD"/>
    <w:rsid w:val="008633F0"/>
    <w:rsid w:val="00863F67"/>
    <w:rsid w:val="008641FB"/>
    <w:rsid w:val="008668E4"/>
    <w:rsid w:val="00867D9D"/>
    <w:rsid w:val="0087278D"/>
    <w:rsid w:val="00872C54"/>
    <w:rsid w:val="00872E0A"/>
    <w:rsid w:val="00873594"/>
    <w:rsid w:val="00875285"/>
    <w:rsid w:val="00884B62"/>
    <w:rsid w:val="0088529C"/>
    <w:rsid w:val="00887903"/>
    <w:rsid w:val="008905FF"/>
    <w:rsid w:val="0089270A"/>
    <w:rsid w:val="00893AF6"/>
    <w:rsid w:val="00894B38"/>
    <w:rsid w:val="00894BC4"/>
    <w:rsid w:val="008A07AC"/>
    <w:rsid w:val="008A07AD"/>
    <w:rsid w:val="008A0A5F"/>
    <w:rsid w:val="008A28A8"/>
    <w:rsid w:val="008A3868"/>
    <w:rsid w:val="008A5B32"/>
    <w:rsid w:val="008A5D60"/>
    <w:rsid w:val="008B00BF"/>
    <w:rsid w:val="008B2029"/>
    <w:rsid w:val="008B2EE4"/>
    <w:rsid w:val="008B3821"/>
    <w:rsid w:val="008B4D3D"/>
    <w:rsid w:val="008B57C7"/>
    <w:rsid w:val="008B6728"/>
    <w:rsid w:val="008C2F92"/>
    <w:rsid w:val="008C4C92"/>
    <w:rsid w:val="008C589D"/>
    <w:rsid w:val="008C6804"/>
    <w:rsid w:val="008C6D51"/>
    <w:rsid w:val="008D2846"/>
    <w:rsid w:val="008D31C3"/>
    <w:rsid w:val="008D4236"/>
    <w:rsid w:val="008D462F"/>
    <w:rsid w:val="008D5C45"/>
    <w:rsid w:val="008D6DCF"/>
    <w:rsid w:val="008D73ED"/>
    <w:rsid w:val="008E4376"/>
    <w:rsid w:val="008E7A0A"/>
    <w:rsid w:val="008E7B49"/>
    <w:rsid w:val="008F59F6"/>
    <w:rsid w:val="00900719"/>
    <w:rsid w:val="00901461"/>
    <w:rsid w:val="009017AC"/>
    <w:rsid w:val="0090204D"/>
    <w:rsid w:val="00902A9A"/>
    <w:rsid w:val="00903E6C"/>
    <w:rsid w:val="00904A1C"/>
    <w:rsid w:val="00905030"/>
    <w:rsid w:val="00906490"/>
    <w:rsid w:val="00907B20"/>
    <w:rsid w:val="009111B2"/>
    <w:rsid w:val="009151F5"/>
    <w:rsid w:val="00922EC4"/>
    <w:rsid w:val="00922F1D"/>
    <w:rsid w:val="00924AE1"/>
    <w:rsid w:val="009257ED"/>
    <w:rsid w:val="009269B1"/>
    <w:rsid w:val="0092724D"/>
    <w:rsid w:val="009272B3"/>
    <w:rsid w:val="00927CDF"/>
    <w:rsid w:val="009315BE"/>
    <w:rsid w:val="0093338F"/>
    <w:rsid w:val="00935AF7"/>
    <w:rsid w:val="00937BD9"/>
    <w:rsid w:val="00943C50"/>
    <w:rsid w:val="00944F0C"/>
    <w:rsid w:val="009469F7"/>
    <w:rsid w:val="00950E2C"/>
    <w:rsid w:val="00951D50"/>
    <w:rsid w:val="009525EB"/>
    <w:rsid w:val="0095470B"/>
    <w:rsid w:val="00954874"/>
    <w:rsid w:val="00954D01"/>
    <w:rsid w:val="00954F05"/>
    <w:rsid w:val="0095615A"/>
    <w:rsid w:val="00961400"/>
    <w:rsid w:val="009616F2"/>
    <w:rsid w:val="00963646"/>
    <w:rsid w:val="0096632D"/>
    <w:rsid w:val="00967124"/>
    <w:rsid w:val="00967335"/>
    <w:rsid w:val="009718C7"/>
    <w:rsid w:val="00972548"/>
    <w:rsid w:val="0097559F"/>
    <w:rsid w:val="009761EA"/>
    <w:rsid w:val="0097761E"/>
    <w:rsid w:val="0098100B"/>
    <w:rsid w:val="00982454"/>
    <w:rsid w:val="00982CF0"/>
    <w:rsid w:val="009853E1"/>
    <w:rsid w:val="00986E6B"/>
    <w:rsid w:val="00990032"/>
    <w:rsid w:val="00990B19"/>
    <w:rsid w:val="0099153B"/>
    <w:rsid w:val="00991769"/>
    <w:rsid w:val="0099232C"/>
    <w:rsid w:val="0099394C"/>
    <w:rsid w:val="00994386"/>
    <w:rsid w:val="00994791"/>
    <w:rsid w:val="009A0284"/>
    <w:rsid w:val="009A13D8"/>
    <w:rsid w:val="009A279E"/>
    <w:rsid w:val="009A3015"/>
    <w:rsid w:val="009A3490"/>
    <w:rsid w:val="009B0A6F"/>
    <w:rsid w:val="009B0A94"/>
    <w:rsid w:val="009B1800"/>
    <w:rsid w:val="009B28FB"/>
    <w:rsid w:val="009B2AE8"/>
    <w:rsid w:val="009B49DB"/>
    <w:rsid w:val="009B5622"/>
    <w:rsid w:val="009B59E9"/>
    <w:rsid w:val="009B70AA"/>
    <w:rsid w:val="009C1A3D"/>
    <w:rsid w:val="009C1CB1"/>
    <w:rsid w:val="009C3463"/>
    <w:rsid w:val="009C3B6E"/>
    <w:rsid w:val="009C5E77"/>
    <w:rsid w:val="009C6394"/>
    <w:rsid w:val="009C7A7E"/>
    <w:rsid w:val="009D02E8"/>
    <w:rsid w:val="009D51D0"/>
    <w:rsid w:val="009D70A4"/>
    <w:rsid w:val="009D740D"/>
    <w:rsid w:val="009D7A52"/>
    <w:rsid w:val="009D7B14"/>
    <w:rsid w:val="009E08D1"/>
    <w:rsid w:val="009E177D"/>
    <w:rsid w:val="009E1B95"/>
    <w:rsid w:val="009E496F"/>
    <w:rsid w:val="009E4B0D"/>
    <w:rsid w:val="009E5250"/>
    <w:rsid w:val="009E56F2"/>
    <w:rsid w:val="009E7A69"/>
    <w:rsid w:val="009E7F92"/>
    <w:rsid w:val="009F02A3"/>
    <w:rsid w:val="009F061F"/>
    <w:rsid w:val="009F2F27"/>
    <w:rsid w:val="009F34AA"/>
    <w:rsid w:val="009F5ABE"/>
    <w:rsid w:val="009F5BBA"/>
    <w:rsid w:val="009F6BCB"/>
    <w:rsid w:val="009F7B78"/>
    <w:rsid w:val="00A0057A"/>
    <w:rsid w:val="00A011A9"/>
    <w:rsid w:val="00A02FA1"/>
    <w:rsid w:val="00A0339E"/>
    <w:rsid w:val="00A04CCE"/>
    <w:rsid w:val="00A07421"/>
    <w:rsid w:val="00A0776B"/>
    <w:rsid w:val="00A10FB9"/>
    <w:rsid w:val="00A1129F"/>
    <w:rsid w:val="00A11421"/>
    <w:rsid w:val="00A11FD8"/>
    <w:rsid w:val="00A12FD0"/>
    <w:rsid w:val="00A1389F"/>
    <w:rsid w:val="00A14996"/>
    <w:rsid w:val="00A157B1"/>
    <w:rsid w:val="00A22229"/>
    <w:rsid w:val="00A226F9"/>
    <w:rsid w:val="00A24442"/>
    <w:rsid w:val="00A252B9"/>
    <w:rsid w:val="00A32577"/>
    <w:rsid w:val="00A330BB"/>
    <w:rsid w:val="00A34ACD"/>
    <w:rsid w:val="00A34F3E"/>
    <w:rsid w:val="00A379E7"/>
    <w:rsid w:val="00A4173E"/>
    <w:rsid w:val="00A418D7"/>
    <w:rsid w:val="00A428A8"/>
    <w:rsid w:val="00A44882"/>
    <w:rsid w:val="00A45125"/>
    <w:rsid w:val="00A513A9"/>
    <w:rsid w:val="00A54465"/>
    <w:rsid w:val="00A54715"/>
    <w:rsid w:val="00A564B6"/>
    <w:rsid w:val="00A56FDD"/>
    <w:rsid w:val="00A6061C"/>
    <w:rsid w:val="00A62D44"/>
    <w:rsid w:val="00A67263"/>
    <w:rsid w:val="00A7052C"/>
    <w:rsid w:val="00A7161C"/>
    <w:rsid w:val="00A75400"/>
    <w:rsid w:val="00A77AA3"/>
    <w:rsid w:val="00A80C88"/>
    <w:rsid w:val="00A8223C"/>
    <w:rsid w:val="00A8236D"/>
    <w:rsid w:val="00A854EB"/>
    <w:rsid w:val="00A872E5"/>
    <w:rsid w:val="00A904C0"/>
    <w:rsid w:val="00A90FA0"/>
    <w:rsid w:val="00A91406"/>
    <w:rsid w:val="00A93C7F"/>
    <w:rsid w:val="00A96670"/>
    <w:rsid w:val="00A96E65"/>
    <w:rsid w:val="00A96ECE"/>
    <w:rsid w:val="00A9710C"/>
    <w:rsid w:val="00A97596"/>
    <w:rsid w:val="00A97C72"/>
    <w:rsid w:val="00AA276C"/>
    <w:rsid w:val="00AA310B"/>
    <w:rsid w:val="00AA4F9C"/>
    <w:rsid w:val="00AA63D4"/>
    <w:rsid w:val="00AA6E83"/>
    <w:rsid w:val="00AB06E8"/>
    <w:rsid w:val="00AB1A4F"/>
    <w:rsid w:val="00AB1CD3"/>
    <w:rsid w:val="00AB2F10"/>
    <w:rsid w:val="00AB352F"/>
    <w:rsid w:val="00AB3F9D"/>
    <w:rsid w:val="00AB786C"/>
    <w:rsid w:val="00AC0107"/>
    <w:rsid w:val="00AC133A"/>
    <w:rsid w:val="00AC21E9"/>
    <w:rsid w:val="00AC274B"/>
    <w:rsid w:val="00AC2A52"/>
    <w:rsid w:val="00AC3A57"/>
    <w:rsid w:val="00AC4764"/>
    <w:rsid w:val="00AC5DFB"/>
    <w:rsid w:val="00AC69CF"/>
    <w:rsid w:val="00AC6D36"/>
    <w:rsid w:val="00AD0AA5"/>
    <w:rsid w:val="00AD0CBA"/>
    <w:rsid w:val="00AD26E2"/>
    <w:rsid w:val="00AD2B03"/>
    <w:rsid w:val="00AD48F1"/>
    <w:rsid w:val="00AD6637"/>
    <w:rsid w:val="00AD784C"/>
    <w:rsid w:val="00AE126A"/>
    <w:rsid w:val="00AE1413"/>
    <w:rsid w:val="00AE1BAE"/>
    <w:rsid w:val="00AE3005"/>
    <w:rsid w:val="00AE3BD5"/>
    <w:rsid w:val="00AE4673"/>
    <w:rsid w:val="00AE59A0"/>
    <w:rsid w:val="00AE7145"/>
    <w:rsid w:val="00AF0C57"/>
    <w:rsid w:val="00AF26F3"/>
    <w:rsid w:val="00AF4506"/>
    <w:rsid w:val="00AF5560"/>
    <w:rsid w:val="00AF5F04"/>
    <w:rsid w:val="00AF6830"/>
    <w:rsid w:val="00B00672"/>
    <w:rsid w:val="00B0120C"/>
    <w:rsid w:val="00B01B4D"/>
    <w:rsid w:val="00B04489"/>
    <w:rsid w:val="00B05C2A"/>
    <w:rsid w:val="00B06571"/>
    <w:rsid w:val="00B068BA"/>
    <w:rsid w:val="00B07217"/>
    <w:rsid w:val="00B10C5A"/>
    <w:rsid w:val="00B11BF7"/>
    <w:rsid w:val="00B11FC2"/>
    <w:rsid w:val="00B13851"/>
    <w:rsid w:val="00B13B1C"/>
    <w:rsid w:val="00B14B5F"/>
    <w:rsid w:val="00B216BC"/>
    <w:rsid w:val="00B21F90"/>
    <w:rsid w:val="00B22291"/>
    <w:rsid w:val="00B226C8"/>
    <w:rsid w:val="00B23F9A"/>
    <w:rsid w:val="00B2417B"/>
    <w:rsid w:val="00B24E6F"/>
    <w:rsid w:val="00B26CB5"/>
    <w:rsid w:val="00B2752E"/>
    <w:rsid w:val="00B307CC"/>
    <w:rsid w:val="00B326B7"/>
    <w:rsid w:val="00B3588E"/>
    <w:rsid w:val="00B4198F"/>
    <w:rsid w:val="00B41F3D"/>
    <w:rsid w:val="00B431E8"/>
    <w:rsid w:val="00B45141"/>
    <w:rsid w:val="00B454BE"/>
    <w:rsid w:val="00B519CD"/>
    <w:rsid w:val="00B5273A"/>
    <w:rsid w:val="00B535A7"/>
    <w:rsid w:val="00B5360C"/>
    <w:rsid w:val="00B57329"/>
    <w:rsid w:val="00B60CBA"/>
    <w:rsid w:val="00B60E61"/>
    <w:rsid w:val="00B61B51"/>
    <w:rsid w:val="00B62B50"/>
    <w:rsid w:val="00B62D2A"/>
    <w:rsid w:val="00B635B7"/>
    <w:rsid w:val="00B63AE8"/>
    <w:rsid w:val="00B6436E"/>
    <w:rsid w:val="00B64922"/>
    <w:rsid w:val="00B65949"/>
    <w:rsid w:val="00B65950"/>
    <w:rsid w:val="00B66D83"/>
    <w:rsid w:val="00B672C0"/>
    <w:rsid w:val="00B676FD"/>
    <w:rsid w:val="00B678B6"/>
    <w:rsid w:val="00B706E8"/>
    <w:rsid w:val="00B75646"/>
    <w:rsid w:val="00B75F3D"/>
    <w:rsid w:val="00B7629E"/>
    <w:rsid w:val="00B7635F"/>
    <w:rsid w:val="00B83FD8"/>
    <w:rsid w:val="00B90729"/>
    <w:rsid w:val="00B907DA"/>
    <w:rsid w:val="00B91FFE"/>
    <w:rsid w:val="00B9350E"/>
    <w:rsid w:val="00B950BC"/>
    <w:rsid w:val="00B95AB9"/>
    <w:rsid w:val="00B96471"/>
    <w:rsid w:val="00B9714C"/>
    <w:rsid w:val="00BA0768"/>
    <w:rsid w:val="00BA29AD"/>
    <w:rsid w:val="00BA33CF"/>
    <w:rsid w:val="00BA3F8D"/>
    <w:rsid w:val="00BA77BA"/>
    <w:rsid w:val="00BB2041"/>
    <w:rsid w:val="00BB29BE"/>
    <w:rsid w:val="00BB7A10"/>
    <w:rsid w:val="00BC60BE"/>
    <w:rsid w:val="00BC7468"/>
    <w:rsid w:val="00BC7D4F"/>
    <w:rsid w:val="00BC7ED7"/>
    <w:rsid w:val="00BD2850"/>
    <w:rsid w:val="00BD3469"/>
    <w:rsid w:val="00BD35B9"/>
    <w:rsid w:val="00BD6049"/>
    <w:rsid w:val="00BE0928"/>
    <w:rsid w:val="00BE18F7"/>
    <w:rsid w:val="00BE28D2"/>
    <w:rsid w:val="00BE4A64"/>
    <w:rsid w:val="00BE5E43"/>
    <w:rsid w:val="00BE6841"/>
    <w:rsid w:val="00BF0C69"/>
    <w:rsid w:val="00BF227C"/>
    <w:rsid w:val="00BF4BFE"/>
    <w:rsid w:val="00BF557D"/>
    <w:rsid w:val="00BF564E"/>
    <w:rsid w:val="00BF7F58"/>
    <w:rsid w:val="00C01381"/>
    <w:rsid w:val="00C01AB1"/>
    <w:rsid w:val="00C026A0"/>
    <w:rsid w:val="00C03EA4"/>
    <w:rsid w:val="00C04387"/>
    <w:rsid w:val="00C04F42"/>
    <w:rsid w:val="00C06137"/>
    <w:rsid w:val="00C06929"/>
    <w:rsid w:val="00C079B8"/>
    <w:rsid w:val="00C10037"/>
    <w:rsid w:val="00C123EA"/>
    <w:rsid w:val="00C12A49"/>
    <w:rsid w:val="00C133EE"/>
    <w:rsid w:val="00C149D0"/>
    <w:rsid w:val="00C231A0"/>
    <w:rsid w:val="00C26588"/>
    <w:rsid w:val="00C27DE9"/>
    <w:rsid w:val="00C3248A"/>
    <w:rsid w:val="00C32989"/>
    <w:rsid w:val="00C33388"/>
    <w:rsid w:val="00C35484"/>
    <w:rsid w:val="00C36049"/>
    <w:rsid w:val="00C37A1C"/>
    <w:rsid w:val="00C4173A"/>
    <w:rsid w:val="00C4271E"/>
    <w:rsid w:val="00C43071"/>
    <w:rsid w:val="00C45187"/>
    <w:rsid w:val="00C50DED"/>
    <w:rsid w:val="00C51962"/>
    <w:rsid w:val="00C52217"/>
    <w:rsid w:val="00C602FF"/>
    <w:rsid w:val="00C61174"/>
    <w:rsid w:val="00C6148F"/>
    <w:rsid w:val="00C621B1"/>
    <w:rsid w:val="00C62F7A"/>
    <w:rsid w:val="00C63152"/>
    <w:rsid w:val="00C6371D"/>
    <w:rsid w:val="00C63B9C"/>
    <w:rsid w:val="00C6682F"/>
    <w:rsid w:val="00C67BF4"/>
    <w:rsid w:val="00C7275E"/>
    <w:rsid w:val="00C74C5D"/>
    <w:rsid w:val="00C76680"/>
    <w:rsid w:val="00C810C5"/>
    <w:rsid w:val="00C85330"/>
    <w:rsid w:val="00C863C4"/>
    <w:rsid w:val="00C920EA"/>
    <w:rsid w:val="00C9392F"/>
    <w:rsid w:val="00C93C3E"/>
    <w:rsid w:val="00C953D3"/>
    <w:rsid w:val="00C95421"/>
    <w:rsid w:val="00CA12E3"/>
    <w:rsid w:val="00CA1476"/>
    <w:rsid w:val="00CA27FD"/>
    <w:rsid w:val="00CA3583"/>
    <w:rsid w:val="00CA6611"/>
    <w:rsid w:val="00CA6AE6"/>
    <w:rsid w:val="00CA782F"/>
    <w:rsid w:val="00CA7A83"/>
    <w:rsid w:val="00CB187B"/>
    <w:rsid w:val="00CB19C1"/>
    <w:rsid w:val="00CB2835"/>
    <w:rsid w:val="00CB3285"/>
    <w:rsid w:val="00CB4500"/>
    <w:rsid w:val="00CC0C72"/>
    <w:rsid w:val="00CC0DA4"/>
    <w:rsid w:val="00CC1487"/>
    <w:rsid w:val="00CC2BFD"/>
    <w:rsid w:val="00CC3F65"/>
    <w:rsid w:val="00CC45BB"/>
    <w:rsid w:val="00CC4D76"/>
    <w:rsid w:val="00CC60E6"/>
    <w:rsid w:val="00CD1A9A"/>
    <w:rsid w:val="00CD3476"/>
    <w:rsid w:val="00CD5B59"/>
    <w:rsid w:val="00CD64DF"/>
    <w:rsid w:val="00CE1A70"/>
    <w:rsid w:val="00CE225F"/>
    <w:rsid w:val="00CF1BDE"/>
    <w:rsid w:val="00CF2F50"/>
    <w:rsid w:val="00CF331C"/>
    <w:rsid w:val="00CF4148"/>
    <w:rsid w:val="00CF4801"/>
    <w:rsid w:val="00CF5120"/>
    <w:rsid w:val="00CF5DA8"/>
    <w:rsid w:val="00CF6198"/>
    <w:rsid w:val="00CF6FE5"/>
    <w:rsid w:val="00D011D8"/>
    <w:rsid w:val="00D02919"/>
    <w:rsid w:val="00D04C61"/>
    <w:rsid w:val="00D04F99"/>
    <w:rsid w:val="00D05B8D"/>
    <w:rsid w:val="00D05B9B"/>
    <w:rsid w:val="00D065A2"/>
    <w:rsid w:val="00D079AA"/>
    <w:rsid w:val="00D07C59"/>
    <w:rsid w:val="00D07F00"/>
    <w:rsid w:val="00D10D8C"/>
    <w:rsid w:val="00D1130F"/>
    <w:rsid w:val="00D13D47"/>
    <w:rsid w:val="00D15D07"/>
    <w:rsid w:val="00D17B72"/>
    <w:rsid w:val="00D23967"/>
    <w:rsid w:val="00D239B0"/>
    <w:rsid w:val="00D26610"/>
    <w:rsid w:val="00D2790B"/>
    <w:rsid w:val="00D3185C"/>
    <w:rsid w:val="00D3205F"/>
    <w:rsid w:val="00D3318E"/>
    <w:rsid w:val="00D33E72"/>
    <w:rsid w:val="00D343FE"/>
    <w:rsid w:val="00D34A4E"/>
    <w:rsid w:val="00D35BD6"/>
    <w:rsid w:val="00D361B5"/>
    <w:rsid w:val="00D36296"/>
    <w:rsid w:val="00D372EB"/>
    <w:rsid w:val="00D402DB"/>
    <w:rsid w:val="00D411A2"/>
    <w:rsid w:val="00D44376"/>
    <w:rsid w:val="00D4606D"/>
    <w:rsid w:val="00D47838"/>
    <w:rsid w:val="00D50B9C"/>
    <w:rsid w:val="00D523EC"/>
    <w:rsid w:val="00D52D73"/>
    <w:rsid w:val="00D52E58"/>
    <w:rsid w:val="00D56B20"/>
    <w:rsid w:val="00D56DCE"/>
    <w:rsid w:val="00D578B3"/>
    <w:rsid w:val="00D60500"/>
    <w:rsid w:val="00D618F4"/>
    <w:rsid w:val="00D67B85"/>
    <w:rsid w:val="00D714CC"/>
    <w:rsid w:val="00D75801"/>
    <w:rsid w:val="00D75EA7"/>
    <w:rsid w:val="00D764DD"/>
    <w:rsid w:val="00D76686"/>
    <w:rsid w:val="00D80C9F"/>
    <w:rsid w:val="00D81ADF"/>
    <w:rsid w:val="00D81F21"/>
    <w:rsid w:val="00D8423D"/>
    <w:rsid w:val="00D84658"/>
    <w:rsid w:val="00D8626B"/>
    <w:rsid w:val="00D864F2"/>
    <w:rsid w:val="00D876E2"/>
    <w:rsid w:val="00D91066"/>
    <w:rsid w:val="00D91355"/>
    <w:rsid w:val="00D943F8"/>
    <w:rsid w:val="00D95470"/>
    <w:rsid w:val="00D96B55"/>
    <w:rsid w:val="00DA2619"/>
    <w:rsid w:val="00DA2E57"/>
    <w:rsid w:val="00DA4239"/>
    <w:rsid w:val="00DA4FEF"/>
    <w:rsid w:val="00DA5511"/>
    <w:rsid w:val="00DA65DE"/>
    <w:rsid w:val="00DA7BC8"/>
    <w:rsid w:val="00DB04E4"/>
    <w:rsid w:val="00DB0B61"/>
    <w:rsid w:val="00DB0E74"/>
    <w:rsid w:val="00DB1474"/>
    <w:rsid w:val="00DB1DE9"/>
    <w:rsid w:val="00DB2962"/>
    <w:rsid w:val="00DB52FB"/>
    <w:rsid w:val="00DC013B"/>
    <w:rsid w:val="00DC06DF"/>
    <w:rsid w:val="00DC090B"/>
    <w:rsid w:val="00DC139A"/>
    <w:rsid w:val="00DC13A7"/>
    <w:rsid w:val="00DC1679"/>
    <w:rsid w:val="00DC1CDD"/>
    <w:rsid w:val="00DC219B"/>
    <w:rsid w:val="00DC2354"/>
    <w:rsid w:val="00DC2CF1"/>
    <w:rsid w:val="00DC3A7C"/>
    <w:rsid w:val="00DC4FCF"/>
    <w:rsid w:val="00DC50E0"/>
    <w:rsid w:val="00DC5EFC"/>
    <w:rsid w:val="00DC6386"/>
    <w:rsid w:val="00DD1130"/>
    <w:rsid w:val="00DD1951"/>
    <w:rsid w:val="00DD487D"/>
    <w:rsid w:val="00DD4E83"/>
    <w:rsid w:val="00DD6628"/>
    <w:rsid w:val="00DD6945"/>
    <w:rsid w:val="00DD74DC"/>
    <w:rsid w:val="00DD7FBE"/>
    <w:rsid w:val="00DE2D04"/>
    <w:rsid w:val="00DE30F5"/>
    <w:rsid w:val="00DE3250"/>
    <w:rsid w:val="00DE6028"/>
    <w:rsid w:val="00DE6C85"/>
    <w:rsid w:val="00DE78A3"/>
    <w:rsid w:val="00DF1A71"/>
    <w:rsid w:val="00DF3982"/>
    <w:rsid w:val="00DF50FC"/>
    <w:rsid w:val="00DF68C7"/>
    <w:rsid w:val="00DF731A"/>
    <w:rsid w:val="00E038DC"/>
    <w:rsid w:val="00E04D1F"/>
    <w:rsid w:val="00E06B75"/>
    <w:rsid w:val="00E0706F"/>
    <w:rsid w:val="00E11332"/>
    <w:rsid w:val="00E11352"/>
    <w:rsid w:val="00E1203A"/>
    <w:rsid w:val="00E13B60"/>
    <w:rsid w:val="00E170DC"/>
    <w:rsid w:val="00E17546"/>
    <w:rsid w:val="00E210B5"/>
    <w:rsid w:val="00E21910"/>
    <w:rsid w:val="00E242F6"/>
    <w:rsid w:val="00E261B3"/>
    <w:rsid w:val="00E26413"/>
    <w:rsid w:val="00E26818"/>
    <w:rsid w:val="00E27FFC"/>
    <w:rsid w:val="00E30B15"/>
    <w:rsid w:val="00E33237"/>
    <w:rsid w:val="00E37927"/>
    <w:rsid w:val="00E40181"/>
    <w:rsid w:val="00E4221D"/>
    <w:rsid w:val="00E42C42"/>
    <w:rsid w:val="00E51317"/>
    <w:rsid w:val="00E53FCA"/>
    <w:rsid w:val="00E54950"/>
    <w:rsid w:val="00E55FB3"/>
    <w:rsid w:val="00E56A01"/>
    <w:rsid w:val="00E629A1"/>
    <w:rsid w:val="00E6794C"/>
    <w:rsid w:val="00E71591"/>
    <w:rsid w:val="00E71807"/>
    <w:rsid w:val="00E71CEB"/>
    <w:rsid w:val="00E722AB"/>
    <w:rsid w:val="00E7474F"/>
    <w:rsid w:val="00E77901"/>
    <w:rsid w:val="00E77A77"/>
    <w:rsid w:val="00E80DD8"/>
    <w:rsid w:val="00E80DE3"/>
    <w:rsid w:val="00E82C55"/>
    <w:rsid w:val="00E847A7"/>
    <w:rsid w:val="00E8506A"/>
    <w:rsid w:val="00E8761A"/>
    <w:rsid w:val="00E8787E"/>
    <w:rsid w:val="00E9292A"/>
    <w:rsid w:val="00E92AC3"/>
    <w:rsid w:val="00E936BB"/>
    <w:rsid w:val="00E9501F"/>
    <w:rsid w:val="00E97333"/>
    <w:rsid w:val="00E976C8"/>
    <w:rsid w:val="00EA2F6A"/>
    <w:rsid w:val="00EA5106"/>
    <w:rsid w:val="00EA71A4"/>
    <w:rsid w:val="00EB00E0"/>
    <w:rsid w:val="00EB05D5"/>
    <w:rsid w:val="00EB1931"/>
    <w:rsid w:val="00EB19D2"/>
    <w:rsid w:val="00EC059F"/>
    <w:rsid w:val="00EC1F24"/>
    <w:rsid w:val="00EC1FDE"/>
    <w:rsid w:val="00EC20FF"/>
    <w:rsid w:val="00EC22F6"/>
    <w:rsid w:val="00ED195F"/>
    <w:rsid w:val="00ED22ED"/>
    <w:rsid w:val="00ED4AD8"/>
    <w:rsid w:val="00ED4DF7"/>
    <w:rsid w:val="00ED5B9B"/>
    <w:rsid w:val="00ED6BAD"/>
    <w:rsid w:val="00ED7447"/>
    <w:rsid w:val="00EE00D6"/>
    <w:rsid w:val="00EE11E7"/>
    <w:rsid w:val="00EE1488"/>
    <w:rsid w:val="00EE1730"/>
    <w:rsid w:val="00EE29AD"/>
    <w:rsid w:val="00EE3E24"/>
    <w:rsid w:val="00EE41EB"/>
    <w:rsid w:val="00EE4D5D"/>
    <w:rsid w:val="00EE5131"/>
    <w:rsid w:val="00EF02ED"/>
    <w:rsid w:val="00EF0B22"/>
    <w:rsid w:val="00EF109B"/>
    <w:rsid w:val="00EF201C"/>
    <w:rsid w:val="00EF2C72"/>
    <w:rsid w:val="00EF36AF"/>
    <w:rsid w:val="00EF59A3"/>
    <w:rsid w:val="00EF6675"/>
    <w:rsid w:val="00F0063D"/>
    <w:rsid w:val="00F00F9C"/>
    <w:rsid w:val="00F01BC5"/>
    <w:rsid w:val="00F01E5F"/>
    <w:rsid w:val="00F024F3"/>
    <w:rsid w:val="00F029DC"/>
    <w:rsid w:val="00F02ABA"/>
    <w:rsid w:val="00F03701"/>
    <w:rsid w:val="00F0437A"/>
    <w:rsid w:val="00F051B3"/>
    <w:rsid w:val="00F101B8"/>
    <w:rsid w:val="00F102BC"/>
    <w:rsid w:val="00F10A8A"/>
    <w:rsid w:val="00F10C7D"/>
    <w:rsid w:val="00F11037"/>
    <w:rsid w:val="00F11296"/>
    <w:rsid w:val="00F13DC9"/>
    <w:rsid w:val="00F1549A"/>
    <w:rsid w:val="00F16F1B"/>
    <w:rsid w:val="00F20319"/>
    <w:rsid w:val="00F250A9"/>
    <w:rsid w:val="00F267AF"/>
    <w:rsid w:val="00F26AFA"/>
    <w:rsid w:val="00F3081F"/>
    <w:rsid w:val="00F30FF4"/>
    <w:rsid w:val="00F3122E"/>
    <w:rsid w:val="00F32368"/>
    <w:rsid w:val="00F331AD"/>
    <w:rsid w:val="00F34D00"/>
    <w:rsid w:val="00F34DCE"/>
    <w:rsid w:val="00F35287"/>
    <w:rsid w:val="00F40A70"/>
    <w:rsid w:val="00F43A37"/>
    <w:rsid w:val="00F449D9"/>
    <w:rsid w:val="00F4641B"/>
    <w:rsid w:val="00F46EB8"/>
    <w:rsid w:val="00F476B8"/>
    <w:rsid w:val="00F50CD1"/>
    <w:rsid w:val="00F511E4"/>
    <w:rsid w:val="00F51642"/>
    <w:rsid w:val="00F52D09"/>
    <w:rsid w:val="00F52E08"/>
    <w:rsid w:val="00F52F6A"/>
    <w:rsid w:val="00F53625"/>
    <w:rsid w:val="00F53A66"/>
    <w:rsid w:val="00F5462D"/>
    <w:rsid w:val="00F55B21"/>
    <w:rsid w:val="00F560D9"/>
    <w:rsid w:val="00F566E7"/>
    <w:rsid w:val="00F56EF6"/>
    <w:rsid w:val="00F570E2"/>
    <w:rsid w:val="00F60082"/>
    <w:rsid w:val="00F60C74"/>
    <w:rsid w:val="00F61A9F"/>
    <w:rsid w:val="00F61B5F"/>
    <w:rsid w:val="00F64696"/>
    <w:rsid w:val="00F65AA9"/>
    <w:rsid w:val="00F6768F"/>
    <w:rsid w:val="00F72115"/>
    <w:rsid w:val="00F72C2C"/>
    <w:rsid w:val="00F741F2"/>
    <w:rsid w:val="00F76CAB"/>
    <w:rsid w:val="00F772BD"/>
    <w:rsid w:val="00F772C6"/>
    <w:rsid w:val="00F813DD"/>
    <w:rsid w:val="00F813EA"/>
    <w:rsid w:val="00F81417"/>
    <w:rsid w:val="00F815B5"/>
    <w:rsid w:val="00F85195"/>
    <w:rsid w:val="00F868E3"/>
    <w:rsid w:val="00F938BA"/>
    <w:rsid w:val="00F972B1"/>
    <w:rsid w:val="00F97919"/>
    <w:rsid w:val="00F97D53"/>
    <w:rsid w:val="00FA2C46"/>
    <w:rsid w:val="00FA3525"/>
    <w:rsid w:val="00FA5A53"/>
    <w:rsid w:val="00FB030F"/>
    <w:rsid w:val="00FB0E5A"/>
    <w:rsid w:val="00FB3501"/>
    <w:rsid w:val="00FB4769"/>
    <w:rsid w:val="00FB4CDA"/>
    <w:rsid w:val="00FB5B4E"/>
    <w:rsid w:val="00FB6481"/>
    <w:rsid w:val="00FB6D36"/>
    <w:rsid w:val="00FB7D8E"/>
    <w:rsid w:val="00FC0965"/>
    <w:rsid w:val="00FC0D2F"/>
    <w:rsid w:val="00FC0F81"/>
    <w:rsid w:val="00FC2056"/>
    <w:rsid w:val="00FC252F"/>
    <w:rsid w:val="00FC2580"/>
    <w:rsid w:val="00FC395C"/>
    <w:rsid w:val="00FC5E8E"/>
    <w:rsid w:val="00FD1096"/>
    <w:rsid w:val="00FD3766"/>
    <w:rsid w:val="00FD47C4"/>
    <w:rsid w:val="00FD4AA8"/>
    <w:rsid w:val="00FE0459"/>
    <w:rsid w:val="00FE2DCF"/>
    <w:rsid w:val="00FE3FA7"/>
    <w:rsid w:val="00FE5C88"/>
    <w:rsid w:val="00FE7E5B"/>
    <w:rsid w:val="00FF1C16"/>
    <w:rsid w:val="00FF26B1"/>
    <w:rsid w:val="00FF2A4E"/>
    <w:rsid w:val="00FF2FCE"/>
    <w:rsid w:val="00FF4F7D"/>
    <w:rsid w:val="00FF4FAE"/>
    <w:rsid w:val="00FF61D5"/>
    <w:rsid w:val="00FF6D9D"/>
    <w:rsid w:val="00FF7DD5"/>
    <w:rsid w:val="08EB5346"/>
    <w:rsid w:val="1C67460B"/>
    <w:rsid w:val="424ED30A"/>
    <w:rsid w:val="533AD2BD"/>
    <w:rsid w:val="5AF333B0"/>
    <w:rsid w:val="67C222D8"/>
    <w:rsid w:val="6AE44419"/>
    <w:rsid w:val="733D6B54"/>
    <w:rsid w:val="74B6B9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D6B54"/>
  <w15:docId w15:val="{9A62F925-BEC8-4ECB-A7F4-B57FE615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32"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30"/>
    <w:pPr>
      <w:spacing w:after="120" w:line="280" w:lineRule="atLeast"/>
    </w:pPr>
    <w:rPr>
      <w:rFonts w:ascii="Arial" w:hAnsi="Arial"/>
      <w:sz w:val="21"/>
      <w:lang w:eastAsia="en-US"/>
    </w:rPr>
  </w:style>
  <w:style w:type="paragraph" w:styleId="Heading1">
    <w:name w:val="heading 1"/>
    <w:next w:val="Body"/>
    <w:link w:val="Heading1Char"/>
    <w:uiPriority w:val="9"/>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uiPriority w:val="9"/>
    <w:unhideWhenUsed/>
    <w:qFormat/>
    <w:rsid w:val="00731B0C"/>
    <w:pPr>
      <w:keepNext/>
      <w:keepLines/>
      <w:spacing w:before="40" w:after="0" w:line="279" w:lineRule="auto"/>
      <w:outlineLvl w:val="5"/>
    </w:pPr>
    <w:rPr>
      <w:rFonts w:asciiTheme="minorHAnsi" w:eastAsiaTheme="majorEastAsia" w:hAnsiTheme="minorHAnsi" w:cstheme="majorBidi"/>
      <w:i/>
      <w:iCs/>
      <w:color w:val="595959" w:themeColor="text1" w:themeTint="A6"/>
      <w:sz w:val="24"/>
      <w:szCs w:val="24"/>
      <w:lang w:val="en-US" w:eastAsia="ja-JP"/>
    </w:rPr>
  </w:style>
  <w:style w:type="paragraph" w:styleId="Heading7">
    <w:name w:val="heading 7"/>
    <w:basedOn w:val="Normal"/>
    <w:next w:val="Normal"/>
    <w:uiPriority w:val="9"/>
    <w:unhideWhenUsed/>
    <w:qFormat/>
    <w:rsid w:val="00731B0C"/>
    <w:pPr>
      <w:keepNext/>
      <w:keepLines/>
      <w:spacing w:before="40" w:after="0" w:line="279" w:lineRule="auto"/>
      <w:outlineLvl w:val="6"/>
    </w:pPr>
    <w:rPr>
      <w:rFonts w:asciiTheme="minorHAnsi" w:eastAsiaTheme="majorEastAsia" w:hAnsiTheme="minorHAnsi" w:cstheme="majorBidi"/>
      <w:color w:val="595959" w:themeColor="text1" w:themeTint="A6"/>
      <w:sz w:val="24"/>
      <w:szCs w:val="24"/>
      <w:lang w:val="en-US" w:eastAsia="ja-JP"/>
    </w:rPr>
  </w:style>
  <w:style w:type="paragraph" w:styleId="Heading8">
    <w:name w:val="heading 8"/>
    <w:basedOn w:val="Normal"/>
    <w:next w:val="Normal"/>
    <w:link w:val="Heading8Char"/>
    <w:uiPriority w:val="9"/>
    <w:unhideWhenUsed/>
    <w:qFormat/>
    <w:rsid w:val="006E0EF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uiPriority w:val="9"/>
    <w:unhideWhenUsed/>
    <w:qFormat/>
    <w:rsid w:val="00731B0C"/>
    <w:pPr>
      <w:keepNext/>
      <w:keepLines/>
      <w:spacing w:after="0" w:line="279" w:lineRule="auto"/>
      <w:outlineLvl w:val="8"/>
    </w:pPr>
    <w:rPr>
      <w:rFonts w:asciiTheme="minorHAnsi" w:eastAsiaTheme="majorEastAsia" w:hAnsiTheme="minorHAnsi" w:cstheme="majorBidi"/>
      <w:color w:val="272727" w:themeColor="text1" w:themeTint="D8"/>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3D7E30"/>
    <w:rPr>
      <w:rFonts w:ascii="Arial" w:hAnsi="Arial"/>
      <w:b/>
      <w:color w:val="201547"/>
      <w:sz w:val="32"/>
      <w:szCs w:val="28"/>
      <w:lang w:eastAsia="en-US"/>
    </w:rPr>
  </w:style>
  <w:style w:type="character" w:customStyle="1" w:styleId="Heading3Char">
    <w:name w:val="Heading 3 Char"/>
    <w:link w:val="Heading3"/>
    <w:uiPriority w:val="9"/>
    <w:rsid w:val="003D7E30"/>
    <w:rPr>
      <w:rFonts w:ascii="Arial" w:eastAsia="MS Gothic" w:hAnsi="Arial"/>
      <w:bCs/>
      <w:color w:val="201547"/>
      <w:sz w:val="28"/>
      <w:szCs w:val="26"/>
      <w:lang w:eastAsia="en-US"/>
    </w:rPr>
  </w:style>
  <w:style w:type="character" w:customStyle="1" w:styleId="Heading4Char">
    <w:name w:val="Heading 4 Char"/>
    <w:link w:val="Heading4"/>
    <w:uiPriority w:val="9"/>
    <w:rsid w:val="003D7E30"/>
    <w:rPr>
      <w:rFonts w:ascii="Arial" w:eastAsia="MS Mincho" w:hAnsi="Arial"/>
      <w:b/>
      <w:bCs/>
      <w:color w:val="201547"/>
      <w:sz w:val="24"/>
      <w:szCs w:val="22"/>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Purpletable">
    <w:name w:val="Purple table"/>
    <w:basedOn w:val="TableNormal"/>
    <w:next w:val="TableGrid"/>
    <w:uiPriority w:val="39"/>
    <w:rsid w:val="0048348D"/>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48348D"/>
    <w:rPr>
      <w:rFonts w:ascii="Arial" w:hAnsi="Arial"/>
      <w:sz w:val="21"/>
      <w:lang w:eastAsia="en-US"/>
    </w:rPr>
  </w:style>
  <w:style w:type="paragraph" w:customStyle="1" w:styleId="DHHStabletext">
    <w:name w:val="DHHS table text"/>
    <w:uiPriority w:val="3"/>
    <w:qFormat/>
    <w:rsid w:val="007F1AAF"/>
    <w:pPr>
      <w:spacing w:before="80" w:after="60"/>
    </w:pPr>
    <w:rPr>
      <w:rFonts w:ascii="Arial" w:hAnsi="Arial"/>
      <w:lang w:eastAsia="en-US"/>
    </w:rPr>
  </w:style>
  <w:style w:type="paragraph" w:customStyle="1" w:styleId="DHHStablebullet1">
    <w:name w:val="DHHS table bullet 1"/>
    <w:basedOn w:val="Normal"/>
    <w:uiPriority w:val="3"/>
    <w:qFormat/>
    <w:rsid w:val="00F772BD"/>
    <w:pPr>
      <w:spacing w:before="80" w:after="60" w:line="240" w:lineRule="auto"/>
      <w:ind w:left="227" w:hanging="227"/>
    </w:pPr>
    <w:rPr>
      <w:sz w:val="20"/>
    </w:rPr>
  </w:style>
  <w:style w:type="character" w:customStyle="1" w:styleId="Heading8Char">
    <w:name w:val="Heading 8 Char"/>
    <w:basedOn w:val="DefaultParagraphFont"/>
    <w:link w:val="Heading8"/>
    <w:uiPriority w:val="9"/>
    <w:rsid w:val="006E0EF5"/>
    <w:rPr>
      <w:rFonts w:asciiTheme="majorHAnsi" w:eastAsiaTheme="majorEastAsia" w:hAnsiTheme="majorHAnsi" w:cstheme="majorBidi"/>
      <w:color w:val="272727" w:themeColor="text1" w:themeTint="D8"/>
      <w:sz w:val="21"/>
      <w:szCs w:val="21"/>
      <w:lang w:eastAsia="en-US"/>
    </w:rPr>
  </w:style>
  <w:style w:type="character" w:customStyle="1" w:styleId="normaltextrun">
    <w:name w:val="normaltextrun"/>
    <w:basedOn w:val="DefaultParagraphFont"/>
    <w:rsid w:val="00E77A77"/>
  </w:style>
  <w:style w:type="paragraph" w:customStyle="1" w:styleId="Default">
    <w:name w:val="Default"/>
    <w:rsid w:val="00E77A77"/>
    <w:pPr>
      <w:autoSpaceDE w:val="0"/>
      <w:autoSpaceDN w:val="0"/>
      <w:adjustRightInd w:val="0"/>
    </w:pPr>
    <w:rPr>
      <w:rFonts w:ascii="Arial" w:eastAsiaTheme="minorHAnsi" w:hAnsi="Arial" w:cs="Arial"/>
      <w:color w:val="000000"/>
      <w:sz w:val="24"/>
      <w:szCs w:val="24"/>
      <w:lang w:eastAsia="en-US"/>
      <w14:ligatures w14:val="standardContextual"/>
    </w:rPr>
  </w:style>
  <w:style w:type="character" w:styleId="Mention">
    <w:name w:val="Mention"/>
    <w:basedOn w:val="DefaultParagraphFont"/>
    <w:uiPriority w:val="99"/>
    <w:unhideWhenUsed/>
    <w:rsid w:val="00CD5B59"/>
    <w:rPr>
      <w:color w:val="2B579A"/>
      <w:shd w:val="clear" w:color="auto" w:fill="E1DFDD"/>
    </w:rPr>
  </w:style>
  <w:style w:type="character" w:customStyle="1" w:styleId="QuoteChar1">
    <w:name w:val="Quote Char1"/>
    <w:basedOn w:val="DefaultParagraphFont"/>
    <w:uiPriority w:val="73"/>
    <w:semiHidden/>
    <w:rsid w:val="00731B0C"/>
    <w:rPr>
      <w:rFonts w:ascii="Arial" w:hAnsi="Arial"/>
      <w:i/>
      <w:iCs/>
      <w:color w:val="404040" w:themeColor="text1" w:themeTint="BF"/>
      <w:sz w:val="21"/>
      <w:lang w:eastAsia="en-US"/>
    </w:rPr>
  </w:style>
  <w:style w:type="character" w:customStyle="1" w:styleId="IntenseQuoteChar1">
    <w:name w:val="Intense Quote Char1"/>
    <w:basedOn w:val="DefaultParagraphFont"/>
    <w:uiPriority w:val="60"/>
    <w:semiHidden/>
    <w:rsid w:val="00731B0C"/>
    <w:rPr>
      <w:rFonts w:ascii="Arial" w:hAnsi="Arial"/>
      <w:i/>
      <w:iCs/>
      <w:color w:val="4F81BD" w:themeColor="accent1"/>
      <w:sz w:val="21"/>
      <w:lang w:eastAsia="en-US"/>
    </w:rPr>
  </w:style>
  <w:style w:type="paragraph" w:styleId="Header">
    <w:name w:val="header"/>
    <w:basedOn w:val="Normal"/>
    <w:link w:val="HeaderChar"/>
    <w:uiPriority w:val="99"/>
    <w:semiHidden/>
    <w:unhideWhenUsed/>
    <w:rsid w:val="006B5E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5EBD"/>
    <w:rPr>
      <w:rFonts w:ascii="Arial" w:hAnsi="Arial"/>
      <w:sz w:val="21"/>
      <w:lang w:eastAsia="en-US"/>
    </w:rPr>
  </w:style>
  <w:style w:type="paragraph" w:styleId="Footer">
    <w:name w:val="footer"/>
    <w:basedOn w:val="Normal"/>
    <w:link w:val="FooterChar"/>
    <w:uiPriority w:val="99"/>
    <w:semiHidden/>
    <w:unhideWhenUsed/>
    <w:rsid w:val="006B5E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5EBD"/>
    <w:rPr>
      <w:rFonts w:ascii="Arial" w:hAnsi="Arial"/>
      <w:sz w:val="21"/>
      <w:lang w:eastAsia="en-US"/>
    </w:rPr>
  </w:style>
  <w:style w:type="character" w:customStyle="1" w:styleId="QuoteChar2">
    <w:name w:val="Quote Char2"/>
    <w:basedOn w:val="DefaultParagraphFont"/>
    <w:uiPriority w:val="29"/>
    <w:semiHidden/>
    <w:rsid w:val="006B5EBD"/>
    <w:rPr>
      <w:rFonts w:ascii="Arial" w:hAnsi="Arial"/>
      <w:i/>
      <w:iCs/>
      <w:color w:val="404040" w:themeColor="text1" w:themeTint="BF"/>
      <w:sz w:val="21"/>
      <w:lang w:eastAsia="en-US"/>
    </w:rPr>
  </w:style>
  <w:style w:type="character" w:customStyle="1" w:styleId="IntenseQuoteChar2">
    <w:name w:val="Intense Quote Char2"/>
    <w:basedOn w:val="DefaultParagraphFont"/>
    <w:uiPriority w:val="30"/>
    <w:semiHidden/>
    <w:rsid w:val="006B5EBD"/>
    <w:rPr>
      <w:rFonts w:ascii="Arial" w:hAnsi="Arial"/>
      <w:i/>
      <w:iCs/>
      <w:color w:val="4F81BD" w:themeColor="accent1"/>
      <w:sz w:val="21"/>
      <w:lang w:eastAsia="en-US"/>
    </w:rPr>
  </w:style>
  <w:style w:type="character" w:customStyle="1" w:styleId="QuoteChar3">
    <w:name w:val="Quote Char3"/>
    <w:basedOn w:val="DefaultParagraphFont"/>
    <w:uiPriority w:val="29"/>
    <w:semiHidden/>
    <w:rsid w:val="00A7052C"/>
    <w:rPr>
      <w:rFonts w:ascii="Arial" w:hAnsi="Arial"/>
      <w:i/>
      <w:iCs/>
      <w:color w:val="404040" w:themeColor="text1" w:themeTint="BF"/>
      <w:sz w:val="21"/>
      <w:lang w:eastAsia="en-US"/>
    </w:rPr>
  </w:style>
  <w:style w:type="character" w:customStyle="1" w:styleId="IntenseQuoteChar3">
    <w:name w:val="Intense Quote Char3"/>
    <w:basedOn w:val="DefaultParagraphFont"/>
    <w:uiPriority w:val="30"/>
    <w:semiHidden/>
    <w:rsid w:val="00A7052C"/>
    <w:rPr>
      <w:rFonts w:ascii="Arial" w:hAnsi="Arial"/>
      <w:i/>
      <w:iCs/>
      <w:color w:val="4F81BD" w:themeColor="accent1"/>
      <w:sz w:val="21"/>
      <w:lang w:eastAsia="en-US"/>
    </w:rPr>
  </w:style>
  <w:style w:type="table" w:styleId="GridTable5Dark-Accent1">
    <w:name w:val="Grid Table 5 Dark Accent 1"/>
    <w:basedOn w:val="TableNormal"/>
    <w:uiPriority w:val="50"/>
    <w:rsid w:val="00E973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vic.gov.au/worker-and-carer-exclusion-scheme" TargetMode="External"/><Relationship Id="rId26" Type="http://schemas.openxmlformats.org/officeDocument/2006/relationships/hyperlink" Target="https://dhhschange.syd1.qualtrics.com/jfe/form/SV_erGLolVeBRFsQdw" TargetMode="External"/><Relationship Id="rId3" Type="http://schemas.openxmlformats.org/officeDocument/2006/relationships/customXml" Target="../customXml/item3.xml"/><Relationship Id="rId21" Type="http://schemas.openxmlformats.org/officeDocument/2006/relationships/hyperlink" Target="https://providers.dffh.vic.gov.au/cim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providers.dffh.vic.gov.au/cim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ic.gov.au/social-services-regulato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hhschange.syd1.qualtrics.com/jfe/form/SV_6lmYzG7K4DBP8H4"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hhschange.syd1.qualtrics.com/jfe/form/SV_erGLolVeBRFsQdw" TargetMode="External"/><Relationship Id="rId28" Type="http://schemas.openxmlformats.org/officeDocument/2006/relationships/hyperlink" Target="https://www.vic.gov.au/ssr-reporting-notifiable-incident" TargetMode="External"/><Relationship Id="rId10" Type="http://schemas.openxmlformats.org/officeDocument/2006/relationships/webSettings" Target="webSettings.xml"/><Relationship Id="rId19" Type="http://schemas.openxmlformats.org/officeDocument/2006/relationships/hyperlink" Target="https://www.vic.gov.au/ssr-reporting-notifiable-incid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viders.dffh.vic.gov.au/cims-guidance-resources" TargetMode="External"/><Relationship Id="rId27" Type="http://schemas.openxmlformats.org/officeDocument/2006/relationships/hyperlink" Target="mailto:enquiries@ssr.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43</AccountId>
        <AccountType/>
      </UserInfo>
      <UserInfo>
        <DisplayName>Braden Hegedus (DFFH)</DisplayName>
        <AccountId>873</AccountId>
        <AccountType/>
      </UserInfo>
    </SharedWithUsers>
    <Comment xmlns="5dc74ea8-e552-4672-9e93-7e886a7af213" xsi:nil="true"/>
    <TaxCatchAll xmlns="5ce0f2b5-5be5-4508-bce9-d7011ece0659" xsi:nil="true"/>
    <Comments xmlns="5dc74ea8-e552-4672-9e93-7e886a7af213" xsi:nil="true"/>
    <MediaLengthInSeconds xmlns="5dc74ea8-e552-4672-9e93-7e886a7af213" xsi:nil="true"/>
    <Status xmlns="5dc74ea8-e552-4672-9e93-7e886a7af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5ce0f2b5-5be5-4508-bce9-d7011ece0659"/>
    <ds:schemaRef ds:uri="http://purl.org/dc/elements/1.1/"/>
    <ds:schemaRef ds:uri="http://www.w3.org/XML/1998/namespace"/>
    <ds:schemaRef ds:uri="http://schemas.microsoft.com/office/infopath/2007/PartnerControls"/>
    <ds:schemaRef ds:uri="http://purl.org/dc/terms/"/>
    <ds:schemaRef ds:uri="5dc74ea8-e552-4672-9e93-7e886a7af213"/>
    <ds:schemaRef ds:uri="c520fbed-e792-47a6-88e7-e35740b0617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ABDA1A7-5EDB-47C7-9134-59F8E431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5.xml><?xml version="1.0" encoding="utf-8"?>
<ds:datastoreItem xmlns:ds="http://schemas.openxmlformats.org/officeDocument/2006/customXml" ds:itemID="{F3312560-6374-4558-B20F-B4AE42C405F2}">
  <ds:schemaRefs>
    <ds:schemaRef ds:uri="http://schemas.microsoft.com/sharepoint/v3/contenttype/forms"/>
  </ds:schemaRefs>
</ds:datastoreItem>
</file>

<file path=customXml/itemProps6.xml><?xml version="1.0" encoding="utf-8"?>
<ds:datastoreItem xmlns:ds="http://schemas.openxmlformats.org/officeDocument/2006/customXml" ds:itemID="{B27DC600-51C8-42A9-80C2-5E2F899C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2996</Words>
  <Characters>17081</Characters>
  <Application>Microsoft Office Word</Application>
  <DocSecurity>0</DocSecurity>
  <Lines>142</Lines>
  <Paragraphs>40</Paragraphs>
  <ScaleCrop>false</ScaleCrop>
  <Manager/>
  <Company>Victoria State Government, Social Services Regulator</Company>
  <LinksUpToDate>false</LinksUpToDate>
  <CharactersWithSpaces>20037</CharactersWithSpaces>
  <SharedDoc>false</SharedDoc>
  <HyperlinkBase/>
  <HLinks>
    <vt:vector size="114" baseType="variant">
      <vt:variant>
        <vt:i4>917505</vt:i4>
      </vt:variant>
      <vt:variant>
        <vt:i4>84</vt:i4>
      </vt:variant>
      <vt:variant>
        <vt:i4>0</vt:i4>
      </vt:variant>
      <vt:variant>
        <vt:i4>5</vt:i4>
      </vt:variant>
      <vt:variant>
        <vt:lpwstr>https://www.vic.gov.au/ssr-reporting-notifiable-incident</vt:lpwstr>
      </vt:variant>
      <vt:variant>
        <vt:lpwstr/>
      </vt:variant>
      <vt:variant>
        <vt:i4>6357085</vt:i4>
      </vt:variant>
      <vt:variant>
        <vt:i4>81</vt:i4>
      </vt:variant>
      <vt:variant>
        <vt:i4>0</vt:i4>
      </vt:variant>
      <vt:variant>
        <vt:i4>5</vt:i4>
      </vt:variant>
      <vt:variant>
        <vt:lpwstr>mailto:enquiries@ssr.vic.gov.au</vt:lpwstr>
      </vt:variant>
      <vt:variant>
        <vt:lpwstr/>
      </vt:variant>
      <vt:variant>
        <vt:i4>2293779</vt:i4>
      </vt:variant>
      <vt:variant>
        <vt:i4>78</vt:i4>
      </vt:variant>
      <vt:variant>
        <vt:i4>0</vt:i4>
      </vt:variant>
      <vt:variant>
        <vt:i4>5</vt:i4>
      </vt:variant>
      <vt:variant>
        <vt:lpwstr>https://dhhschange.syd1.qualtrics.com/jfe/form/SV_erGLolVeBRFsQdw</vt:lpwstr>
      </vt:variant>
      <vt:variant>
        <vt:lpwstr/>
      </vt:variant>
      <vt:variant>
        <vt:i4>7536753</vt:i4>
      </vt:variant>
      <vt:variant>
        <vt:i4>75</vt:i4>
      </vt:variant>
      <vt:variant>
        <vt:i4>0</vt:i4>
      </vt:variant>
      <vt:variant>
        <vt:i4>5</vt:i4>
      </vt:variant>
      <vt:variant>
        <vt:lpwstr>https://providers.dffh.vic.gov.au/cims</vt:lpwstr>
      </vt:variant>
      <vt:variant>
        <vt:lpwstr/>
      </vt:variant>
      <vt:variant>
        <vt:i4>3407877</vt:i4>
      </vt:variant>
      <vt:variant>
        <vt:i4>72</vt:i4>
      </vt:variant>
      <vt:variant>
        <vt:i4>0</vt:i4>
      </vt:variant>
      <vt:variant>
        <vt:i4>5</vt:i4>
      </vt:variant>
      <vt:variant>
        <vt:lpwstr>https://dhhschange.syd1.qualtrics.com/jfe/form/SV_6lmYzG7K4DBP8H4</vt:lpwstr>
      </vt:variant>
      <vt:variant>
        <vt:lpwstr/>
      </vt:variant>
      <vt:variant>
        <vt:i4>2293779</vt:i4>
      </vt:variant>
      <vt:variant>
        <vt:i4>69</vt:i4>
      </vt:variant>
      <vt:variant>
        <vt:i4>0</vt:i4>
      </vt:variant>
      <vt:variant>
        <vt:i4>5</vt:i4>
      </vt:variant>
      <vt:variant>
        <vt:lpwstr>https://dhhschange.syd1.qualtrics.com/jfe/form/SV_erGLolVeBRFsQdw</vt:lpwstr>
      </vt:variant>
      <vt:variant>
        <vt:lpwstr/>
      </vt:variant>
      <vt:variant>
        <vt:i4>5177425</vt:i4>
      </vt:variant>
      <vt:variant>
        <vt:i4>66</vt:i4>
      </vt:variant>
      <vt:variant>
        <vt:i4>0</vt:i4>
      </vt:variant>
      <vt:variant>
        <vt:i4>5</vt:i4>
      </vt:variant>
      <vt:variant>
        <vt:lpwstr>https://providers.dffh.vic.gov.au/cims-guidance-resources</vt:lpwstr>
      </vt:variant>
      <vt:variant>
        <vt:lpwstr/>
      </vt:variant>
      <vt:variant>
        <vt:i4>7536753</vt:i4>
      </vt:variant>
      <vt:variant>
        <vt:i4>63</vt:i4>
      </vt:variant>
      <vt:variant>
        <vt:i4>0</vt:i4>
      </vt:variant>
      <vt:variant>
        <vt:i4>5</vt:i4>
      </vt:variant>
      <vt:variant>
        <vt:lpwstr>https://providers.dffh.vic.gov.au/cims</vt:lpwstr>
      </vt:variant>
      <vt:variant>
        <vt:lpwstr/>
      </vt:variant>
      <vt:variant>
        <vt:i4>1769566</vt:i4>
      </vt:variant>
      <vt:variant>
        <vt:i4>60</vt:i4>
      </vt:variant>
      <vt:variant>
        <vt:i4>0</vt:i4>
      </vt:variant>
      <vt:variant>
        <vt:i4>5</vt:i4>
      </vt:variant>
      <vt:variant>
        <vt:lpwstr>https://www.vic.gov.au/social-services-regulator</vt:lpwstr>
      </vt:variant>
      <vt:variant>
        <vt:lpwstr/>
      </vt:variant>
      <vt:variant>
        <vt:i4>917505</vt:i4>
      </vt:variant>
      <vt:variant>
        <vt:i4>57</vt:i4>
      </vt:variant>
      <vt:variant>
        <vt:i4>0</vt:i4>
      </vt:variant>
      <vt:variant>
        <vt:i4>5</vt:i4>
      </vt:variant>
      <vt:variant>
        <vt:lpwstr>https://www.vic.gov.au/ssr-reporting-notifiable-incident</vt:lpwstr>
      </vt:variant>
      <vt:variant>
        <vt:lpwstr/>
      </vt:variant>
      <vt:variant>
        <vt:i4>5898264</vt:i4>
      </vt:variant>
      <vt:variant>
        <vt:i4>54</vt:i4>
      </vt:variant>
      <vt:variant>
        <vt:i4>0</vt:i4>
      </vt:variant>
      <vt:variant>
        <vt:i4>5</vt:i4>
      </vt:variant>
      <vt:variant>
        <vt:lpwstr>https://www.vic.gov.au/worker-and-carer-exclusion-scheme</vt:lpwstr>
      </vt:variant>
      <vt:variant>
        <vt:lpwstr/>
      </vt:variant>
      <vt:variant>
        <vt:i4>1179701</vt:i4>
      </vt:variant>
      <vt:variant>
        <vt:i4>47</vt:i4>
      </vt:variant>
      <vt:variant>
        <vt:i4>0</vt:i4>
      </vt:variant>
      <vt:variant>
        <vt:i4>5</vt:i4>
      </vt:variant>
      <vt:variant>
        <vt:lpwstr/>
      </vt:variant>
      <vt:variant>
        <vt:lpwstr>_Toc180055180</vt:lpwstr>
      </vt:variant>
      <vt:variant>
        <vt:i4>1900597</vt:i4>
      </vt:variant>
      <vt:variant>
        <vt:i4>41</vt:i4>
      </vt:variant>
      <vt:variant>
        <vt:i4>0</vt:i4>
      </vt:variant>
      <vt:variant>
        <vt:i4>5</vt:i4>
      </vt:variant>
      <vt:variant>
        <vt:lpwstr/>
      </vt:variant>
      <vt:variant>
        <vt:lpwstr>_Toc180055179</vt:lpwstr>
      </vt:variant>
      <vt:variant>
        <vt:i4>1900597</vt:i4>
      </vt:variant>
      <vt:variant>
        <vt:i4>35</vt:i4>
      </vt:variant>
      <vt:variant>
        <vt:i4>0</vt:i4>
      </vt:variant>
      <vt:variant>
        <vt:i4>5</vt:i4>
      </vt:variant>
      <vt:variant>
        <vt:lpwstr/>
      </vt:variant>
      <vt:variant>
        <vt:lpwstr>_Toc180055178</vt:lpwstr>
      </vt:variant>
      <vt:variant>
        <vt:i4>1900597</vt:i4>
      </vt:variant>
      <vt:variant>
        <vt:i4>29</vt:i4>
      </vt:variant>
      <vt:variant>
        <vt:i4>0</vt:i4>
      </vt:variant>
      <vt:variant>
        <vt:i4>5</vt:i4>
      </vt:variant>
      <vt:variant>
        <vt:lpwstr/>
      </vt:variant>
      <vt:variant>
        <vt:lpwstr>_Toc180055177</vt:lpwstr>
      </vt:variant>
      <vt:variant>
        <vt:i4>1900597</vt:i4>
      </vt:variant>
      <vt:variant>
        <vt:i4>23</vt:i4>
      </vt:variant>
      <vt:variant>
        <vt:i4>0</vt:i4>
      </vt:variant>
      <vt:variant>
        <vt:i4>5</vt:i4>
      </vt:variant>
      <vt:variant>
        <vt:lpwstr/>
      </vt:variant>
      <vt:variant>
        <vt:lpwstr>_Toc180055176</vt:lpwstr>
      </vt:variant>
      <vt:variant>
        <vt:i4>1900597</vt:i4>
      </vt:variant>
      <vt:variant>
        <vt:i4>17</vt:i4>
      </vt:variant>
      <vt:variant>
        <vt:i4>0</vt:i4>
      </vt:variant>
      <vt:variant>
        <vt:i4>5</vt:i4>
      </vt:variant>
      <vt:variant>
        <vt:lpwstr/>
      </vt:variant>
      <vt:variant>
        <vt:lpwstr>_Toc180055175</vt:lpwstr>
      </vt:variant>
      <vt:variant>
        <vt:i4>1900597</vt:i4>
      </vt:variant>
      <vt:variant>
        <vt:i4>11</vt:i4>
      </vt:variant>
      <vt:variant>
        <vt:i4>0</vt:i4>
      </vt:variant>
      <vt:variant>
        <vt:i4>5</vt:i4>
      </vt:variant>
      <vt:variant>
        <vt:lpwstr/>
      </vt:variant>
      <vt:variant>
        <vt:lpwstr>_Toc180055174</vt:lpwstr>
      </vt:variant>
      <vt:variant>
        <vt:i4>1900597</vt:i4>
      </vt:variant>
      <vt:variant>
        <vt:i4>5</vt:i4>
      </vt:variant>
      <vt:variant>
        <vt:i4>0</vt:i4>
      </vt:variant>
      <vt:variant>
        <vt:i4>5</vt:i4>
      </vt:variant>
      <vt:variant>
        <vt:lpwstr/>
      </vt:variant>
      <vt:variant>
        <vt:lpwstr>_Toc180055173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Miriam Kauppi (SSR)</cp:lastModifiedBy>
  <cp:revision>2</cp:revision>
  <cp:lastPrinted>2021-01-28T10:27:00Z</cp:lastPrinted>
  <dcterms:created xsi:type="dcterms:W3CDTF">2025-07-10T03:54:00Z</dcterms:created>
  <dcterms:modified xsi:type="dcterms:W3CDTF">2025-07-10T03:54:00Z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