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17DC8" w14:textId="34C0BD56" w:rsidR="007A4853" w:rsidRDefault="007A4853" w:rsidP="007A4853">
      <w:pPr>
        <w:pStyle w:val="Title"/>
        <w:rPr>
          <w:lang w:val="en-US"/>
        </w:rPr>
      </w:pPr>
      <w:r w:rsidRPr="000870DD">
        <w:rPr>
          <w:lang w:val="en-US"/>
        </w:rPr>
        <w:t>Victorian trends from the A</w:t>
      </w:r>
      <w:r w:rsidR="0025343B">
        <w:rPr>
          <w:lang w:val="en-US"/>
        </w:rPr>
        <w:t>ustralian Early Development Census</w:t>
      </w:r>
    </w:p>
    <w:p w14:paraId="6F506103" w14:textId="1583C1F5" w:rsidR="007A4853" w:rsidRPr="000870DD" w:rsidRDefault="007A4853" w:rsidP="007A4853">
      <w:pPr>
        <w:pStyle w:val="Heading1"/>
        <w:rPr>
          <w:lang w:val="en-US"/>
        </w:rPr>
      </w:pPr>
      <w:r w:rsidRPr="000870DD">
        <w:rPr>
          <w:lang w:val="en-US"/>
        </w:rPr>
        <w:t>Results from 2009</w:t>
      </w:r>
      <w:r w:rsidR="0025343B">
        <w:rPr>
          <w:lang w:val="en-US"/>
        </w:rPr>
        <w:t xml:space="preserve"> to </w:t>
      </w:r>
      <w:r w:rsidRPr="000870DD">
        <w:rPr>
          <w:lang w:val="en-US"/>
        </w:rPr>
        <w:t xml:space="preserve">2024 </w:t>
      </w:r>
    </w:p>
    <w:p w14:paraId="7FCCDEA2" w14:textId="7BF8FB63" w:rsidR="000F60C4" w:rsidRDefault="000F60C4" w:rsidP="000F60C4">
      <w:pPr>
        <w:spacing w:before="0" w:after="160" w:line="259" w:lineRule="auto"/>
        <w:rPr>
          <w:lang w:val="en-US"/>
        </w:rPr>
      </w:pPr>
      <w:r w:rsidRPr="000F60C4">
        <w:rPr>
          <w:lang w:val="en-US"/>
        </w:rPr>
        <w:t>The AEDC measures children’s development across five domains as they begin their first year of full-time school and has been held every three years since 2009. The sixth collection was in 2024</w:t>
      </w:r>
      <w:r w:rsidR="00C378AD">
        <w:rPr>
          <w:lang w:val="en-US"/>
        </w:rPr>
        <w:t>.</w:t>
      </w:r>
    </w:p>
    <w:p w14:paraId="447964A6" w14:textId="5DC02D71" w:rsidR="00C378AD" w:rsidRPr="00C378AD" w:rsidRDefault="00C378AD" w:rsidP="00C378AD">
      <w:pPr>
        <w:spacing w:before="0" w:after="160" w:line="259" w:lineRule="auto"/>
        <w:rPr>
          <w:lang w:val="en-US"/>
        </w:rPr>
      </w:pPr>
      <w:r w:rsidRPr="00C378AD">
        <w:rPr>
          <w:lang w:val="en-US"/>
        </w:rPr>
        <w:t>The AEDC data shows us how well children are faring and monitors developmental vulnerability over time.</w:t>
      </w:r>
    </w:p>
    <w:p w14:paraId="62488A9E" w14:textId="506135E2" w:rsidR="00C378AD" w:rsidRPr="00C378AD" w:rsidRDefault="00C378AD" w:rsidP="00C378AD">
      <w:pPr>
        <w:spacing w:before="0" w:after="160" w:line="259" w:lineRule="auto"/>
        <w:rPr>
          <w:lang w:val="en-US"/>
        </w:rPr>
      </w:pPr>
      <w:r w:rsidRPr="00C378AD">
        <w:rPr>
          <w:lang w:val="en-US"/>
        </w:rPr>
        <w:t>Nationally, the 2024 results show that the proportion of children who are considered developmentally vulnerable on one or more domains has increased since 2021.</w:t>
      </w:r>
    </w:p>
    <w:p w14:paraId="4D31A348" w14:textId="7C482A3D" w:rsidR="00C378AD" w:rsidRPr="00C378AD" w:rsidRDefault="00C378AD" w:rsidP="00C378AD">
      <w:pPr>
        <w:spacing w:before="0" w:after="160" w:line="259" w:lineRule="auto"/>
        <w:rPr>
          <w:lang w:val="en-US"/>
        </w:rPr>
      </w:pPr>
      <w:r w:rsidRPr="00C378AD">
        <w:rPr>
          <w:lang w:val="en-US"/>
        </w:rPr>
        <w:t>Results in Victoria reflect this pattern of increasing developmental vulnerability over time, however rates of vulnerability in Victoria continue to be lower than the national level.</w:t>
      </w:r>
    </w:p>
    <w:p w14:paraId="049D3EE7" w14:textId="11802A85" w:rsidR="00C378AD" w:rsidRDefault="00C378AD" w:rsidP="00C378AD">
      <w:pPr>
        <w:spacing w:before="0" w:after="160" w:line="259" w:lineRule="auto"/>
        <w:rPr>
          <w:lang w:val="en-US"/>
        </w:rPr>
      </w:pPr>
      <w:r w:rsidRPr="00C378AD">
        <w:rPr>
          <w:lang w:val="en-US"/>
        </w:rPr>
        <w:t>Further research is needed to understand what is contributing to changes in the AEDC results.</w:t>
      </w:r>
    </w:p>
    <w:p w14:paraId="4C3C2E40" w14:textId="77777777" w:rsidR="007A4853" w:rsidRPr="000870DD" w:rsidRDefault="007A4853" w:rsidP="007A4853">
      <w:pPr>
        <w:spacing w:after="160" w:line="259" w:lineRule="auto"/>
        <w:rPr>
          <w:lang w:val="en-US"/>
        </w:rPr>
      </w:pPr>
      <w:r w:rsidRPr="000870DD">
        <w:rPr>
          <w:b/>
          <w:bCs/>
          <w:lang w:val="en-US"/>
        </w:rPr>
        <w:t>Over</w:t>
      </w:r>
      <w:r>
        <w:rPr>
          <w:lang w:val="en-US"/>
        </w:rPr>
        <w:t xml:space="preserve"> </w:t>
      </w:r>
      <w:r w:rsidRPr="000870DD">
        <w:rPr>
          <w:b/>
          <w:bCs/>
          <w:lang w:val="en-US"/>
        </w:rPr>
        <w:t>288,000</w:t>
      </w:r>
      <w:r>
        <w:rPr>
          <w:b/>
          <w:bCs/>
          <w:lang w:val="en-US"/>
        </w:rPr>
        <w:t xml:space="preserve"> </w:t>
      </w:r>
      <w:r w:rsidRPr="000870DD">
        <w:rPr>
          <w:lang w:val="en-US"/>
        </w:rPr>
        <w:t xml:space="preserve">children participated in the </w:t>
      </w:r>
      <w:r w:rsidRPr="000870DD">
        <w:rPr>
          <w:b/>
          <w:bCs/>
          <w:lang w:val="en-US"/>
        </w:rPr>
        <w:t>AEDC in Australia</w:t>
      </w:r>
      <w:r w:rsidRPr="000870DD">
        <w:rPr>
          <w:lang w:val="en-US"/>
        </w:rPr>
        <w:t xml:space="preserve"> in 2024</w:t>
      </w:r>
      <w:r>
        <w:rPr>
          <w:lang w:val="en-US"/>
        </w:rPr>
        <w:t>.</w:t>
      </w:r>
    </w:p>
    <w:p w14:paraId="6064A3D9" w14:textId="01DD3C55" w:rsidR="007A4853" w:rsidRPr="000870DD" w:rsidRDefault="007A4853" w:rsidP="007A4853">
      <w:pPr>
        <w:spacing w:after="160" w:line="259" w:lineRule="auto"/>
        <w:rPr>
          <w:lang w:val="en-US"/>
        </w:rPr>
      </w:pPr>
      <w:r w:rsidRPr="000870DD">
        <w:rPr>
          <w:b/>
          <w:bCs/>
          <w:lang w:val="en-US"/>
        </w:rPr>
        <w:t>More than 67,000</w:t>
      </w:r>
      <w:r>
        <w:rPr>
          <w:b/>
          <w:bCs/>
          <w:lang w:val="en-US"/>
        </w:rPr>
        <w:t xml:space="preserve"> </w:t>
      </w:r>
      <w:r w:rsidRPr="000870DD">
        <w:rPr>
          <w:lang w:val="en-US"/>
        </w:rPr>
        <w:t xml:space="preserve">children participated in the </w:t>
      </w:r>
      <w:r w:rsidRPr="000870DD">
        <w:rPr>
          <w:b/>
          <w:bCs/>
          <w:lang w:val="en-US"/>
        </w:rPr>
        <w:t>AEDC in Victoria</w:t>
      </w:r>
      <w:r w:rsidRPr="000870DD">
        <w:rPr>
          <w:lang w:val="en-US"/>
        </w:rPr>
        <w:t xml:space="preserve"> in 2024</w:t>
      </w:r>
      <w:r>
        <w:rPr>
          <w:lang w:val="en-US"/>
        </w:rPr>
        <w:t>.</w:t>
      </w:r>
    </w:p>
    <w:p w14:paraId="0FEEA08A" w14:textId="056D8AF6" w:rsidR="007A4853" w:rsidRPr="000870DD" w:rsidRDefault="007A4853" w:rsidP="007A4853">
      <w:pPr>
        <w:pStyle w:val="Heading2"/>
        <w:rPr>
          <w:lang w:val="en-US"/>
        </w:rPr>
      </w:pPr>
      <w:r w:rsidRPr="000870DD">
        <w:rPr>
          <w:lang w:val="en-US"/>
        </w:rPr>
        <w:t>AEDC D</w:t>
      </w:r>
      <w:r>
        <w:rPr>
          <w:lang w:val="en-US"/>
        </w:rPr>
        <w:t>omains</w:t>
      </w:r>
    </w:p>
    <w:p w14:paraId="50918667" w14:textId="77777777" w:rsidR="007A4853" w:rsidRPr="000870DD" w:rsidRDefault="007A4853" w:rsidP="007A4853">
      <w:pPr>
        <w:spacing w:before="0" w:after="160" w:line="259" w:lineRule="auto"/>
        <w:rPr>
          <w:lang w:val="en-US"/>
        </w:rPr>
      </w:pPr>
      <w:r w:rsidRPr="000870DD">
        <w:rPr>
          <w:lang w:val="en-US"/>
        </w:rPr>
        <w:t>The AEDC domains are:</w:t>
      </w:r>
    </w:p>
    <w:p w14:paraId="79DE0710" w14:textId="77777777" w:rsidR="007A4853" w:rsidRPr="000870DD" w:rsidRDefault="007A4853" w:rsidP="007A4853">
      <w:pPr>
        <w:pStyle w:val="ListParagraph"/>
        <w:numPr>
          <w:ilvl w:val="0"/>
          <w:numId w:val="21"/>
        </w:numPr>
        <w:rPr>
          <w:lang w:val="en-US"/>
        </w:rPr>
      </w:pPr>
      <w:r w:rsidRPr="000870DD">
        <w:rPr>
          <w:lang w:val="en-US"/>
        </w:rPr>
        <w:t>Physical Health and Wellbeing</w:t>
      </w:r>
    </w:p>
    <w:p w14:paraId="55C1F55C" w14:textId="77777777" w:rsidR="007A4853" w:rsidRPr="000870DD" w:rsidRDefault="007A4853" w:rsidP="007A4853">
      <w:pPr>
        <w:pStyle w:val="ListParagraph"/>
        <w:numPr>
          <w:ilvl w:val="0"/>
          <w:numId w:val="21"/>
        </w:numPr>
        <w:rPr>
          <w:lang w:val="en-US"/>
        </w:rPr>
      </w:pPr>
      <w:r w:rsidRPr="000870DD">
        <w:rPr>
          <w:lang w:val="en-US"/>
        </w:rPr>
        <w:t>Social Competence</w:t>
      </w:r>
    </w:p>
    <w:p w14:paraId="0CEEB0B4" w14:textId="77777777" w:rsidR="007A4853" w:rsidRPr="000870DD" w:rsidRDefault="007A4853" w:rsidP="007A4853">
      <w:pPr>
        <w:pStyle w:val="ListParagraph"/>
        <w:numPr>
          <w:ilvl w:val="0"/>
          <w:numId w:val="21"/>
        </w:numPr>
        <w:rPr>
          <w:lang w:val="en-US"/>
        </w:rPr>
      </w:pPr>
      <w:r w:rsidRPr="000870DD">
        <w:rPr>
          <w:lang w:val="en-US"/>
        </w:rPr>
        <w:t>Language and Cognitive Skills</w:t>
      </w:r>
    </w:p>
    <w:p w14:paraId="3BFD9A8B" w14:textId="77777777" w:rsidR="007A4853" w:rsidRPr="000870DD" w:rsidRDefault="007A4853" w:rsidP="007A4853">
      <w:pPr>
        <w:pStyle w:val="ListParagraph"/>
        <w:numPr>
          <w:ilvl w:val="0"/>
          <w:numId w:val="21"/>
        </w:numPr>
        <w:rPr>
          <w:lang w:val="en-US"/>
        </w:rPr>
      </w:pPr>
      <w:r w:rsidRPr="000870DD">
        <w:rPr>
          <w:lang w:val="en-US"/>
        </w:rPr>
        <w:t>Communication Skills and General Knowledge</w:t>
      </w:r>
    </w:p>
    <w:p w14:paraId="0B1EA655" w14:textId="77777777" w:rsidR="007A4853" w:rsidRPr="000870DD" w:rsidRDefault="007A4853" w:rsidP="007A4853">
      <w:pPr>
        <w:pStyle w:val="ListParagraph"/>
        <w:numPr>
          <w:ilvl w:val="0"/>
          <w:numId w:val="21"/>
        </w:numPr>
        <w:rPr>
          <w:lang w:val="en-US"/>
        </w:rPr>
      </w:pPr>
      <w:r w:rsidRPr="000870DD">
        <w:rPr>
          <w:lang w:val="en-US"/>
        </w:rPr>
        <w:t>Emotional Maturity</w:t>
      </w:r>
    </w:p>
    <w:p w14:paraId="2D9C689F" w14:textId="16EAA589" w:rsidR="00E14E9B" w:rsidRDefault="00E14E9B" w:rsidP="007A4853">
      <w:pPr>
        <w:rPr>
          <w:lang w:val="en-US"/>
        </w:rPr>
      </w:pPr>
      <w:r>
        <w:rPr>
          <w:lang w:val="en-US"/>
        </w:rPr>
        <w:t>Lower levels of vulnerability in Victoria indicate that our children are faring better compared to the national result.</w:t>
      </w:r>
    </w:p>
    <w:p w14:paraId="31C49D81" w14:textId="77777777" w:rsidR="007A4853" w:rsidRPr="000870DD" w:rsidRDefault="007A4853" w:rsidP="007A4853">
      <w:pPr>
        <w:pStyle w:val="Heading2"/>
        <w:rPr>
          <w:b/>
          <w:lang w:val="en-US"/>
        </w:rPr>
      </w:pPr>
      <w:r w:rsidRPr="000870DD">
        <w:rPr>
          <w:lang w:val="en-US"/>
        </w:rPr>
        <w:t>Physical health and wellbeing</w:t>
      </w:r>
    </w:p>
    <w:p w14:paraId="5EDB1C6D" w14:textId="77777777" w:rsidR="007A4853" w:rsidRPr="000870DD" w:rsidRDefault="007A4853" w:rsidP="007A4853">
      <w:pPr>
        <w:spacing w:before="0" w:after="160" w:line="259" w:lineRule="auto"/>
        <w:rPr>
          <w:lang w:val="en-US"/>
        </w:rPr>
      </w:pPr>
      <w:r w:rsidRPr="000870DD">
        <w:rPr>
          <w:lang w:val="en-US"/>
        </w:rPr>
        <w:t xml:space="preserve">Developmentally vulnerable on the physical health and wellbeing domain </w:t>
      </w:r>
      <w:r w:rsidRPr="000870DD">
        <w:rPr>
          <w:b/>
          <w:bCs/>
          <w:lang w:val="en-US"/>
        </w:rPr>
        <w:t xml:space="preserve">increased </w:t>
      </w:r>
      <w:r w:rsidRPr="000870DD">
        <w:rPr>
          <w:lang w:val="en-US"/>
        </w:rPr>
        <w:t>between 2009 and 2024.</w:t>
      </w:r>
    </w:p>
    <w:p w14:paraId="16DE7524" w14:textId="77777777" w:rsidR="007A4853" w:rsidRDefault="007A4853" w:rsidP="007A4853">
      <w:pPr>
        <w:rPr>
          <w:lang w:val="en-US"/>
        </w:rPr>
      </w:pPr>
      <w:r w:rsidRPr="000870DD">
        <w:rPr>
          <w:lang w:val="en-US"/>
        </w:rPr>
        <w:t>Since 2021, vulnerability increased by 0.4 percentage points.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0"/>
        <w:gridCol w:w="1374"/>
        <w:gridCol w:w="1375"/>
        <w:gridCol w:w="1375"/>
        <w:gridCol w:w="1376"/>
        <w:gridCol w:w="1376"/>
        <w:gridCol w:w="1376"/>
      </w:tblGrid>
      <w:tr w:rsidR="007A4853" w14:paraId="6B70AA84" w14:textId="77777777" w:rsidTr="003832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" w:type="dxa"/>
          </w:tcPr>
          <w:p w14:paraId="6F409CFF" w14:textId="77777777" w:rsidR="007A4853" w:rsidRDefault="007A4853" w:rsidP="00383217">
            <w:r>
              <w:t>Year</w:t>
            </w:r>
          </w:p>
        </w:tc>
        <w:tc>
          <w:tcPr>
            <w:tcW w:w="1541" w:type="dxa"/>
          </w:tcPr>
          <w:p w14:paraId="1CD3E850" w14:textId="77777777" w:rsidR="007A4853" w:rsidRDefault="007A4853" w:rsidP="0038321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2009</w:t>
            </w:r>
          </w:p>
        </w:tc>
        <w:tc>
          <w:tcPr>
            <w:tcW w:w="1541" w:type="dxa"/>
          </w:tcPr>
          <w:p w14:paraId="0883FA57" w14:textId="77777777" w:rsidR="007A4853" w:rsidRDefault="007A4853" w:rsidP="0038321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2012</w:t>
            </w:r>
          </w:p>
        </w:tc>
        <w:tc>
          <w:tcPr>
            <w:tcW w:w="1541" w:type="dxa"/>
          </w:tcPr>
          <w:p w14:paraId="4A2794B3" w14:textId="77777777" w:rsidR="007A4853" w:rsidRDefault="007A4853" w:rsidP="0038321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2015</w:t>
            </w:r>
          </w:p>
        </w:tc>
        <w:tc>
          <w:tcPr>
            <w:tcW w:w="1542" w:type="dxa"/>
          </w:tcPr>
          <w:p w14:paraId="6B808099" w14:textId="77777777" w:rsidR="007A4853" w:rsidRDefault="007A4853" w:rsidP="0038321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2018</w:t>
            </w:r>
          </w:p>
        </w:tc>
        <w:tc>
          <w:tcPr>
            <w:tcW w:w="1542" w:type="dxa"/>
          </w:tcPr>
          <w:p w14:paraId="3BD26B2A" w14:textId="77777777" w:rsidR="007A4853" w:rsidRDefault="007A4853" w:rsidP="0038321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2021</w:t>
            </w:r>
          </w:p>
        </w:tc>
        <w:tc>
          <w:tcPr>
            <w:tcW w:w="1542" w:type="dxa"/>
          </w:tcPr>
          <w:p w14:paraId="1265EE39" w14:textId="77777777" w:rsidR="007A4853" w:rsidRDefault="007A4853" w:rsidP="0038321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2024</w:t>
            </w:r>
          </w:p>
        </w:tc>
      </w:tr>
      <w:tr w:rsidR="007A4853" w14:paraId="218FB238" w14:textId="77777777" w:rsidTr="00383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" w:type="dxa"/>
          </w:tcPr>
          <w:p w14:paraId="5C4A716D" w14:textId="77777777" w:rsidR="007A4853" w:rsidRDefault="007A4853" w:rsidP="00383217">
            <w:r>
              <w:t>%</w:t>
            </w:r>
          </w:p>
        </w:tc>
        <w:tc>
          <w:tcPr>
            <w:tcW w:w="1541" w:type="dxa"/>
          </w:tcPr>
          <w:p w14:paraId="2EEE5CF5" w14:textId="77777777" w:rsidR="007A4853" w:rsidRDefault="007A4853" w:rsidP="003832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7.7%</w:t>
            </w:r>
          </w:p>
        </w:tc>
        <w:tc>
          <w:tcPr>
            <w:tcW w:w="1541" w:type="dxa"/>
          </w:tcPr>
          <w:p w14:paraId="0970EE3C" w14:textId="77777777" w:rsidR="007A4853" w:rsidRDefault="007A4853" w:rsidP="003832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7.8%</w:t>
            </w:r>
          </w:p>
        </w:tc>
        <w:tc>
          <w:tcPr>
            <w:tcW w:w="1541" w:type="dxa"/>
          </w:tcPr>
          <w:p w14:paraId="4C70355C" w14:textId="77777777" w:rsidR="007A4853" w:rsidRDefault="007A4853" w:rsidP="003832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7.9%</w:t>
            </w:r>
          </w:p>
        </w:tc>
        <w:tc>
          <w:tcPr>
            <w:tcW w:w="1542" w:type="dxa"/>
          </w:tcPr>
          <w:p w14:paraId="07BBE1CB" w14:textId="77777777" w:rsidR="007A4853" w:rsidRDefault="007A4853" w:rsidP="003832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8.2%</w:t>
            </w:r>
          </w:p>
        </w:tc>
        <w:tc>
          <w:tcPr>
            <w:tcW w:w="1542" w:type="dxa"/>
          </w:tcPr>
          <w:p w14:paraId="4DD1D447" w14:textId="77777777" w:rsidR="007A4853" w:rsidRDefault="007A4853" w:rsidP="003832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8.1%</w:t>
            </w:r>
          </w:p>
        </w:tc>
        <w:tc>
          <w:tcPr>
            <w:tcW w:w="1542" w:type="dxa"/>
          </w:tcPr>
          <w:p w14:paraId="05C99617" w14:textId="77777777" w:rsidR="007A4853" w:rsidRDefault="007A4853" w:rsidP="003832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8.5%</w:t>
            </w:r>
          </w:p>
        </w:tc>
      </w:tr>
    </w:tbl>
    <w:p w14:paraId="554ADB1E" w14:textId="592E03A3" w:rsidR="007A4853" w:rsidRPr="003217DF" w:rsidRDefault="007A4853" w:rsidP="007A4853">
      <w:pPr>
        <w:pStyle w:val="Heading2"/>
        <w:rPr>
          <w:b/>
          <w:lang w:val="en-US"/>
        </w:rPr>
      </w:pPr>
      <w:r w:rsidRPr="003217DF">
        <w:rPr>
          <w:lang w:val="en-US"/>
        </w:rPr>
        <w:lastRenderedPageBreak/>
        <w:t>Social competence</w:t>
      </w:r>
    </w:p>
    <w:p w14:paraId="33C4FDB1" w14:textId="77777777" w:rsidR="007A4853" w:rsidRPr="003217DF" w:rsidRDefault="007A4853" w:rsidP="007A4853">
      <w:pPr>
        <w:spacing w:before="0" w:after="160" w:line="259" w:lineRule="auto"/>
        <w:rPr>
          <w:lang w:val="en-US"/>
        </w:rPr>
      </w:pPr>
      <w:r w:rsidRPr="003217DF">
        <w:rPr>
          <w:lang w:val="en-US"/>
        </w:rPr>
        <w:t>Developmental vulnerability in the Social Competence domain</w:t>
      </w:r>
      <w:r w:rsidRPr="003217DF">
        <w:rPr>
          <w:b/>
          <w:bCs/>
          <w:lang w:val="en-US"/>
        </w:rPr>
        <w:t xml:space="preserve"> increased</w:t>
      </w:r>
      <w:r w:rsidRPr="003217DF">
        <w:rPr>
          <w:lang w:val="en-US"/>
        </w:rPr>
        <w:t xml:space="preserve"> between 2009 and 2024.</w:t>
      </w:r>
    </w:p>
    <w:p w14:paraId="27454971" w14:textId="77777777" w:rsidR="007A4853" w:rsidRPr="003217DF" w:rsidRDefault="007A4853" w:rsidP="007A4853">
      <w:pPr>
        <w:spacing w:before="0" w:after="160" w:line="259" w:lineRule="auto"/>
        <w:rPr>
          <w:lang w:val="en-US"/>
        </w:rPr>
      </w:pPr>
      <w:r w:rsidRPr="003217DF">
        <w:rPr>
          <w:lang w:val="en-US"/>
        </w:rPr>
        <w:t>Between 2021 and 2024, vulnerability increased by 1.6 percentage points.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6"/>
        <w:gridCol w:w="1372"/>
        <w:gridCol w:w="1372"/>
        <w:gridCol w:w="1372"/>
        <w:gridCol w:w="1373"/>
        <w:gridCol w:w="1373"/>
        <w:gridCol w:w="1394"/>
      </w:tblGrid>
      <w:tr w:rsidR="007A4853" w14:paraId="414BBB42" w14:textId="77777777" w:rsidTr="003832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" w:type="dxa"/>
          </w:tcPr>
          <w:p w14:paraId="281F3B3C" w14:textId="77777777" w:rsidR="007A4853" w:rsidRDefault="007A4853" w:rsidP="00383217">
            <w:r>
              <w:t>Year</w:t>
            </w:r>
          </w:p>
        </w:tc>
        <w:tc>
          <w:tcPr>
            <w:tcW w:w="1541" w:type="dxa"/>
          </w:tcPr>
          <w:p w14:paraId="513035B4" w14:textId="77777777" w:rsidR="007A4853" w:rsidRDefault="007A4853" w:rsidP="0038321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2009</w:t>
            </w:r>
          </w:p>
        </w:tc>
        <w:tc>
          <w:tcPr>
            <w:tcW w:w="1541" w:type="dxa"/>
          </w:tcPr>
          <w:p w14:paraId="41890A1D" w14:textId="77777777" w:rsidR="007A4853" w:rsidRDefault="007A4853" w:rsidP="0038321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2012</w:t>
            </w:r>
          </w:p>
        </w:tc>
        <w:tc>
          <w:tcPr>
            <w:tcW w:w="1541" w:type="dxa"/>
          </w:tcPr>
          <w:p w14:paraId="4155DE91" w14:textId="77777777" w:rsidR="007A4853" w:rsidRDefault="007A4853" w:rsidP="0038321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2015</w:t>
            </w:r>
          </w:p>
        </w:tc>
        <w:tc>
          <w:tcPr>
            <w:tcW w:w="1542" w:type="dxa"/>
          </w:tcPr>
          <w:p w14:paraId="164826F6" w14:textId="77777777" w:rsidR="007A4853" w:rsidRDefault="007A4853" w:rsidP="0038321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2018</w:t>
            </w:r>
          </w:p>
        </w:tc>
        <w:tc>
          <w:tcPr>
            <w:tcW w:w="1542" w:type="dxa"/>
          </w:tcPr>
          <w:p w14:paraId="690B6D60" w14:textId="77777777" w:rsidR="007A4853" w:rsidRDefault="007A4853" w:rsidP="0038321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2021</w:t>
            </w:r>
          </w:p>
        </w:tc>
        <w:tc>
          <w:tcPr>
            <w:tcW w:w="1542" w:type="dxa"/>
          </w:tcPr>
          <w:p w14:paraId="766FFD0C" w14:textId="77777777" w:rsidR="007A4853" w:rsidRDefault="007A4853" w:rsidP="0038321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2024</w:t>
            </w:r>
          </w:p>
        </w:tc>
      </w:tr>
      <w:tr w:rsidR="007A4853" w14:paraId="6A1187CB" w14:textId="77777777" w:rsidTr="00383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" w:type="dxa"/>
          </w:tcPr>
          <w:p w14:paraId="115B9D3C" w14:textId="77777777" w:rsidR="007A4853" w:rsidRDefault="007A4853" w:rsidP="00383217">
            <w:r>
              <w:t>%</w:t>
            </w:r>
          </w:p>
        </w:tc>
        <w:tc>
          <w:tcPr>
            <w:tcW w:w="1541" w:type="dxa"/>
          </w:tcPr>
          <w:p w14:paraId="02ABBA80" w14:textId="77777777" w:rsidR="007A4853" w:rsidRDefault="007A4853" w:rsidP="003832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8.4%</w:t>
            </w:r>
          </w:p>
        </w:tc>
        <w:tc>
          <w:tcPr>
            <w:tcW w:w="1541" w:type="dxa"/>
          </w:tcPr>
          <w:p w14:paraId="111E80B7" w14:textId="77777777" w:rsidR="007A4853" w:rsidRDefault="007A4853" w:rsidP="003832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8.1%</w:t>
            </w:r>
          </w:p>
        </w:tc>
        <w:tc>
          <w:tcPr>
            <w:tcW w:w="1541" w:type="dxa"/>
          </w:tcPr>
          <w:p w14:paraId="5A3CB982" w14:textId="77777777" w:rsidR="007A4853" w:rsidRDefault="007A4853" w:rsidP="003832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8.7%</w:t>
            </w:r>
          </w:p>
        </w:tc>
        <w:tc>
          <w:tcPr>
            <w:tcW w:w="1542" w:type="dxa"/>
          </w:tcPr>
          <w:p w14:paraId="66A59694" w14:textId="77777777" w:rsidR="007A4853" w:rsidRDefault="007A4853" w:rsidP="003832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8.8%</w:t>
            </w:r>
          </w:p>
        </w:tc>
        <w:tc>
          <w:tcPr>
            <w:tcW w:w="1542" w:type="dxa"/>
          </w:tcPr>
          <w:p w14:paraId="798E8A3F" w14:textId="77777777" w:rsidR="007A4853" w:rsidRDefault="007A4853" w:rsidP="003832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9.0%</w:t>
            </w:r>
          </w:p>
        </w:tc>
        <w:tc>
          <w:tcPr>
            <w:tcW w:w="1542" w:type="dxa"/>
          </w:tcPr>
          <w:p w14:paraId="6C5A94F6" w14:textId="77777777" w:rsidR="007A4853" w:rsidRDefault="007A4853" w:rsidP="003832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10.6%</w:t>
            </w:r>
          </w:p>
        </w:tc>
      </w:tr>
    </w:tbl>
    <w:p w14:paraId="5947C7FD" w14:textId="77777777" w:rsidR="007A4853" w:rsidRPr="00F36484" w:rsidRDefault="007A4853" w:rsidP="007A4853">
      <w:pPr>
        <w:pStyle w:val="Heading2"/>
        <w:rPr>
          <w:lang w:val="en-US"/>
        </w:rPr>
      </w:pPr>
      <w:r w:rsidRPr="00F36484">
        <w:rPr>
          <w:lang w:val="en-US"/>
        </w:rPr>
        <w:t>Language and cognitive skills</w:t>
      </w:r>
    </w:p>
    <w:p w14:paraId="31D01798" w14:textId="77777777" w:rsidR="007A4853" w:rsidRPr="00F36484" w:rsidRDefault="007A4853" w:rsidP="007A4853">
      <w:pPr>
        <w:spacing w:before="0" w:after="160" w:line="259" w:lineRule="auto"/>
        <w:rPr>
          <w:lang w:val="en-US"/>
        </w:rPr>
      </w:pPr>
      <w:r w:rsidRPr="00F36484">
        <w:rPr>
          <w:lang w:val="en-US"/>
        </w:rPr>
        <w:t xml:space="preserve">Overall, developmental vulnerability in Language and Cognitive Skills </w:t>
      </w:r>
      <w:r w:rsidRPr="00F36484">
        <w:rPr>
          <w:b/>
          <w:bCs/>
          <w:lang w:val="en-US"/>
        </w:rPr>
        <w:t xml:space="preserve">increased </w:t>
      </w:r>
      <w:r w:rsidRPr="00F36484">
        <w:rPr>
          <w:lang w:val="en-US"/>
        </w:rPr>
        <w:t>between 2009 and 2024.</w:t>
      </w:r>
    </w:p>
    <w:p w14:paraId="1725DE2A" w14:textId="77777777" w:rsidR="007A4853" w:rsidRDefault="007A4853" w:rsidP="007A4853">
      <w:r w:rsidRPr="00F36484">
        <w:rPr>
          <w:lang w:val="en-US"/>
        </w:rPr>
        <w:t xml:space="preserve">There has not been significant </w:t>
      </w:r>
      <w:proofErr w:type="gramStart"/>
      <w:r w:rsidRPr="00F36484">
        <w:rPr>
          <w:lang w:val="en-US"/>
        </w:rPr>
        <w:t>change</w:t>
      </w:r>
      <w:proofErr w:type="gramEnd"/>
      <w:r w:rsidRPr="00F36484">
        <w:rPr>
          <w:lang w:val="en-US"/>
        </w:rPr>
        <w:t xml:space="preserve"> since 2021.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0"/>
        <w:gridCol w:w="1374"/>
        <w:gridCol w:w="1375"/>
        <w:gridCol w:w="1375"/>
        <w:gridCol w:w="1376"/>
        <w:gridCol w:w="1376"/>
        <w:gridCol w:w="1376"/>
      </w:tblGrid>
      <w:tr w:rsidR="007A4853" w14:paraId="71511248" w14:textId="77777777" w:rsidTr="003832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" w:type="dxa"/>
          </w:tcPr>
          <w:p w14:paraId="22C8B0B9" w14:textId="77777777" w:rsidR="007A4853" w:rsidRDefault="007A4853" w:rsidP="00383217">
            <w:r>
              <w:t>Year</w:t>
            </w:r>
          </w:p>
        </w:tc>
        <w:tc>
          <w:tcPr>
            <w:tcW w:w="1541" w:type="dxa"/>
          </w:tcPr>
          <w:p w14:paraId="08307D48" w14:textId="77777777" w:rsidR="007A4853" w:rsidRDefault="007A4853" w:rsidP="0038321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2009</w:t>
            </w:r>
          </w:p>
        </w:tc>
        <w:tc>
          <w:tcPr>
            <w:tcW w:w="1541" w:type="dxa"/>
          </w:tcPr>
          <w:p w14:paraId="4742DEFD" w14:textId="77777777" w:rsidR="007A4853" w:rsidRDefault="007A4853" w:rsidP="0038321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2012</w:t>
            </w:r>
          </w:p>
        </w:tc>
        <w:tc>
          <w:tcPr>
            <w:tcW w:w="1541" w:type="dxa"/>
          </w:tcPr>
          <w:p w14:paraId="6B7173B6" w14:textId="77777777" w:rsidR="007A4853" w:rsidRDefault="007A4853" w:rsidP="0038321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2015</w:t>
            </w:r>
          </w:p>
        </w:tc>
        <w:tc>
          <w:tcPr>
            <w:tcW w:w="1542" w:type="dxa"/>
          </w:tcPr>
          <w:p w14:paraId="7A710B38" w14:textId="77777777" w:rsidR="007A4853" w:rsidRDefault="007A4853" w:rsidP="0038321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2018</w:t>
            </w:r>
          </w:p>
        </w:tc>
        <w:tc>
          <w:tcPr>
            <w:tcW w:w="1542" w:type="dxa"/>
          </w:tcPr>
          <w:p w14:paraId="5DC85828" w14:textId="77777777" w:rsidR="007A4853" w:rsidRDefault="007A4853" w:rsidP="0038321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2021</w:t>
            </w:r>
          </w:p>
        </w:tc>
        <w:tc>
          <w:tcPr>
            <w:tcW w:w="1542" w:type="dxa"/>
          </w:tcPr>
          <w:p w14:paraId="69EAD743" w14:textId="77777777" w:rsidR="007A4853" w:rsidRDefault="007A4853" w:rsidP="0038321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2024</w:t>
            </w:r>
          </w:p>
        </w:tc>
      </w:tr>
      <w:tr w:rsidR="007A4853" w14:paraId="11E5C26C" w14:textId="77777777" w:rsidTr="00383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" w:type="dxa"/>
          </w:tcPr>
          <w:p w14:paraId="4E375867" w14:textId="77777777" w:rsidR="007A4853" w:rsidRDefault="007A4853" w:rsidP="00383217">
            <w:r>
              <w:t>%</w:t>
            </w:r>
          </w:p>
        </w:tc>
        <w:tc>
          <w:tcPr>
            <w:tcW w:w="1541" w:type="dxa"/>
          </w:tcPr>
          <w:p w14:paraId="3C475830" w14:textId="77777777" w:rsidR="007A4853" w:rsidRDefault="007A4853" w:rsidP="003832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6.1%</w:t>
            </w:r>
          </w:p>
        </w:tc>
        <w:tc>
          <w:tcPr>
            <w:tcW w:w="1541" w:type="dxa"/>
          </w:tcPr>
          <w:p w14:paraId="180EEB14" w14:textId="77777777" w:rsidR="007A4853" w:rsidRDefault="007A4853" w:rsidP="003832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6.1%</w:t>
            </w:r>
          </w:p>
        </w:tc>
        <w:tc>
          <w:tcPr>
            <w:tcW w:w="1541" w:type="dxa"/>
          </w:tcPr>
          <w:p w14:paraId="0F5D163E" w14:textId="77777777" w:rsidR="007A4853" w:rsidRDefault="007A4853" w:rsidP="003832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6.3%</w:t>
            </w:r>
          </w:p>
        </w:tc>
        <w:tc>
          <w:tcPr>
            <w:tcW w:w="1542" w:type="dxa"/>
          </w:tcPr>
          <w:p w14:paraId="012AEFF1" w14:textId="77777777" w:rsidR="007A4853" w:rsidRDefault="007A4853" w:rsidP="003832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6.4%</w:t>
            </w:r>
          </w:p>
        </w:tc>
        <w:tc>
          <w:tcPr>
            <w:tcW w:w="1542" w:type="dxa"/>
          </w:tcPr>
          <w:p w14:paraId="6743927E" w14:textId="77777777" w:rsidR="007A4853" w:rsidRDefault="007A4853" w:rsidP="003832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7.2%</w:t>
            </w:r>
          </w:p>
        </w:tc>
        <w:tc>
          <w:tcPr>
            <w:tcW w:w="1542" w:type="dxa"/>
          </w:tcPr>
          <w:p w14:paraId="2657D07B" w14:textId="77777777" w:rsidR="007A4853" w:rsidRDefault="007A4853" w:rsidP="003832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7.3%</w:t>
            </w:r>
          </w:p>
        </w:tc>
      </w:tr>
    </w:tbl>
    <w:p w14:paraId="2AFC7657" w14:textId="77777777" w:rsidR="007A4853" w:rsidRPr="000E11F8" w:rsidRDefault="007A4853" w:rsidP="007A4853">
      <w:pPr>
        <w:pStyle w:val="Heading2"/>
        <w:rPr>
          <w:lang w:val="en-US"/>
        </w:rPr>
      </w:pPr>
      <w:r w:rsidRPr="000E11F8">
        <w:rPr>
          <w:lang w:val="en-US"/>
        </w:rPr>
        <w:t xml:space="preserve">Emotional maturity </w:t>
      </w:r>
    </w:p>
    <w:p w14:paraId="3254BA67" w14:textId="77777777" w:rsidR="007A4853" w:rsidRPr="000E11F8" w:rsidRDefault="007A4853" w:rsidP="007A4853">
      <w:pPr>
        <w:spacing w:before="0" w:after="160" w:line="259" w:lineRule="auto"/>
        <w:rPr>
          <w:lang w:val="en-US"/>
        </w:rPr>
      </w:pPr>
      <w:r w:rsidRPr="000E11F8">
        <w:rPr>
          <w:lang w:val="en-US"/>
        </w:rPr>
        <w:t>Developmental vulnerability in Emotional Maturity fluctuated between 2009 and 2024.</w:t>
      </w:r>
    </w:p>
    <w:p w14:paraId="777FD03D" w14:textId="77777777" w:rsidR="007A4853" w:rsidRDefault="007A4853" w:rsidP="007A4853">
      <w:r w:rsidRPr="537D8397">
        <w:rPr>
          <w:lang w:val="en-US"/>
        </w:rPr>
        <w:t>There was a significant increase in vulnerability since 2021, with an increase of 2.2 percentage points.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0"/>
        <w:gridCol w:w="1374"/>
        <w:gridCol w:w="1375"/>
        <w:gridCol w:w="1375"/>
        <w:gridCol w:w="1376"/>
        <w:gridCol w:w="1376"/>
        <w:gridCol w:w="1376"/>
      </w:tblGrid>
      <w:tr w:rsidR="007A4853" w14:paraId="69677202" w14:textId="77777777" w:rsidTr="003832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" w:type="dxa"/>
          </w:tcPr>
          <w:p w14:paraId="7D64B7A8" w14:textId="77777777" w:rsidR="007A4853" w:rsidRDefault="007A4853" w:rsidP="00383217">
            <w:r>
              <w:t>Year</w:t>
            </w:r>
          </w:p>
        </w:tc>
        <w:tc>
          <w:tcPr>
            <w:tcW w:w="1541" w:type="dxa"/>
          </w:tcPr>
          <w:p w14:paraId="1BE69FD8" w14:textId="77777777" w:rsidR="007A4853" w:rsidRDefault="007A4853" w:rsidP="0038321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2009</w:t>
            </w:r>
          </w:p>
        </w:tc>
        <w:tc>
          <w:tcPr>
            <w:tcW w:w="1541" w:type="dxa"/>
          </w:tcPr>
          <w:p w14:paraId="798EE606" w14:textId="77777777" w:rsidR="007A4853" w:rsidRDefault="007A4853" w:rsidP="0038321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2012</w:t>
            </w:r>
          </w:p>
        </w:tc>
        <w:tc>
          <w:tcPr>
            <w:tcW w:w="1541" w:type="dxa"/>
          </w:tcPr>
          <w:p w14:paraId="7A1B7C19" w14:textId="77777777" w:rsidR="007A4853" w:rsidRDefault="007A4853" w:rsidP="0038321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2015</w:t>
            </w:r>
          </w:p>
        </w:tc>
        <w:tc>
          <w:tcPr>
            <w:tcW w:w="1542" w:type="dxa"/>
          </w:tcPr>
          <w:p w14:paraId="0B74B81B" w14:textId="77777777" w:rsidR="007A4853" w:rsidRDefault="007A4853" w:rsidP="0038321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2018</w:t>
            </w:r>
          </w:p>
        </w:tc>
        <w:tc>
          <w:tcPr>
            <w:tcW w:w="1542" w:type="dxa"/>
          </w:tcPr>
          <w:p w14:paraId="17C7A260" w14:textId="77777777" w:rsidR="007A4853" w:rsidRDefault="007A4853" w:rsidP="0038321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2021</w:t>
            </w:r>
          </w:p>
        </w:tc>
        <w:tc>
          <w:tcPr>
            <w:tcW w:w="1542" w:type="dxa"/>
          </w:tcPr>
          <w:p w14:paraId="60AD0A0D" w14:textId="77777777" w:rsidR="007A4853" w:rsidRDefault="007A4853" w:rsidP="0038321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2024</w:t>
            </w:r>
          </w:p>
        </w:tc>
      </w:tr>
      <w:tr w:rsidR="007A4853" w14:paraId="3E2217B0" w14:textId="77777777" w:rsidTr="00383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" w:type="dxa"/>
          </w:tcPr>
          <w:p w14:paraId="408D9609" w14:textId="77777777" w:rsidR="007A4853" w:rsidRDefault="007A4853" w:rsidP="00383217">
            <w:r>
              <w:t>%</w:t>
            </w:r>
          </w:p>
        </w:tc>
        <w:tc>
          <w:tcPr>
            <w:tcW w:w="1541" w:type="dxa"/>
          </w:tcPr>
          <w:p w14:paraId="12C1B2E9" w14:textId="77777777" w:rsidR="007A4853" w:rsidRDefault="007A4853" w:rsidP="003832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8.3%</w:t>
            </w:r>
          </w:p>
        </w:tc>
        <w:tc>
          <w:tcPr>
            <w:tcW w:w="1541" w:type="dxa"/>
          </w:tcPr>
          <w:p w14:paraId="2BF94DBE" w14:textId="77777777" w:rsidR="007A4853" w:rsidRDefault="007A4853" w:rsidP="003832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7.2%</w:t>
            </w:r>
          </w:p>
        </w:tc>
        <w:tc>
          <w:tcPr>
            <w:tcW w:w="1541" w:type="dxa"/>
          </w:tcPr>
          <w:p w14:paraId="1628353D" w14:textId="77777777" w:rsidR="007A4853" w:rsidRDefault="007A4853" w:rsidP="003832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8.0%</w:t>
            </w:r>
          </w:p>
        </w:tc>
        <w:tc>
          <w:tcPr>
            <w:tcW w:w="1542" w:type="dxa"/>
          </w:tcPr>
          <w:p w14:paraId="1F8F1604" w14:textId="77777777" w:rsidR="007A4853" w:rsidRDefault="007A4853" w:rsidP="003832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8.1%</w:t>
            </w:r>
          </w:p>
        </w:tc>
        <w:tc>
          <w:tcPr>
            <w:tcW w:w="1542" w:type="dxa"/>
          </w:tcPr>
          <w:p w14:paraId="4F4C5B6A" w14:textId="77777777" w:rsidR="007A4853" w:rsidRDefault="007A4853" w:rsidP="003832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7.7%</w:t>
            </w:r>
          </w:p>
        </w:tc>
        <w:tc>
          <w:tcPr>
            <w:tcW w:w="1542" w:type="dxa"/>
          </w:tcPr>
          <w:p w14:paraId="3F5BC1AE" w14:textId="77777777" w:rsidR="007A4853" w:rsidRDefault="007A4853" w:rsidP="003832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9.9%</w:t>
            </w:r>
          </w:p>
        </w:tc>
      </w:tr>
    </w:tbl>
    <w:p w14:paraId="66BC522E" w14:textId="77777777" w:rsidR="007A4853" w:rsidRPr="006F3B77" w:rsidRDefault="007A4853" w:rsidP="007A4853">
      <w:pPr>
        <w:pStyle w:val="Heading2"/>
        <w:rPr>
          <w:lang w:val="en-US"/>
        </w:rPr>
      </w:pPr>
      <w:r w:rsidRPr="006F3B77">
        <w:rPr>
          <w:lang w:val="en-US"/>
        </w:rPr>
        <w:t>Communication skills and general knowledge</w:t>
      </w:r>
    </w:p>
    <w:p w14:paraId="61A99AC1" w14:textId="77777777" w:rsidR="007A4853" w:rsidRPr="006F3B77" w:rsidRDefault="007A4853" w:rsidP="007A4853">
      <w:pPr>
        <w:spacing w:before="0" w:after="160" w:line="259" w:lineRule="auto"/>
        <w:rPr>
          <w:lang w:val="en-US"/>
        </w:rPr>
      </w:pPr>
      <w:r w:rsidRPr="006F3B77">
        <w:rPr>
          <w:lang w:val="en-US"/>
        </w:rPr>
        <w:t>Overall, developmental vulnerability in Communication Skills and General Knowledge remained steady between 2009 and 2024.</w:t>
      </w:r>
    </w:p>
    <w:p w14:paraId="42A2DB78" w14:textId="6DFC7106" w:rsidR="007A4853" w:rsidRDefault="007A4853" w:rsidP="007A4853">
      <w:r w:rsidRPr="006F3B77">
        <w:rPr>
          <w:lang w:val="en-US"/>
        </w:rPr>
        <w:t xml:space="preserve">Between 2021 and 2024 </w:t>
      </w:r>
      <w:r w:rsidR="008F0170">
        <w:rPr>
          <w:lang w:val="en-US"/>
        </w:rPr>
        <w:t>vulnerability in this domain increased by</w:t>
      </w:r>
      <w:r w:rsidRPr="006F3B77">
        <w:rPr>
          <w:lang w:val="en-US"/>
        </w:rPr>
        <w:t xml:space="preserve"> 0.8 percentage points.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0"/>
        <w:gridCol w:w="1374"/>
        <w:gridCol w:w="1375"/>
        <w:gridCol w:w="1375"/>
        <w:gridCol w:w="1376"/>
        <w:gridCol w:w="1376"/>
        <w:gridCol w:w="1376"/>
      </w:tblGrid>
      <w:tr w:rsidR="007A4853" w14:paraId="0FBF3B88" w14:textId="77777777" w:rsidTr="00464A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</w:tcPr>
          <w:p w14:paraId="7CCA6002" w14:textId="77777777" w:rsidR="007A4853" w:rsidRDefault="007A4853" w:rsidP="00383217">
            <w:r>
              <w:t>Year</w:t>
            </w:r>
          </w:p>
        </w:tc>
        <w:tc>
          <w:tcPr>
            <w:tcW w:w="1374" w:type="dxa"/>
          </w:tcPr>
          <w:p w14:paraId="7AD22F9F" w14:textId="77777777" w:rsidR="007A4853" w:rsidRDefault="007A4853" w:rsidP="0038321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2009</w:t>
            </w:r>
          </w:p>
        </w:tc>
        <w:tc>
          <w:tcPr>
            <w:tcW w:w="1375" w:type="dxa"/>
          </w:tcPr>
          <w:p w14:paraId="6C79F38D" w14:textId="77777777" w:rsidR="007A4853" w:rsidRDefault="007A4853" w:rsidP="0038321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2012</w:t>
            </w:r>
          </w:p>
        </w:tc>
        <w:tc>
          <w:tcPr>
            <w:tcW w:w="1375" w:type="dxa"/>
          </w:tcPr>
          <w:p w14:paraId="1D814DC1" w14:textId="77777777" w:rsidR="007A4853" w:rsidRDefault="007A4853" w:rsidP="0038321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2015</w:t>
            </w:r>
          </w:p>
        </w:tc>
        <w:tc>
          <w:tcPr>
            <w:tcW w:w="1376" w:type="dxa"/>
          </w:tcPr>
          <w:p w14:paraId="04909D63" w14:textId="77777777" w:rsidR="007A4853" w:rsidRDefault="007A4853" w:rsidP="0038321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2018</w:t>
            </w:r>
          </w:p>
        </w:tc>
        <w:tc>
          <w:tcPr>
            <w:tcW w:w="1376" w:type="dxa"/>
          </w:tcPr>
          <w:p w14:paraId="3AF2A240" w14:textId="77777777" w:rsidR="007A4853" w:rsidRDefault="007A4853" w:rsidP="0038321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2021</w:t>
            </w:r>
          </w:p>
        </w:tc>
        <w:tc>
          <w:tcPr>
            <w:tcW w:w="1376" w:type="dxa"/>
          </w:tcPr>
          <w:p w14:paraId="09474F70" w14:textId="77777777" w:rsidR="007A4853" w:rsidRDefault="007A4853" w:rsidP="0038321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2024</w:t>
            </w:r>
          </w:p>
        </w:tc>
      </w:tr>
      <w:tr w:rsidR="007A4853" w14:paraId="5E7A220D" w14:textId="77777777" w:rsidTr="00464A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</w:tcPr>
          <w:p w14:paraId="365B7A98" w14:textId="77777777" w:rsidR="007A4853" w:rsidRDefault="007A4853" w:rsidP="00383217">
            <w:r>
              <w:t>%</w:t>
            </w:r>
          </w:p>
        </w:tc>
        <w:tc>
          <w:tcPr>
            <w:tcW w:w="1374" w:type="dxa"/>
          </w:tcPr>
          <w:p w14:paraId="6E7AD6CF" w14:textId="77777777" w:rsidR="007A4853" w:rsidRDefault="007A4853" w:rsidP="003832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8.3%</w:t>
            </w:r>
          </w:p>
        </w:tc>
        <w:tc>
          <w:tcPr>
            <w:tcW w:w="1375" w:type="dxa"/>
          </w:tcPr>
          <w:p w14:paraId="798FA8E0" w14:textId="77777777" w:rsidR="007A4853" w:rsidRDefault="007A4853" w:rsidP="003832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8.0%</w:t>
            </w:r>
          </w:p>
        </w:tc>
        <w:tc>
          <w:tcPr>
            <w:tcW w:w="1375" w:type="dxa"/>
          </w:tcPr>
          <w:p w14:paraId="174E85F3" w14:textId="77777777" w:rsidR="007A4853" w:rsidRDefault="007A4853" w:rsidP="003832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7.6%</w:t>
            </w:r>
          </w:p>
        </w:tc>
        <w:tc>
          <w:tcPr>
            <w:tcW w:w="1376" w:type="dxa"/>
          </w:tcPr>
          <w:p w14:paraId="3A757665" w14:textId="77777777" w:rsidR="007A4853" w:rsidRDefault="007A4853" w:rsidP="003832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7.4%</w:t>
            </w:r>
          </w:p>
        </w:tc>
        <w:tc>
          <w:tcPr>
            <w:tcW w:w="1376" w:type="dxa"/>
          </w:tcPr>
          <w:p w14:paraId="474BE698" w14:textId="77777777" w:rsidR="007A4853" w:rsidRDefault="007A4853" w:rsidP="003832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7.4%</w:t>
            </w:r>
          </w:p>
        </w:tc>
        <w:tc>
          <w:tcPr>
            <w:tcW w:w="1376" w:type="dxa"/>
          </w:tcPr>
          <w:p w14:paraId="45DA3042" w14:textId="77777777" w:rsidR="007A4853" w:rsidRDefault="007A4853" w:rsidP="003832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8.2%</w:t>
            </w:r>
          </w:p>
        </w:tc>
      </w:tr>
    </w:tbl>
    <w:p w14:paraId="36870E82" w14:textId="1F7F5249" w:rsidR="00464AD5" w:rsidRPr="006F3B77" w:rsidRDefault="00AC12C3" w:rsidP="00464AD5">
      <w:pPr>
        <w:pStyle w:val="Heading2"/>
        <w:rPr>
          <w:lang w:val="en-US"/>
        </w:rPr>
      </w:pPr>
      <w:r>
        <w:rPr>
          <w:lang w:val="en-US"/>
        </w:rPr>
        <w:t>The proportion of children</w:t>
      </w:r>
      <w:r w:rsidR="00464AD5" w:rsidRPr="006F3B77">
        <w:rPr>
          <w:lang w:val="en-US"/>
        </w:rPr>
        <w:t xml:space="preserve"> </w:t>
      </w:r>
      <w:r>
        <w:rPr>
          <w:b/>
          <w:lang w:val="en-US"/>
        </w:rPr>
        <w:t>developmentally on track in all five</w:t>
      </w:r>
      <w:r w:rsidR="00464AD5" w:rsidRPr="006F3B77">
        <w:rPr>
          <w:lang w:val="en-US"/>
        </w:rPr>
        <w:t xml:space="preserve"> domains</w:t>
      </w:r>
    </w:p>
    <w:p w14:paraId="0719F8D8" w14:textId="2780446A" w:rsidR="001A3B7A" w:rsidRPr="001A3B7A" w:rsidRDefault="001A3B7A" w:rsidP="001A3B7A">
      <w:pPr>
        <w:spacing w:before="0" w:after="160" w:line="259" w:lineRule="auto"/>
        <w:rPr>
          <w:lang w:val="en-US"/>
        </w:rPr>
      </w:pPr>
      <w:r w:rsidRPr="001A3B7A">
        <w:rPr>
          <w:lang w:val="en-US"/>
        </w:rPr>
        <w:t xml:space="preserve">In Victoria, although there was a decline between the 2021 and 2024 collections, a larger proportion </w:t>
      </w:r>
    </w:p>
    <w:p w14:paraId="3E8FC40C" w14:textId="39C6801B" w:rsidR="00464AD5" w:rsidRPr="006F3B77" w:rsidRDefault="001A3B7A" w:rsidP="001A3B7A">
      <w:pPr>
        <w:spacing w:before="0" w:after="160" w:line="259" w:lineRule="auto"/>
        <w:rPr>
          <w:lang w:val="en-US"/>
        </w:rPr>
      </w:pPr>
      <w:r w:rsidRPr="001A3B7A">
        <w:rPr>
          <w:lang w:val="en-US"/>
        </w:rPr>
        <w:t>of Victorian children are developmentally on track in all five domains than nationally</w:t>
      </w:r>
      <w:r>
        <w:rPr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1"/>
        <w:gridCol w:w="1378"/>
        <w:gridCol w:w="1378"/>
        <w:gridCol w:w="1378"/>
        <w:gridCol w:w="1379"/>
        <w:gridCol w:w="1379"/>
        <w:gridCol w:w="1379"/>
      </w:tblGrid>
      <w:tr w:rsidR="006B4C11" w14:paraId="6CEBE171" w14:textId="77777777" w:rsidTr="008437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" w:type="dxa"/>
          </w:tcPr>
          <w:p w14:paraId="2C60DC39" w14:textId="77777777" w:rsidR="00464AD5" w:rsidRDefault="00464AD5" w:rsidP="0084371D">
            <w:r>
              <w:lastRenderedPageBreak/>
              <w:t>Year</w:t>
            </w:r>
          </w:p>
        </w:tc>
        <w:tc>
          <w:tcPr>
            <w:tcW w:w="1541" w:type="dxa"/>
          </w:tcPr>
          <w:p w14:paraId="1AED44B6" w14:textId="77777777" w:rsidR="00464AD5" w:rsidRDefault="00464AD5" w:rsidP="0084371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2009</w:t>
            </w:r>
          </w:p>
        </w:tc>
        <w:tc>
          <w:tcPr>
            <w:tcW w:w="1541" w:type="dxa"/>
          </w:tcPr>
          <w:p w14:paraId="1B71B0F8" w14:textId="77777777" w:rsidR="00464AD5" w:rsidRDefault="00464AD5" w:rsidP="0084371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2012</w:t>
            </w:r>
          </w:p>
        </w:tc>
        <w:tc>
          <w:tcPr>
            <w:tcW w:w="1541" w:type="dxa"/>
          </w:tcPr>
          <w:p w14:paraId="739ECC11" w14:textId="77777777" w:rsidR="00464AD5" w:rsidRDefault="00464AD5" w:rsidP="0084371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2015</w:t>
            </w:r>
          </w:p>
        </w:tc>
        <w:tc>
          <w:tcPr>
            <w:tcW w:w="1542" w:type="dxa"/>
          </w:tcPr>
          <w:p w14:paraId="2E07AE4D" w14:textId="77777777" w:rsidR="00464AD5" w:rsidRDefault="00464AD5" w:rsidP="0084371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2018</w:t>
            </w:r>
          </w:p>
        </w:tc>
        <w:tc>
          <w:tcPr>
            <w:tcW w:w="1542" w:type="dxa"/>
          </w:tcPr>
          <w:p w14:paraId="77B678D7" w14:textId="77777777" w:rsidR="00464AD5" w:rsidRDefault="00464AD5" w:rsidP="0084371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2021</w:t>
            </w:r>
          </w:p>
        </w:tc>
        <w:tc>
          <w:tcPr>
            <w:tcW w:w="1542" w:type="dxa"/>
          </w:tcPr>
          <w:p w14:paraId="2E46CB24" w14:textId="77777777" w:rsidR="00464AD5" w:rsidRDefault="00464AD5" w:rsidP="0084371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2024</w:t>
            </w:r>
          </w:p>
        </w:tc>
      </w:tr>
      <w:tr w:rsidR="006B4C11" w14:paraId="21ECD117" w14:textId="77777777" w:rsidTr="008437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" w:type="dxa"/>
          </w:tcPr>
          <w:p w14:paraId="3034A330" w14:textId="77777777" w:rsidR="00464AD5" w:rsidRDefault="00464AD5" w:rsidP="0084371D">
            <w:r>
              <w:t>%</w:t>
            </w:r>
          </w:p>
        </w:tc>
        <w:tc>
          <w:tcPr>
            <w:tcW w:w="1541" w:type="dxa"/>
          </w:tcPr>
          <w:p w14:paraId="6E653B15" w14:textId="342781B0" w:rsidR="00464AD5" w:rsidRDefault="001A3B7A" w:rsidP="008437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</w:t>
            </w:r>
            <w:r w:rsidR="00464AD5">
              <w:t>.0%</w:t>
            </w:r>
          </w:p>
        </w:tc>
        <w:tc>
          <w:tcPr>
            <w:tcW w:w="1541" w:type="dxa"/>
          </w:tcPr>
          <w:p w14:paraId="3C987BE1" w14:textId="36E841CC" w:rsidR="00464AD5" w:rsidRDefault="001A3B7A" w:rsidP="008437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57.5</w:t>
            </w:r>
            <w:r w:rsidR="00464AD5">
              <w:t>%</w:t>
            </w:r>
          </w:p>
        </w:tc>
        <w:tc>
          <w:tcPr>
            <w:tcW w:w="1541" w:type="dxa"/>
          </w:tcPr>
          <w:p w14:paraId="40D54C44" w14:textId="5D1363BF" w:rsidR="00464AD5" w:rsidRDefault="006B4C11" w:rsidP="008437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57.5</w:t>
            </w:r>
            <w:r w:rsidR="00464AD5">
              <w:t>%</w:t>
            </w:r>
          </w:p>
        </w:tc>
        <w:tc>
          <w:tcPr>
            <w:tcW w:w="1542" w:type="dxa"/>
          </w:tcPr>
          <w:p w14:paraId="51DBAB43" w14:textId="0BCAB071" w:rsidR="00464AD5" w:rsidRDefault="006B4C11" w:rsidP="008437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57.7</w:t>
            </w:r>
            <w:r w:rsidR="00464AD5">
              <w:t>%</w:t>
            </w:r>
          </w:p>
        </w:tc>
        <w:tc>
          <w:tcPr>
            <w:tcW w:w="1542" w:type="dxa"/>
          </w:tcPr>
          <w:p w14:paraId="73460C05" w14:textId="3A5B3A16" w:rsidR="00464AD5" w:rsidRDefault="006B4C11" w:rsidP="008437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57.2</w:t>
            </w:r>
            <w:r w:rsidR="00464AD5">
              <w:t>%</w:t>
            </w:r>
          </w:p>
        </w:tc>
        <w:tc>
          <w:tcPr>
            <w:tcW w:w="1542" w:type="dxa"/>
          </w:tcPr>
          <w:p w14:paraId="6147FE1F" w14:textId="5F18592F" w:rsidR="00464AD5" w:rsidRDefault="006B4C11" w:rsidP="008437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53.8</w:t>
            </w:r>
            <w:r w:rsidR="00464AD5">
              <w:t>%</w:t>
            </w:r>
          </w:p>
        </w:tc>
      </w:tr>
    </w:tbl>
    <w:p w14:paraId="5A55E223" w14:textId="48D511E8" w:rsidR="007A4853" w:rsidRPr="006F3B77" w:rsidRDefault="007A4853" w:rsidP="007A4853">
      <w:pPr>
        <w:pStyle w:val="Heading2"/>
        <w:rPr>
          <w:lang w:val="en-US"/>
        </w:rPr>
      </w:pPr>
      <w:r w:rsidRPr="006F3B77">
        <w:rPr>
          <w:lang w:val="en-US"/>
        </w:rPr>
        <w:t xml:space="preserve">Vulnerability on </w:t>
      </w:r>
      <w:r w:rsidRPr="006F3B77">
        <w:rPr>
          <w:b/>
          <w:lang w:val="en-US"/>
        </w:rPr>
        <w:t>two or more</w:t>
      </w:r>
      <w:r w:rsidRPr="006F3B77">
        <w:rPr>
          <w:lang w:val="en-US"/>
        </w:rPr>
        <w:t xml:space="preserve"> domains</w:t>
      </w:r>
    </w:p>
    <w:p w14:paraId="2BD138D9" w14:textId="77777777" w:rsidR="007A4853" w:rsidRPr="006F3B77" w:rsidRDefault="007A4853" w:rsidP="007A4853">
      <w:pPr>
        <w:spacing w:before="0" w:after="160" w:line="259" w:lineRule="auto"/>
        <w:rPr>
          <w:lang w:val="en-US"/>
        </w:rPr>
      </w:pPr>
      <w:r w:rsidRPr="006F3B77">
        <w:rPr>
          <w:lang w:val="en-US"/>
        </w:rPr>
        <w:t>Children in Victoria had lower developmental vulnerability on two or more domains compared to the rest of Australia.</w:t>
      </w:r>
    </w:p>
    <w:p w14:paraId="5C74D32E" w14:textId="77777777" w:rsidR="007A4853" w:rsidRPr="00336EDF" w:rsidRDefault="007A4853" w:rsidP="007A4853">
      <w:pPr>
        <w:spacing w:before="0" w:after="160" w:line="259" w:lineRule="auto"/>
        <w:rPr>
          <w:lang w:val="en-US"/>
        </w:rPr>
      </w:pPr>
      <w:r w:rsidRPr="00336EDF">
        <w:rPr>
          <w:lang w:val="en-US"/>
        </w:rPr>
        <w:t>About 1 in 10 children were developmentally vulnerable on two or more domains in 2024.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1384"/>
        <w:gridCol w:w="1362"/>
        <w:gridCol w:w="1362"/>
        <w:gridCol w:w="1386"/>
        <w:gridCol w:w="1386"/>
        <w:gridCol w:w="1386"/>
      </w:tblGrid>
      <w:tr w:rsidR="007A4853" w14:paraId="4B970598" w14:textId="77777777" w:rsidTr="003832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" w:type="dxa"/>
          </w:tcPr>
          <w:p w14:paraId="08D67969" w14:textId="77777777" w:rsidR="007A4853" w:rsidRDefault="007A4853" w:rsidP="00383217">
            <w:r>
              <w:t>Year</w:t>
            </w:r>
          </w:p>
        </w:tc>
        <w:tc>
          <w:tcPr>
            <w:tcW w:w="1541" w:type="dxa"/>
          </w:tcPr>
          <w:p w14:paraId="26FC61A0" w14:textId="77777777" w:rsidR="007A4853" w:rsidRDefault="007A4853" w:rsidP="0038321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2009</w:t>
            </w:r>
          </w:p>
        </w:tc>
        <w:tc>
          <w:tcPr>
            <w:tcW w:w="1541" w:type="dxa"/>
          </w:tcPr>
          <w:p w14:paraId="3B39FE9B" w14:textId="77777777" w:rsidR="007A4853" w:rsidRDefault="007A4853" w:rsidP="0038321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2012</w:t>
            </w:r>
          </w:p>
        </w:tc>
        <w:tc>
          <w:tcPr>
            <w:tcW w:w="1541" w:type="dxa"/>
          </w:tcPr>
          <w:p w14:paraId="3AE96516" w14:textId="77777777" w:rsidR="007A4853" w:rsidRDefault="007A4853" w:rsidP="0038321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2015</w:t>
            </w:r>
          </w:p>
        </w:tc>
        <w:tc>
          <w:tcPr>
            <w:tcW w:w="1542" w:type="dxa"/>
          </w:tcPr>
          <w:p w14:paraId="26D7E299" w14:textId="77777777" w:rsidR="007A4853" w:rsidRDefault="007A4853" w:rsidP="0038321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2018</w:t>
            </w:r>
          </w:p>
        </w:tc>
        <w:tc>
          <w:tcPr>
            <w:tcW w:w="1542" w:type="dxa"/>
          </w:tcPr>
          <w:p w14:paraId="431CC6BF" w14:textId="77777777" w:rsidR="007A4853" w:rsidRDefault="007A4853" w:rsidP="0038321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2021</w:t>
            </w:r>
          </w:p>
        </w:tc>
        <w:tc>
          <w:tcPr>
            <w:tcW w:w="1542" w:type="dxa"/>
          </w:tcPr>
          <w:p w14:paraId="42016BF2" w14:textId="77777777" w:rsidR="007A4853" w:rsidRDefault="007A4853" w:rsidP="0038321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2024</w:t>
            </w:r>
          </w:p>
        </w:tc>
      </w:tr>
      <w:tr w:rsidR="007A4853" w14:paraId="1E93C0DB" w14:textId="77777777" w:rsidTr="00383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" w:type="dxa"/>
          </w:tcPr>
          <w:p w14:paraId="7BBE7A85" w14:textId="77777777" w:rsidR="007A4853" w:rsidRDefault="007A4853" w:rsidP="00383217">
            <w:r>
              <w:t>%</w:t>
            </w:r>
          </w:p>
        </w:tc>
        <w:tc>
          <w:tcPr>
            <w:tcW w:w="1541" w:type="dxa"/>
          </w:tcPr>
          <w:p w14:paraId="556F4C82" w14:textId="77777777" w:rsidR="007A4853" w:rsidRDefault="007A4853" w:rsidP="003832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10.0%</w:t>
            </w:r>
          </w:p>
        </w:tc>
        <w:tc>
          <w:tcPr>
            <w:tcW w:w="1541" w:type="dxa"/>
          </w:tcPr>
          <w:p w14:paraId="29D6EB5F" w14:textId="77777777" w:rsidR="007A4853" w:rsidRDefault="007A4853" w:rsidP="003832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9.5%</w:t>
            </w:r>
          </w:p>
        </w:tc>
        <w:tc>
          <w:tcPr>
            <w:tcW w:w="1541" w:type="dxa"/>
          </w:tcPr>
          <w:p w14:paraId="351074AD" w14:textId="77777777" w:rsidR="007A4853" w:rsidRDefault="007A4853" w:rsidP="003832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9.9%</w:t>
            </w:r>
          </w:p>
        </w:tc>
        <w:tc>
          <w:tcPr>
            <w:tcW w:w="1542" w:type="dxa"/>
          </w:tcPr>
          <w:p w14:paraId="5358F088" w14:textId="77777777" w:rsidR="007A4853" w:rsidRDefault="007A4853" w:rsidP="003832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10.1%</w:t>
            </w:r>
          </w:p>
        </w:tc>
        <w:tc>
          <w:tcPr>
            <w:tcW w:w="1542" w:type="dxa"/>
          </w:tcPr>
          <w:p w14:paraId="16106986" w14:textId="77777777" w:rsidR="007A4853" w:rsidRDefault="007A4853" w:rsidP="003832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10.2%</w:t>
            </w:r>
          </w:p>
        </w:tc>
        <w:tc>
          <w:tcPr>
            <w:tcW w:w="1542" w:type="dxa"/>
          </w:tcPr>
          <w:p w14:paraId="0EAD0489" w14:textId="77777777" w:rsidR="007A4853" w:rsidRDefault="007A4853" w:rsidP="003832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11.8%</w:t>
            </w:r>
          </w:p>
        </w:tc>
      </w:tr>
    </w:tbl>
    <w:p w14:paraId="255A572B" w14:textId="77777777" w:rsidR="007A4853" w:rsidRPr="006F3B77" w:rsidRDefault="007A4853" w:rsidP="007A4853">
      <w:pPr>
        <w:pStyle w:val="Heading2"/>
        <w:rPr>
          <w:lang w:val="en-US"/>
        </w:rPr>
      </w:pPr>
      <w:r w:rsidRPr="006F3B77">
        <w:rPr>
          <w:lang w:val="en-US"/>
        </w:rPr>
        <w:t xml:space="preserve">Vulnerability </w:t>
      </w:r>
      <w:proofErr w:type="gramStart"/>
      <w:r w:rsidRPr="006F3B77">
        <w:rPr>
          <w:lang w:val="en-US"/>
        </w:rPr>
        <w:t>on</w:t>
      </w:r>
      <w:proofErr w:type="gramEnd"/>
      <w:r w:rsidRPr="006F3B77">
        <w:rPr>
          <w:lang w:val="en-US"/>
        </w:rPr>
        <w:t xml:space="preserve"> </w:t>
      </w:r>
      <w:r w:rsidRPr="006F3B77">
        <w:rPr>
          <w:b/>
          <w:lang w:val="en-US"/>
        </w:rPr>
        <w:t>one or more</w:t>
      </w:r>
      <w:r w:rsidRPr="006F3B77">
        <w:rPr>
          <w:lang w:val="en-US"/>
        </w:rPr>
        <w:t xml:space="preserve"> domains</w:t>
      </w:r>
    </w:p>
    <w:p w14:paraId="15CEDCA6" w14:textId="77777777" w:rsidR="007A4853" w:rsidRPr="006F3B77" w:rsidRDefault="007A4853" w:rsidP="007A4853">
      <w:pPr>
        <w:spacing w:before="0" w:after="160" w:line="259" w:lineRule="auto"/>
        <w:rPr>
          <w:lang w:val="en-US"/>
        </w:rPr>
      </w:pPr>
      <w:r w:rsidRPr="006F3B77">
        <w:rPr>
          <w:lang w:val="en-US"/>
        </w:rPr>
        <w:t>Children in Victoria had lower developmental vulnerability on one or more domains compared to the rest of Australia.</w:t>
      </w:r>
    </w:p>
    <w:p w14:paraId="076E6DD9" w14:textId="77777777" w:rsidR="007A4853" w:rsidRPr="00336EDF" w:rsidRDefault="007A4853" w:rsidP="007A4853">
      <w:pPr>
        <w:spacing w:before="0" w:after="160" w:line="259" w:lineRule="auto"/>
        <w:rPr>
          <w:lang w:val="en-US"/>
        </w:rPr>
      </w:pPr>
      <w:r w:rsidRPr="00336EDF">
        <w:rPr>
          <w:lang w:val="en-US"/>
        </w:rPr>
        <w:t xml:space="preserve">About 1 in 5 children were developmentally vulnerable </w:t>
      </w:r>
      <w:proofErr w:type="gramStart"/>
      <w:r w:rsidRPr="00336EDF">
        <w:rPr>
          <w:lang w:val="en-US"/>
        </w:rPr>
        <w:t>on</w:t>
      </w:r>
      <w:proofErr w:type="gramEnd"/>
      <w:r w:rsidRPr="00336EDF">
        <w:rPr>
          <w:lang w:val="en-US"/>
        </w:rPr>
        <w:t xml:space="preserve"> one or more domains in 2024.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1"/>
        <w:gridCol w:w="1378"/>
        <w:gridCol w:w="1378"/>
        <w:gridCol w:w="1378"/>
        <w:gridCol w:w="1379"/>
        <w:gridCol w:w="1379"/>
        <w:gridCol w:w="1379"/>
      </w:tblGrid>
      <w:tr w:rsidR="007A4853" w14:paraId="540B476E" w14:textId="77777777" w:rsidTr="003832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" w:type="dxa"/>
          </w:tcPr>
          <w:p w14:paraId="3278E158" w14:textId="77777777" w:rsidR="007A4853" w:rsidRDefault="007A4853" w:rsidP="00383217">
            <w:r>
              <w:t>Year</w:t>
            </w:r>
          </w:p>
        </w:tc>
        <w:tc>
          <w:tcPr>
            <w:tcW w:w="1541" w:type="dxa"/>
          </w:tcPr>
          <w:p w14:paraId="6269B9B2" w14:textId="77777777" w:rsidR="007A4853" w:rsidRDefault="007A4853" w:rsidP="0038321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2009</w:t>
            </w:r>
          </w:p>
        </w:tc>
        <w:tc>
          <w:tcPr>
            <w:tcW w:w="1541" w:type="dxa"/>
          </w:tcPr>
          <w:p w14:paraId="0D05BB82" w14:textId="77777777" w:rsidR="007A4853" w:rsidRDefault="007A4853" w:rsidP="0038321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2012</w:t>
            </w:r>
          </w:p>
        </w:tc>
        <w:tc>
          <w:tcPr>
            <w:tcW w:w="1541" w:type="dxa"/>
          </w:tcPr>
          <w:p w14:paraId="2FF71589" w14:textId="77777777" w:rsidR="007A4853" w:rsidRDefault="007A4853" w:rsidP="0038321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2015</w:t>
            </w:r>
          </w:p>
        </w:tc>
        <w:tc>
          <w:tcPr>
            <w:tcW w:w="1542" w:type="dxa"/>
          </w:tcPr>
          <w:p w14:paraId="35020229" w14:textId="77777777" w:rsidR="007A4853" w:rsidRDefault="007A4853" w:rsidP="0038321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2018</w:t>
            </w:r>
          </w:p>
        </w:tc>
        <w:tc>
          <w:tcPr>
            <w:tcW w:w="1542" w:type="dxa"/>
          </w:tcPr>
          <w:p w14:paraId="2919AD1F" w14:textId="77777777" w:rsidR="007A4853" w:rsidRDefault="007A4853" w:rsidP="0038321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2021</w:t>
            </w:r>
          </w:p>
        </w:tc>
        <w:tc>
          <w:tcPr>
            <w:tcW w:w="1542" w:type="dxa"/>
          </w:tcPr>
          <w:p w14:paraId="59134A03" w14:textId="77777777" w:rsidR="007A4853" w:rsidRDefault="007A4853" w:rsidP="0038321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2024</w:t>
            </w:r>
          </w:p>
        </w:tc>
      </w:tr>
      <w:tr w:rsidR="007A4853" w14:paraId="7A139FFE" w14:textId="77777777" w:rsidTr="00383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" w:type="dxa"/>
          </w:tcPr>
          <w:p w14:paraId="4FC027D8" w14:textId="77777777" w:rsidR="007A4853" w:rsidRDefault="007A4853" w:rsidP="00383217">
            <w:r>
              <w:t>%</w:t>
            </w:r>
          </w:p>
        </w:tc>
        <w:tc>
          <w:tcPr>
            <w:tcW w:w="1541" w:type="dxa"/>
          </w:tcPr>
          <w:p w14:paraId="19C55DFE" w14:textId="77777777" w:rsidR="007A4853" w:rsidRDefault="007A4853" w:rsidP="003832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20.3%</w:t>
            </w:r>
          </w:p>
        </w:tc>
        <w:tc>
          <w:tcPr>
            <w:tcW w:w="1541" w:type="dxa"/>
          </w:tcPr>
          <w:p w14:paraId="43B3888E" w14:textId="77777777" w:rsidR="007A4853" w:rsidRDefault="007A4853" w:rsidP="003832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19.5%</w:t>
            </w:r>
          </w:p>
        </w:tc>
        <w:tc>
          <w:tcPr>
            <w:tcW w:w="1541" w:type="dxa"/>
          </w:tcPr>
          <w:p w14:paraId="598A7AAA" w14:textId="77777777" w:rsidR="007A4853" w:rsidRDefault="007A4853" w:rsidP="003832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19.9%</w:t>
            </w:r>
          </w:p>
        </w:tc>
        <w:tc>
          <w:tcPr>
            <w:tcW w:w="1542" w:type="dxa"/>
          </w:tcPr>
          <w:p w14:paraId="3090A5BF" w14:textId="77777777" w:rsidR="007A4853" w:rsidRDefault="007A4853" w:rsidP="003832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19.9%</w:t>
            </w:r>
          </w:p>
        </w:tc>
        <w:tc>
          <w:tcPr>
            <w:tcW w:w="1542" w:type="dxa"/>
          </w:tcPr>
          <w:p w14:paraId="38336FFF" w14:textId="77777777" w:rsidR="007A4853" w:rsidRDefault="007A4853" w:rsidP="003832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19.9%</w:t>
            </w:r>
          </w:p>
        </w:tc>
        <w:tc>
          <w:tcPr>
            <w:tcW w:w="1542" w:type="dxa"/>
          </w:tcPr>
          <w:p w14:paraId="285C5AC9" w14:textId="77777777" w:rsidR="007A4853" w:rsidRDefault="007A4853" w:rsidP="003832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22.3%</w:t>
            </w:r>
          </w:p>
        </w:tc>
      </w:tr>
    </w:tbl>
    <w:p w14:paraId="4ACDBDB1" w14:textId="77777777" w:rsidR="007A4853" w:rsidRPr="000870DD" w:rsidRDefault="007A4853" w:rsidP="007A4853">
      <w:pPr>
        <w:pStyle w:val="Heading2"/>
        <w:rPr>
          <w:lang w:val="en-US"/>
        </w:rPr>
      </w:pPr>
      <w:r>
        <w:rPr>
          <w:bCs w:val="0"/>
          <w:lang w:val="en-US"/>
        </w:rPr>
        <w:t>Find out more</w:t>
      </w:r>
    </w:p>
    <w:p w14:paraId="51F31D72" w14:textId="39286B05" w:rsidR="007A4853" w:rsidRPr="000870DD" w:rsidRDefault="007A4853" w:rsidP="007A4853">
      <w:pPr>
        <w:spacing w:before="0" w:after="160" w:line="259" w:lineRule="auto"/>
        <w:rPr>
          <w:b/>
          <w:bCs/>
          <w:lang w:val="en-US"/>
        </w:rPr>
      </w:pPr>
      <w:r w:rsidRPr="000870DD">
        <w:rPr>
          <w:lang w:val="en-US"/>
        </w:rPr>
        <w:t xml:space="preserve">For further information contact the Victorian AEDC Coordinator at </w:t>
      </w:r>
      <w:hyperlink r:id="rId8" w:history="1">
        <w:r w:rsidR="0088707C" w:rsidRPr="000107F9">
          <w:rPr>
            <w:rStyle w:val="Hyperlink"/>
            <w:lang w:val="en-US"/>
          </w:rPr>
          <w:t>aedc@education.vic.gov.au</w:t>
        </w:r>
      </w:hyperlink>
      <w:r w:rsidRPr="000870DD">
        <w:rPr>
          <w:b/>
          <w:bCs/>
          <w:lang w:val="en-US"/>
        </w:rPr>
        <w:t xml:space="preserve"> </w:t>
      </w:r>
    </w:p>
    <w:p w14:paraId="75C656AA" w14:textId="241D6D03" w:rsidR="0011005D" w:rsidRDefault="007A4853" w:rsidP="0088707C">
      <w:pPr>
        <w:spacing w:before="0" w:after="160" w:line="259" w:lineRule="auto"/>
      </w:pPr>
      <w:r w:rsidRPr="000870DD">
        <w:rPr>
          <w:lang w:val="en-US"/>
        </w:rPr>
        <w:t xml:space="preserve">or visit </w:t>
      </w:r>
      <w:hyperlink r:id="rId9" w:history="1">
        <w:r w:rsidR="0088707C" w:rsidRPr="000107F9">
          <w:rPr>
            <w:rStyle w:val="Hyperlink"/>
            <w:b/>
            <w:bCs/>
            <w:lang w:val="en-US"/>
          </w:rPr>
          <w:t>https://www.vic.gov.au/australian-early-development-census-victoria</w:t>
        </w:r>
      </w:hyperlink>
    </w:p>
    <w:p w14:paraId="7D079115" w14:textId="77777777" w:rsidR="009A114D" w:rsidRDefault="009A114D" w:rsidP="009A114D">
      <w:pPr>
        <w:spacing w:before="0" w:after="160" w:line="259" w:lineRule="auto"/>
      </w:pPr>
    </w:p>
    <w:p w14:paraId="0DFC9BF0" w14:textId="16EC29AD" w:rsidR="009A114D" w:rsidRPr="009A114D" w:rsidRDefault="009A114D" w:rsidP="009A114D">
      <w:pPr>
        <w:spacing w:before="0" w:after="160" w:line="259" w:lineRule="auto"/>
        <w:rPr>
          <w:lang w:val="en-US"/>
        </w:rPr>
      </w:pPr>
      <w:r w:rsidRPr="009A114D">
        <w:rPr>
          <w:lang w:val="en-US"/>
        </w:rPr>
        <w:t xml:space="preserve">Since 2002, the Australian Government has worked in partnership with eminent child health research </w:t>
      </w:r>
    </w:p>
    <w:p w14:paraId="2EF70FD8" w14:textId="77777777" w:rsidR="009A114D" w:rsidRPr="009A114D" w:rsidRDefault="009A114D" w:rsidP="009A114D">
      <w:pPr>
        <w:spacing w:before="0" w:after="160" w:line="259" w:lineRule="auto"/>
        <w:rPr>
          <w:lang w:val="en-US"/>
        </w:rPr>
      </w:pPr>
      <w:r w:rsidRPr="009A114D">
        <w:rPr>
          <w:lang w:val="en-US"/>
        </w:rPr>
        <w:t xml:space="preserve">institutes, the Centre for Community Child Health at The Royal Children’s Hospital and the Murdoch </w:t>
      </w:r>
    </w:p>
    <w:p w14:paraId="57279A26" w14:textId="77777777" w:rsidR="009A114D" w:rsidRPr="009A114D" w:rsidRDefault="009A114D" w:rsidP="009A114D">
      <w:pPr>
        <w:spacing w:before="0" w:after="160" w:line="259" w:lineRule="auto"/>
        <w:rPr>
          <w:lang w:val="en-US"/>
        </w:rPr>
      </w:pPr>
      <w:r w:rsidRPr="009A114D">
        <w:rPr>
          <w:lang w:val="en-US"/>
        </w:rPr>
        <w:t xml:space="preserve">Children’s Research Institute, and The Kids Research Institute Australia to deliver the Australian Early </w:t>
      </w:r>
    </w:p>
    <w:p w14:paraId="255184FD" w14:textId="77777777" w:rsidR="009A114D" w:rsidRPr="009A114D" w:rsidRDefault="009A114D" w:rsidP="009A114D">
      <w:pPr>
        <w:spacing w:before="0" w:after="160" w:line="259" w:lineRule="auto"/>
        <w:rPr>
          <w:lang w:val="en-US"/>
        </w:rPr>
      </w:pPr>
      <w:r w:rsidRPr="009A114D">
        <w:rPr>
          <w:lang w:val="en-US"/>
        </w:rPr>
        <w:t xml:space="preserve">Development Census program to communities nationwide. The Australian Government continues to </w:t>
      </w:r>
    </w:p>
    <w:p w14:paraId="4367A7F0" w14:textId="77777777" w:rsidR="009A114D" w:rsidRPr="009A114D" w:rsidRDefault="009A114D" w:rsidP="009A114D">
      <w:pPr>
        <w:spacing w:before="0" w:after="160" w:line="259" w:lineRule="auto"/>
        <w:rPr>
          <w:lang w:val="en-US"/>
        </w:rPr>
      </w:pPr>
      <w:r w:rsidRPr="009A114D">
        <w:rPr>
          <w:lang w:val="en-US"/>
        </w:rPr>
        <w:t xml:space="preserve">work with its partners, and with state and territory governments to implement the AEDC. </w:t>
      </w:r>
    </w:p>
    <w:p w14:paraId="474672F3" w14:textId="77777777" w:rsidR="009A114D" w:rsidRDefault="009A114D" w:rsidP="009A114D">
      <w:pPr>
        <w:spacing w:before="0" w:after="160" w:line="259" w:lineRule="auto"/>
        <w:rPr>
          <w:lang w:val="en-US"/>
        </w:rPr>
      </w:pPr>
      <w:r w:rsidRPr="009A114D">
        <w:rPr>
          <w:lang w:val="en-US"/>
        </w:rPr>
        <w:t>This flyer uses data from the Australian Early Development Census (AEDC).</w:t>
      </w:r>
    </w:p>
    <w:p w14:paraId="54E70B48" w14:textId="77777777" w:rsidR="009A114D" w:rsidRDefault="009A114D" w:rsidP="009A114D">
      <w:pPr>
        <w:spacing w:before="0" w:after="160" w:line="259" w:lineRule="auto"/>
        <w:rPr>
          <w:lang w:val="en-US"/>
        </w:rPr>
      </w:pPr>
    </w:p>
    <w:p w14:paraId="6C4F5DED" w14:textId="0BA8504F" w:rsidR="00E23ACD" w:rsidRPr="00E23ACD" w:rsidRDefault="00E23ACD" w:rsidP="00E23ACD">
      <w:pPr>
        <w:spacing w:before="0" w:after="160" w:line="259" w:lineRule="auto"/>
        <w:rPr>
          <w:lang w:val="en-US"/>
        </w:rPr>
      </w:pPr>
      <w:r w:rsidRPr="00E23ACD">
        <w:rPr>
          <w:lang w:val="en-US"/>
        </w:rPr>
        <w:t xml:space="preserve">The AEDC is funded by the Australian Government Department of Education. The findings and/or views </w:t>
      </w:r>
    </w:p>
    <w:p w14:paraId="34C7CF08" w14:textId="6CD511FE" w:rsidR="00E23ACD" w:rsidRPr="00E23ACD" w:rsidRDefault="00E23ACD" w:rsidP="00E23ACD">
      <w:pPr>
        <w:spacing w:before="0" w:after="160" w:line="259" w:lineRule="auto"/>
        <w:rPr>
          <w:lang w:val="en-US"/>
        </w:rPr>
      </w:pPr>
      <w:r w:rsidRPr="00E23ACD">
        <w:rPr>
          <w:lang w:val="en-US"/>
        </w:rPr>
        <w:lastRenderedPageBreak/>
        <w:t xml:space="preserve">reported are those of the author and should not be attributed to the Australian Government Department </w:t>
      </w:r>
    </w:p>
    <w:p w14:paraId="30EBF6F8" w14:textId="705E2A63" w:rsidR="009A114D" w:rsidRPr="0088707C" w:rsidRDefault="00E23ACD" w:rsidP="00E23ACD">
      <w:pPr>
        <w:spacing w:before="0" w:after="160" w:line="259" w:lineRule="auto"/>
        <w:rPr>
          <w:lang w:val="en-US"/>
        </w:rPr>
        <w:sectPr w:rsidR="009A114D" w:rsidRPr="0088707C" w:rsidSect="00F85B83">
          <w:headerReference w:type="default" r:id="rId10"/>
          <w:footerReference w:type="even" r:id="rId11"/>
          <w:footerReference w:type="default" r:id="rId12"/>
          <w:type w:val="continuous"/>
          <w:pgSz w:w="11900" w:h="16840"/>
          <w:pgMar w:top="2530" w:right="1134" w:bottom="1701" w:left="1134" w:header="227" w:footer="387" w:gutter="0"/>
          <w:cols w:space="708"/>
          <w:docGrid w:linePitch="360"/>
        </w:sectPr>
      </w:pPr>
      <w:r w:rsidRPr="00E23ACD">
        <w:rPr>
          <w:lang w:val="en-US"/>
        </w:rPr>
        <w:t>of Education or the Australian Government.</w:t>
      </w:r>
    </w:p>
    <w:p w14:paraId="0E204B23" w14:textId="6B432C55" w:rsidR="00800CAE" w:rsidRPr="0011005D" w:rsidRDefault="00800CAE" w:rsidP="00B40CCD">
      <w:pPr>
        <w:rPr>
          <w:rStyle w:val="FootnoteReference"/>
          <w:rFonts w:ascii="Times New Roman" w:hAnsi="Times New Roman" w:cs="Times New Roman"/>
          <w:color w:val="auto"/>
          <w:sz w:val="22"/>
          <w:szCs w:val="24"/>
          <w:vertAlign w:val="baseline"/>
        </w:rPr>
      </w:pPr>
    </w:p>
    <w:sectPr w:rsidR="00800CAE" w:rsidRPr="0011005D" w:rsidSect="001F4B78">
      <w:headerReference w:type="default" r:id="rId13"/>
      <w:pgSz w:w="11900" w:h="16840"/>
      <w:pgMar w:top="1885" w:right="1134" w:bottom="1701" w:left="1134" w:header="227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5CCA9" w14:textId="77777777" w:rsidR="001005A9" w:rsidRDefault="001005A9" w:rsidP="00B40CCD">
      <w:r>
        <w:separator/>
      </w:r>
    </w:p>
  </w:endnote>
  <w:endnote w:type="continuationSeparator" w:id="0">
    <w:p w14:paraId="39D2F0EC" w14:textId="77777777" w:rsidR="001005A9" w:rsidRDefault="001005A9" w:rsidP="00B4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106413786"/>
      <w:docPartObj>
        <w:docPartGallery w:val="Page Numbers (Bottom of Page)"/>
        <w:docPartUnique/>
      </w:docPartObj>
    </w:sdtPr>
    <w:sdtContent>
      <w:p w14:paraId="2AF77123" w14:textId="77777777" w:rsidR="003C0A6C" w:rsidRDefault="003C0A6C" w:rsidP="00B40CCD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BC0DB9" w14:textId="77777777" w:rsidR="003C0A6C" w:rsidRDefault="003C0A6C" w:rsidP="00B40C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04669816"/>
      <w:docPartObj>
        <w:docPartGallery w:val="Page Numbers (Bottom of Page)"/>
        <w:docPartUnique/>
      </w:docPartObj>
    </w:sdtPr>
    <w:sdtEndPr>
      <w:rPr>
        <w:rStyle w:val="PageNumber"/>
        <w:sz w:val="16"/>
        <w:szCs w:val="16"/>
      </w:rPr>
    </w:sdtEndPr>
    <w:sdtContent>
      <w:p w14:paraId="0F6F46E6" w14:textId="54FE1BE3" w:rsidR="00DA5F30" w:rsidRPr="00B40CCD" w:rsidRDefault="003C0A6C" w:rsidP="00B40CCD">
        <w:pPr>
          <w:pStyle w:val="Footer"/>
          <w:rPr>
            <w:sz w:val="16"/>
            <w:szCs w:val="16"/>
          </w:rPr>
        </w:pPr>
        <w:r w:rsidRPr="00B40CCD">
          <w:rPr>
            <w:rStyle w:val="PageNumber"/>
            <w:b/>
            <w:bCs/>
            <w:sz w:val="16"/>
            <w:szCs w:val="16"/>
          </w:rPr>
          <w:fldChar w:fldCharType="begin"/>
        </w:r>
        <w:r w:rsidRPr="00B40CCD">
          <w:rPr>
            <w:rStyle w:val="PageNumber"/>
            <w:b/>
            <w:bCs/>
            <w:sz w:val="16"/>
            <w:szCs w:val="16"/>
          </w:rPr>
          <w:instrText xml:space="preserve"> PAGE </w:instrText>
        </w:r>
        <w:r w:rsidRPr="00B40CCD">
          <w:rPr>
            <w:rStyle w:val="PageNumber"/>
            <w:b/>
            <w:bCs/>
            <w:sz w:val="16"/>
            <w:szCs w:val="16"/>
          </w:rPr>
          <w:fldChar w:fldCharType="separate"/>
        </w:r>
        <w:r w:rsidRPr="00B40CCD">
          <w:rPr>
            <w:rStyle w:val="PageNumber"/>
            <w:b/>
            <w:bCs/>
            <w:noProof/>
            <w:sz w:val="16"/>
            <w:szCs w:val="16"/>
          </w:rPr>
          <w:t>1</w:t>
        </w:r>
        <w:r w:rsidRPr="00B40CCD">
          <w:rPr>
            <w:rStyle w:val="PageNumber"/>
            <w:b/>
            <w:bCs/>
            <w:sz w:val="16"/>
            <w:szCs w:val="16"/>
          </w:rPr>
          <w:fldChar w:fldCharType="end"/>
        </w:r>
        <w:r w:rsidR="00730817" w:rsidRPr="00B40CCD">
          <w:rPr>
            <w:rStyle w:val="PageNumber"/>
            <w:sz w:val="16"/>
            <w:szCs w:val="16"/>
          </w:rPr>
          <w:t xml:space="preserve"> | Department of Education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334B8" w14:textId="77777777" w:rsidR="001005A9" w:rsidRDefault="001005A9" w:rsidP="00B40CCD">
      <w:r>
        <w:separator/>
      </w:r>
    </w:p>
  </w:footnote>
  <w:footnote w:type="continuationSeparator" w:id="0">
    <w:p w14:paraId="10F06C10" w14:textId="77777777" w:rsidR="001005A9" w:rsidRDefault="001005A9" w:rsidP="00B40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69563" w14:textId="58DD75DE" w:rsidR="003C0A6C" w:rsidRDefault="00DC55F3" w:rsidP="00B40CC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2099EF7" wp14:editId="42FFB84A">
          <wp:simplePos x="0" y="0"/>
          <wp:positionH relativeFrom="column">
            <wp:posOffset>-712470</wp:posOffset>
          </wp:positionH>
          <wp:positionV relativeFrom="paragraph">
            <wp:posOffset>-131445</wp:posOffset>
          </wp:positionV>
          <wp:extent cx="7552055" cy="1193165"/>
          <wp:effectExtent l="0" t="0" r="4445" b="635"/>
          <wp:wrapNone/>
          <wp:docPr id="1352892788" name="Graphic 2" descr="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892788" name="Graphic 2" descr="Department of Educatio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055" cy="119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1" layoutInCell="1" allowOverlap="1" wp14:anchorId="3774D476" wp14:editId="743FB13E">
          <wp:simplePos x="0" y="0"/>
          <wp:positionH relativeFrom="column">
            <wp:posOffset>5534660</wp:posOffset>
          </wp:positionH>
          <wp:positionV relativeFrom="paragraph">
            <wp:posOffset>9910445</wp:posOffset>
          </wp:positionV>
          <wp:extent cx="658495" cy="500380"/>
          <wp:effectExtent l="0" t="0" r="1905" b="0"/>
          <wp:wrapNone/>
          <wp:docPr id="1620350948" name="Graphic 2" descr="The Education St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350948" name="Graphic 2" descr="The Education State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95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BE537" w14:textId="77777777" w:rsidR="0011005D" w:rsidRDefault="0011005D" w:rsidP="00B40CCD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88EA639" wp14:editId="48CE3453">
          <wp:simplePos x="0" y="0"/>
          <wp:positionH relativeFrom="column">
            <wp:posOffset>-720086</wp:posOffset>
          </wp:positionH>
          <wp:positionV relativeFrom="paragraph">
            <wp:posOffset>-131445</wp:posOffset>
          </wp:positionV>
          <wp:extent cx="7556491" cy="609941"/>
          <wp:effectExtent l="0" t="0" r="635" b="0"/>
          <wp:wrapNone/>
          <wp:docPr id="314353413" name="Graphic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29987" name="Graphic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91" cy="609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8D0F11"/>
    <w:multiLevelType w:val="hybridMultilevel"/>
    <w:tmpl w:val="28BC2626"/>
    <w:lvl w:ilvl="0" w:tplc="E2269256">
      <w:start w:val="1"/>
      <w:numFmt w:val="bullet"/>
      <w:pStyle w:val="Bullet2"/>
      <w:lvlText w:val="–"/>
      <w:lvlJc w:val="left"/>
      <w:pPr>
        <w:ind w:left="644" w:hanging="360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F5BA7"/>
    <w:multiLevelType w:val="hybridMultilevel"/>
    <w:tmpl w:val="60C841FC"/>
    <w:lvl w:ilvl="0" w:tplc="354C27DA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2766D"/>
    <w:multiLevelType w:val="hybridMultilevel"/>
    <w:tmpl w:val="24BEF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35373"/>
    <w:multiLevelType w:val="hybridMultilevel"/>
    <w:tmpl w:val="467A483A"/>
    <w:lvl w:ilvl="0" w:tplc="1F32384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D2EAFE46"/>
    <w:lvl w:ilvl="0" w:tplc="093A77C8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B75CC"/>
    <w:multiLevelType w:val="hybridMultilevel"/>
    <w:tmpl w:val="BFE65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619BD"/>
    <w:multiLevelType w:val="hybridMultilevel"/>
    <w:tmpl w:val="3070A5AC"/>
    <w:lvl w:ilvl="0" w:tplc="1E68E876">
      <w:start w:val="1"/>
      <w:numFmt w:val="lowerLetter"/>
      <w:pStyle w:val="Alphabetlist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049998">
    <w:abstractNumId w:val="0"/>
  </w:num>
  <w:num w:numId="2" w16cid:durableId="1729300302">
    <w:abstractNumId w:val="1"/>
  </w:num>
  <w:num w:numId="3" w16cid:durableId="708334569">
    <w:abstractNumId w:val="2"/>
  </w:num>
  <w:num w:numId="4" w16cid:durableId="1787041742">
    <w:abstractNumId w:val="3"/>
  </w:num>
  <w:num w:numId="5" w16cid:durableId="614366991">
    <w:abstractNumId w:val="4"/>
  </w:num>
  <w:num w:numId="6" w16cid:durableId="260383009">
    <w:abstractNumId w:val="9"/>
  </w:num>
  <w:num w:numId="7" w16cid:durableId="374888884">
    <w:abstractNumId w:val="5"/>
  </w:num>
  <w:num w:numId="8" w16cid:durableId="720634888">
    <w:abstractNumId w:val="6"/>
  </w:num>
  <w:num w:numId="9" w16cid:durableId="644890857">
    <w:abstractNumId w:val="7"/>
  </w:num>
  <w:num w:numId="10" w16cid:durableId="109058733">
    <w:abstractNumId w:val="8"/>
  </w:num>
  <w:num w:numId="11" w16cid:durableId="2051876134">
    <w:abstractNumId w:val="10"/>
  </w:num>
  <w:num w:numId="12" w16cid:durableId="2138251284">
    <w:abstractNumId w:val="15"/>
  </w:num>
  <w:num w:numId="13" w16cid:durableId="992098343">
    <w:abstractNumId w:val="18"/>
  </w:num>
  <w:num w:numId="14" w16cid:durableId="530797963">
    <w:abstractNumId w:val="19"/>
  </w:num>
  <w:num w:numId="15" w16cid:durableId="1673489070">
    <w:abstractNumId w:val="14"/>
  </w:num>
  <w:num w:numId="16" w16cid:durableId="1105466474">
    <w:abstractNumId w:val="14"/>
    <w:lvlOverride w:ilvl="0">
      <w:startOverride w:val="1"/>
    </w:lvlOverride>
  </w:num>
  <w:num w:numId="17" w16cid:durableId="2103407669">
    <w:abstractNumId w:val="17"/>
  </w:num>
  <w:num w:numId="18" w16cid:durableId="6950122">
    <w:abstractNumId w:val="13"/>
  </w:num>
  <w:num w:numId="19" w16cid:durableId="639380831">
    <w:abstractNumId w:val="12"/>
  </w:num>
  <w:num w:numId="20" w16cid:durableId="1085682868">
    <w:abstractNumId w:val="11"/>
  </w:num>
  <w:num w:numId="21" w16cid:durableId="3998378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CAE"/>
    <w:rsid w:val="00013339"/>
    <w:rsid w:val="000136A4"/>
    <w:rsid w:val="00024A82"/>
    <w:rsid w:val="00065195"/>
    <w:rsid w:val="00066F68"/>
    <w:rsid w:val="0006773D"/>
    <w:rsid w:val="00086F67"/>
    <w:rsid w:val="0009592E"/>
    <w:rsid w:val="000A47D4"/>
    <w:rsid w:val="000B7C73"/>
    <w:rsid w:val="000D31F6"/>
    <w:rsid w:val="000E0C6E"/>
    <w:rsid w:val="000E28F0"/>
    <w:rsid w:val="000F60C4"/>
    <w:rsid w:val="001005A9"/>
    <w:rsid w:val="0011005D"/>
    <w:rsid w:val="00116376"/>
    <w:rsid w:val="0012067C"/>
    <w:rsid w:val="00122369"/>
    <w:rsid w:val="00124D09"/>
    <w:rsid w:val="00132164"/>
    <w:rsid w:val="00141F23"/>
    <w:rsid w:val="00142D82"/>
    <w:rsid w:val="00144FD5"/>
    <w:rsid w:val="001460B0"/>
    <w:rsid w:val="00194B33"/>
    <w:rsid w:val="00196FEF"/>
    <w:rsid w:val="001A3B7A"/>
    <w:rsid w:val="001B236C"/>
    <w:rsid w:val="001F4B78"/>
    <w:rsid w:val="00207499"/>
    <w:rsid w:val="00214BAC"/>
    <w:rsid w:val="00240F30"/>
    <w:rsid w:val="0025343B"/>
    <w:rsid w:val="0026384B"/>
    <w:rsid w:val="00296F61"/>
    <w:rsid w:val="002970D9"/>
    <w:rsid w:val="002A4A96"/>
    <w:rsid w:val="002A7261"/>
    <w:rsid w:val="002E3BED"/>
    <w:rsid w:val="00312720"/>
    <w:rsid w:val="00323DD1"/>
    <w:rsid w:val="00326E53"/>
    <w:rsid w:val="00336355"/>
    <w:rsid w:val="00336EDF"/>
    <w:rsid w:val="00343D7F"/>
    <w:rsid w:val="00345D4A"/>
    <w:rsid w:val="003507F4"/>
    <w:rsid w:val="003559AA"/>
    <w:rsid w:val="003967DD"/>
    <w:rsid w:val="003B2E0A"/>
    <w:rsid w:val="003C0374"/>
    <w:rsid w:val="003C0A6C"/>
    <w:rsid w:val="003C3186"/>
    <w:rsid w:val="003E672E"/>
    <w:rsid w:val="003E6C06"/>
    <w:rsid w:val="003F044E"/>
    <w:rsid w:val="003F5764"/>
    <w:rsid w:val="003F67F1"/>
    <w:rsid w:val="0043727E"/>
    <w:rsid w:val="0045446B"/>
    <w:rsid w:val="0045687D"/>
    <w:rsid w:val="00464AD5"/>
    <w:rsid w:val="0047423F"/>
    <w:rsid w:val="004947BC"/>
    <w:rsid w:val="004B078F"/>
    <w:rsid w:val="00507148"/>
    <w:rsid w:val="00556E96"/>
    <w:rsid w:val="00584366"/>
    <w:rsid w:val="005B4060"/>
    <w:rsid w:val="005B4AF7"/>
    <w:rsid w:val="005C62E8"/>
    <w:rsid w:val="0060333C"/>
    <w:rsid w:val="00624A55"/>
    <w:rsid w:val="0063067B"/>
    <w:rsid w:val="00635C65"/>
    <w:rsid w:val="00642AA8"/>
    <w:rsid w:val="006621B2"/>
    <w:rsid w:val="006A25AC"/>
    <w:rsid w:val="006B4C11"/>
    <w:rsid w:val="006C68CF"/>
    <w:rsid w:val="006E22FF"/>
    <w:rsid w:val="006F44D8"/>
    <w:rsid w:val="00707C95"/>
    <w:rsid w:val="00714D72"/>
    <w:rsid w:val="00730817"/>
    <w:rsid w:val="00736FB0"/>
    <w:rsid w:val="00744E46"/>
    <w:rsid w:val="0079627F"/>
    <w:rsid w:val="007A2820"/>
    <w:rsid w:val="007A3988"/>
    <w:rsid w:val="007A4853"/>
    <w:rsid w:val="007B3A5A"/>
    <w:rsid w:val="007B556E"/>
    <w:rsid w:val="007B5834"/>
    <w:rsid w:val="007C69AF"/>
    <w:rsid w:val="007D1FB1"/>
    <w:rsid w:val="007D3E38"/>
    <w:rsid w:val="007F02BA"/>
    <w:rsid w:val="00800CAE"/>
    <w:rsid w:val="00886574"/>
    <w:rsid w:val="0088707C"/>
    <w:rsid w:val="00897FEE"/>
    <w:rsid w:val="008B5C45"/>
    <w:rsid w:val="008C6C2E"/>
    <w:rsid w:val="008C78AF"/>
    <w:rsid w:val="008D0A61"/>
    <w:rsid w:val="008E21CC"/>
    <w:rsid w:val="008F0170"/>
    <w:rsid w:val="008F244E"/>
    <w:rsid w:val="008F48D2"/>
    <w:rsid w:val="008F494F"/>
    <w:rsid w:val="00973EE6"/>
    <w:rsid w:val="009A114D"/>
    <w:rsid w:val="009A7C8E"/>
    <w:rsid w:val="009C5945"/>
    <w:rsid w:val="009D4957"/>
    <w:rsid w:val="009F05CF"/>
    <w:rsid w:val="009F4D23"/>
    <w:rsid w:val="00A045D2"/>
    <w:rsid w:val="00A14ACF"/>
    <w:rsid w:val="00A2710B"/>
    <w:rsid w:val="00A31926"/>
    <w:rsid w:val="00A40B99"/>
    <w:rsid w:val="00A4368A"/>
    <w:rsid w:val="00A50ACB"/>
    <w:rsid w:val="00A63D55"/>
    <w:rsid w:val="00A648C2"/>
    <w:rsid w:val="00A71967"/>
    <w:rsid w:val="00A724F4"/>
    <w:rsid w:val="00AA76C6"/>
    <w:rsid w:val="00AC12C3"/>
    <w:rsid w:val="00AC311C"/>
    <w:rsid w:val="00AE0B3B"/>
    <w:rsid w:val="00AE6D8A"/>
    <w:rsid w:val="00AE6E92"/>
    <w:rsid w:val="00AF0ED2"/>
    <w:rsid w:val="00AF30A0"/>
    <w:rsid w:val="00AF3CFA"/>
    <w:rsid w:val="00AF71EA"/>
    <w:rsid w:val="00B04CD2"/>
    <w:rsid w:val="00B1495C"/>
    <w:rsid w:val="00B14C5C"/>
    <w:rsid w:val="00B211E6"/>
    <w:rsid w:val="00B40CCD"/>
    <w:rsid w:val="00B54669"/>
    <w:rsid w:val="00B616EE"/>
    <w:rsid w:val="00BA3EF0"/>
    <w:rsid w:val="00BA4DAA"/>
    <w:rsid w:val="00BB0ABF"/>
    <w:rsid w:val="00BB5707"/>
    <w:rsid w:val="00BB7E9F"/>
    <w:rsid w:val="00BE63CA"/>
    <w:rsid w:val="00BF05FD"/>
    <w:rsid w:val="00C378AD"/>
    <w:rsid w:val="00C739EF"/>
    <w:rsid w:val="00C82988"/>
    <w:rsid w:val="00C93A30"/>
    <w:rsid w:val="00CB56A5"/>
    <w:rsid w:val="00CC1823"/>
    <w:rsid w:val="00CC5997"/>
    <w:rsid w:val="00CD0C81"/>
    <w:rsid w:val="00D013E1"/>
    <w:rsid w:val="00D20580"/>
    <w:rsid w:val="00D33851"/>
    <w:rsid w:val="00D417BE"/>
    <w:rsid w:val="00D52831"/>
    <w:rsid w:val="00D61F71"/>
    <w:rsid w:val="00D673EB"/>
    <w:rsid w:val="00D804D2"/>
    <w:rsid w:val="00D84718"/>
    <w:rsid w:val="00D9784D"/>
    <w:rsid w:val="00DA1D8E"/>
    <w:rsid w:val="00DA2C68"/>
    <w:rsid w:val="00DA3218"/>
    <w:rsid w:val="00DA5F30"/>
    <w:rsid w:val="00DC4DDE"/>
    <w:rsid w:val="00DC55F3"/>
    <w:rsid w:val="00DE156F"/>
    <w:rsid w:val="00DF3442"/>
    <w:rsid w:val="00DF43D2"/>
    <w:rsid w:val="00DF4977"/>
    <w:rsid w:val="00DF7020"/>
    <w:rsid w:val="00E14E9B"/>
    <w:rsid w:val="00E23ACD"/>
    <w:rsid w:val="00E401B6"/>
    <w:rsid w:val="00E5453C"/>
    <w:rsid w:val="00E76670"/>
    <w:rsid w:val="00E8052D"/>
    <w:rsid w:val="00E905D7"/>
    <w:rsid w:val="00E9324D"/>
    <w:rsid w:val="00EA2FCB"/>
    <w:rsid w:val="00EA3421"/>
    <w:rsid w:val="00EB027C"/>
    <w:rsid w:val="00EB0B20"/>
    <w:rsid w:val="00EB62CF"/>
    <w:rsid w:val="00EB6FC0"/>
    <w:rsid w:val="00EC6AEA"/>
    <w:rsid w:val="00F11A98"/>
    <w:rsid w:val="00F35F70"/>
    <w:rsid w:val="00F85B83"/>
    <w:rsid w:val="00FC6ED9"/>
    <w:rsid w:val="537D8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C68E32"/>
  <w14:defaultImageDpi w14:val="32767"/>
  <w15:chartTrackingRefBased/>
  <w15:docId w15:val="{2A13352D-2E89-4885-90D8-82641A34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804D2"/>
    <w:pPr>
      <w:spacing w:before="120" w:after="120" w:line="240" w:lineRule="atLeast"/>
    </w:pPr>
    <w:rPr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04D2"/>
    <w:pPr>
      <w:keepNext/>
      <w:keepLines/>
      <w:spacing w:before="240" w:after="240"/>
      <w:outlineLvl w:val="0"/>
    </w:pPr>
    <w:rPr>
      <w:rFonts w:asciiTheme="majorHAnsi" w:eastAsiaTheme="majorEastAsia" w:hAnsiTheme="majorHAnsi" w:cs="Times New Roman (Headings CS)"/>
      <w:bCs/>
      <w:color w:val="1F1646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4D2"/>
    <w:pPr>
      <w:keepNext/>
      <w:keepLines/>
      <w:spacing w:before="360"/>
      <w:outlineLvl w:val="1"/>
    </w:pPr>
    <w:rPr>
      <w:rFonts w:asciiTheme="majorHAnsi" w:eastAsiaTheme="majorEastAsia" w:hAnsiTheme="majorHAnsi" w:cs="Times New Roman (Headings CS)"/>
      <w:bCs/>
      <w:color w:val="1F1646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04D2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Cs/>
      <w:color w:val="1F1646" w:themeColor="text1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804D2"/>
    <w:pPr>
      <w:spacing w:line="240" w:lineRule="exact"/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D804D2"/>
    <w:rPr>
      <w:rFonts w:asciiTheme="majorHAnsi" w:eastAsiaTheme="majorEastAsia" w:hAnsiTheme="majorHAnsi" w:cs="Times New Roman (Headings CS)"/>
      <w:bCs/>
      <w:color w:val="1F1646" w:themeColor="text1"/>
      <w:sz w:val="32"/>
      <w:szCs w:val="32"/>
      <w:lang w:val="en-AU"/>
    </w:rPr>
  </w:style>
  <w:style w:type="paragraph" w:customStyle="1" w:styleId="Intro">
    <w:name w:val="Intro"/>
    <w:basedOn w:val="Normal"/>
    <w:qFormat/>
    <w:rsid w:val="00D804D2"/>
    <w:pPr>
      <w:spacing w:before="360" w:after="360"/>
    </w:pPr>
    <w:rPr>
      <w:rFonts w:cs="Times New Roman (Body CS)"/>
      <w:color w:val="1F1646" w:themeColor="text1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804D2"/>
    <w:rPr>
      <w:rFonts w:asciiTheme="majorHAnsi" w:eastAsiaTheme="majorEastAsia" w:hAnsiTheme="majorHAnsi" w:cs="Times New Roman (Headings CS)"/>
      <w:bCs/>
      <w:color w:val="1F1646" w:themeColor="text1"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D804D2"/>
    <w:rPr>
      <w:rFonts w:asciiTheme="majorHAnsi" w:eastAsiaTheme="majorEastAsia" w:hAnsiTheme="majorHAnsi" w:cstheme="majorBidi"/>
      <w:bCs/>
      <w:color w:val="1F1646" w:themeColor="text1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D804D2"/>
    <w:pPr>
      <w:spacing w:before="240" w:after="240"/>
    </w:pPr>
    <w:rPr>
      <w:rFonts w:cs="Times New Roman (Body CS)"/>
      <w:i/>
      <w:iCs/>
      <w:color w:val="1F1646" w:themeColor="text1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D804D2"/>
    <w:rPr>
      <w:rFonts w:cs="Times New Roman (Body CS)"/>
      <w:i/>
      <w:iCs/>
      <w:color w:val="1F1646" w:themeColor="text1"/>
      <w:sz w:val="28"/>
      <w:szCs w:val="28"/>
      <w:lang w:val="en-AU"/>
    </w:rPr>
  </w:style>
  <w:style w:type="paragraph" w:customStyle="1" w:styleId="Bullet1">
    <w:name w:val="Bullet 1"/>
    <w:basedOn w:val="Normal"/>
    <w:next w:val="Normal"/>
    <w:qFormat/>
    <w:rsid w:val="00D804D2"/>
    <w:pPr>
      <w:numPr>
        <w:numId w:val="14"/>
      </w:numPr>
      <w:ind w:left="284" w:hanging="284"/>
    </w:pPr>
  </w:style>
  <w:style w:type="paragraph" w:customStyle="1" w:styleId="Bullet2">
    <w:name w:val="Bullet 2"/>
    <w:basedOn w:val="Bullet1"/>
    <w:qFormat/>
    <w:rsid w:val="00D804D2"/>
    <w:pPr>
      <w:numPr>
        <w:numId w:val="20"/>
      </w:numPr>
      <w:ind w:left="641" w:hanging="357"/>
    </w:pPr>
  </w:style>
  <w:style w:type="paragraph" w:customStyle="1" w:styleId="Numberlist">
    <w:name w:val="Number list"/>
    <w:basedOn w:val="Normal"/>
    <w:next w:val="Normal"/>
    <w:qFormat/>
    <w:rsid w:val="002E3BED"/>
    <w:pPr>
      <w:numPr>
        <w:numId w:val="15"/>
      </w:numPr>
      <w:ind w:left="284" w:hanging="284"/>
    </w:pPr>
  </w:style>
  <w:style w:type="table" w:styleId="TableGrid">
    <w:name w:val="Table Grid"/>
    <w:basedOn w:val="TableNormal"/>
    <w:uiPriority w:val="39"/>
    <w:rsid w:val="00CD0C81"/>
    <w:rPr>
      <w:color w:val="1F1646" w:themeColor="text1"/>
      <w:sz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1F1646" w:themeColor="text1"/>
        <w:insideV w:val="single" w:sz="4" w:space="0" w:color="FFFFFF" w:themeColor="background1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inorHAnsi" w:hAnsiTheme="minorHAnsi"/>
        <w:b/>
        <w:color w:val="1F1646" w:themeColor="text1"/>
        <w:sz w:val="22"/>
      </w:rPr>
      <w:tblPr/>
      <w:tcPr>
        <w:tcBorders>
          <w:left w:val="single" w:sz="4" w:space="0" w:color="CFF0F2" w:themeColor="accent6" w:themeTint="66"/>
          <w:right w:val="single" w:sz="4" w:space="0" w:color="CFF0F2" w:themeColor="accent6" w:themeTint="66"/>
        </w:tcBorders>
        <w:shd w:val="clear" w:color="auto" w:fill="CFF0F2" w:themeFill="accent6" w:themeFillTint="66"/>
      </w:tcPr>
    </w:tblStylePr>
    <w:tblStylePr w:type="firstCol">
      <w:rPr>
        <w:rFonts w:asciiTheme="minorHAnsi" w:hAnsiTheme="minorHAnsi"/>
        <w:color w:val="1F1646" w:themeColor="text1"/>
        <w:sz w:val="22"/>
      </w:rPr>
    </w:tblStylePr>
    <w:tblStylePr w:type="lastCol">
      <w:tblPr/>
      <w:tcPr>
        <w:tcBorders>
          <w:left w:val="nil"/>
        </w:tcBorders>
        <w:shd w:val="clear" w:color="auto" w:fill="auto"/>
      </w:tcPr>
    </w:tblStylePr>
    <w:tblStylePr w:type="band1Vert">
      <w:tblPr/>
      <w:tcPr>
        <w:tcBorders>
          <w:left w:val="nil"/>
          <w:right w:val="nil"/>
        </w:tcBorders>
        <w:shd w:val="clear" w:color="auto" w:fill="auto"/>
      </w:tcPr>
    </w:tblStylePr>
  </w:style>
  <w:style w:type="paragraph" w:customStyle="1" w:styleId="TableHead">
    <w:name w:val="Table Head"/>
    <w:basedOn w:val="Normal"/>
    <w:qFormat/>
    <w:rsid w:val="00973EE6"/>
    <w:rPr>
      <w:b/>
      <w:bCs/>
      <w:color w:val="1F1646" w:themeColor="text1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styleId="TOC3">
    <w:name w:val="toc 3"/>
    <w:basedOn w:val="Normal"/>
    <w:next w:val="Normal"/>
    <w:autoRedefine/>
    <w:uiPriority w:val="39"/>
    <w:unhideWhenUsed/>
    <w:rsid w:val="00DA5F30"/>
    <w:pPr>
      <w:ind w:left="360"/>
    </w:pPr>
    <w:rPr>
      <w:rFonts w:ascii="Arial" w:eastAsiaTheme="minorEastAsia" w:hAnsi="Arial" w:cs="Arial"/>
      <w:szCs w:val="1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C0374"/>
    <w:pPr>
      <w:tabs>
        <w:tab w:val="right" w:leader="dot" w:pos="9639"/>
      </w:tabs>
      <w:spacing w:after="100"/>
    </w:pPr>
    <w:rPr>
      <w:rFonts w:ascii="Arial" w:eastAsiaTheme="minorEastAsia" w:hAnsi="Arial" w:cs="Arial"/>
      <w:b/>
      <w:color w:val="1F1646" w:themeColor="text1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44FD5"/>
    <w:pPr>
      <w:spacing w:after="100"/>
      <w:ind w:left="180"/>
    </w:pPr>
    <w:rPr>
      <w:rFonts w:ascii="Arial" w:eastAsiaTheme="minorEastAsia" w:hAnsi="Arial" w:cs="Arial"/>
      <w:color w:val="1F1646" w:themeColor="text1"/>
      <w:szCs w:val="18"/>
      <w:lang w:val="en-US"/>
    </w:rPr>
  </w:style>
  <w:style w:type="paragraph" w:customStyle="1" w:styleId="Figuretitle">
    <w:name w:val="Figure title"/>
    <w:basedOn w:val="Normal"/>
    <w:qFormat/>
    <w:rsid w:val="00D804D2"/>
    <w:pPr>
      <w:keepNext/>
      <w:keepLines/>
    </w:pPr>
    <w:rPr>
      <w:b/>
      <w:color w:val="1F1646" w:themeColor="text1"/>
      <w:sz w:val="18"/>
      <w:szCs w:val="18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CD0C81"/>
    <w:pPr>
      <w:spacing w:after="40"/>
    </w:pPr>
    <w:rPr>
      <w:rFonts w:ascii="Arial" w:eastAsiaTheme="minorEastAsia" w:hAnsi="Arial" w:cs="Arial"/>
      <w:sz w:val="18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D0C81"/>
    <w:rPr>
      <w:rFonts w:ascii="Arial" w:eastAsiaTheme="minorEastAsia" w:hAnsi="Arial" w:cs="Arial"/>
      <w:sz w:val="18"/>
      <w:szCs w:val="11"/>
      <w:lang w:val="en-US"/>
    </w:rPr>
  </w:style>
  <w:style w:type="character" w:styleId="FootnoteReference">
    <w:name w:val="footnote reference"/>
    <w:basedOn w:val="DefaultParagraphFont"/>
    <w:uiPriority w:val="99"/>
    <w:unhideWhenUsed/>
    <w:qFormat/>
    <w:rsid w:val="00CD0C81"/>
    <w:rPr>
      <w:rFonts w:asciiTheme="minorHAnsi" w:hAnsiTheme="minorHAnsi"/>
      <w:color w:val="2C060B"/>
      <w:sz w:val="18"/>
      <w:szCs w:val="18"/>
      <w:vertAlign w:val="superscript"/>
    </w:rPr>
  </w:style>
  <w:style w:type="paragraph" w:customStyle="1" w:styleId="Covertitle">
    <w:name w:val="Cover title"/>
    <w:basedOn w:val="Normal"/>
    <w:qFormat/>
    <w:rsid w:val="00D804D2"/>
    <w:pPr>
      <w:spacing w:before="240" w:after="180" w:line="460" w:lineRule="atLeast"/>
    </w:pPr>
    <w:rPr>
      <w:rFonts w:cs="Times New Roman (Body CS)"/>
      <w:bCs/>
      <w:color w:val="1F1646" w:themeColor="text1"/>
      <w:sz w:val="44"/>
      <w:szCs w:val="44"/>
    </w:rPr>
  </w:style>
  <w:style w:type="paragraph" w:customStyle="1" w:styleId="Coversubtitle">
    <w:name w:val="Cover subtitle"/>
    <w:basedOn w:val="Covertitle"/>
    <w:qFormat/>
    <w:rsid w:val="003C0374"/>
    <w:pPr>
      <w:spacing w:after="480" w:line="400" w:lineRule="exact"/>
    </w:pPr>
    <w:rPr>
      <w:bCs w:val="0"/>
      <w:sz w:val="36"/>
      <w:szCs w:val="36"/>
    </w:rPr>
  </w:style>
  <w:style w:type="paragraph" w:customStyle="1" w:styleId="Alphabetlist">
    <w:name w:val="Alphabet list"/>
    <w:basedOn w:val="Normal"/>
    <w:qFormat/>
    <w:rsid w:val="00D013E1"/>
    <w:pPr>
      <w:numPr>
        <w:numId w:val="17"/>
      </w:numPr>
      <w:ind w:left="568" w:hanging="284"/>
    </w:pPr>
  </w:style>
  <w:style w:type="character" w:styleId="Hyperlink">
    <w:name w:val="Hyperlink"/>
    <w:basedOn w:val="DefaultParagraphFont"/>
    <w:uiPriority w:val="99"/>
    <w:unhideWhenUsed/>
    <w:rsid w:val="008B5C45"/>
    <w:rPr>
      <w:color w:val="201546" w:themeColor="hyperlink"/>
      <w:u w:val="single"/>
    </w:rPr>
  </w:style>
  <w:style w:type="character" w:customStyle="1" w:styleId="apple-converted-space">
    <w:name w:val="apple-converted-space"/>
    <w:basedOn w:val="DefaultParagraphFont"/>
    <w:rsid w:val="00DF7020"/>
  </w:style>
  <w:style w:type="character" w:styleId="Strong">
    <w:name w:val="Strong"/>
    <w:basedOn w:val="DefaultParagraphFont"/>
    <w:uiPriority w:val="22"/>
    <w:qFormat/>
    <w:rsid w:val="00973EE6"/>
  </w:style>
  <w:style w:type="character" w:styleId="IntenseEmphasis">
    <w:name w:val="Intense Emphasis"/>
    <w:basedOn w:val="DefaultParagraphFont"/>
    <w:uiPriority w:val="21"/>
    <w:qFormat/>
    <w:rsid w:val="00800CAE"/>
    <w:rPr>
      <w:rFonts w:asciiTheme="minorHAnsi" w:hAnsiTheme="minorHAnsi"/>
      <w:b/>
      <w:i w:val="0"/>
      <w:iCs/>
      <w:color w:val="1F1646" w:themeColor="text1"/>
      <w:spacing w:val="0"/>
      <w:w w:val="10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44D8"/>
    <w:pPr>
      <w:pBdr>
        <w:top w:val="single" w:sz="4" w:space="10" w:color="1F1646" w:themeColor="text1"/>
        <w:bottom w:val="single" w:sz="4" w:space="10" w:color="1F1646" w:themeColor="text1"/>
      </w:pBdr>
      <w:spacing w:before="360" w:after="360"/>
    </w:pPr>
    <w:rPr>
      <w:b/>
      <w:iCs/>
      <w:color w:val="1F1646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44D8"/>
    <w:rPr>
      <w:b/>
      <w:iCs/>
      <w:color w:val="1F1646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804D2"/>
    <w:rPr>
      <w:rFonts w:asciiTheme="majorHAnsi" w:eastAsiaTheme="majorEastAsia" w:hAnsiTheme="majorHAnsi" w:cstheme="majorBidi"/>
      <w:bCs/>
      <w:color w:val="1F1646" w:themeColor="text1"/>
      <w:sz w:val="22"/>
      <w:szCs w:val="22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E0A"/>
    <w:pPr>
      <w:numPr>
        <w:ilvl w:val="1"/>
      </w:numPr>
      <w:spacing w:after="160"/>
    </w:pPr>
    <w:rPr>
      <w:rFonts w:eastAsiaTheme="minorEastAsia"/>
      <w:color w:val="1F1646" w:themeColor="text1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2E0A"/>
    <w:rPr>
      <w:rFonts w:eastAsiaTheme="minorEastAsia"/>
      <w:color w:val="1F1646" w:themeColor="text1"/>
      <w:spacing w:val="15"/>
      <w:sz w:val="28"/>
      <w:szCs w:val="28"/>
      <w:lang w:val="en-AU"/>
    </w:rPr>
  </w:style>
  <w:style w:type="character" w:styleId="SubtleEmphasis">
    <w:name w:val="Subtle Emphasis"/>
    <w:basedOn w:val="DefaultParagraphFont"/>
    <w:uiPriority w:val="19"/>
    <w:qFormat/>
    <w:rsid w:val="00326E53"/>
    <w:rPr>
      <w:i/>
      <w:iCs/>
      <w:color w:val="1F1646" w:themeColor="text1"/>
    </w:rPr>
  </w:style>
  <w:style w:type="character" w:styleId="UnresolvedMention">
    <w:name w:val="Unresolved Mention"/>
    <w:basedOn w:val="DefaultParagraphFont"/>
    <w:uiPriority w:val="99"/>
    <w:rsid w:val="00144FD5"/>
    <w:rPr>
      <w:color w:val="605E5C"/>
      <w:shd w:val="clear" w:color="auto" w:fill="E1DFDD"/>
    </w:rPr>
  </w:style>
  <w:style w:type="paragraph" w:customStyle="1" w:styleId="Copyrighttext">
    <w:name w:val="Copyright text"/>
    <w:basedOn w:val="FootnoteText"/>
    <w:qFormat/>
    <w:rsid w:val="00C739EF"/>
    <w:pPr>
      <w:spacing w:line="200" w:lineRule="exact"/>
      <w:ind w:right="3396"/>
    </w:pPr>
    <w:rPr>
      <w:sz w:val="15"/>
      <w:szCs w:val="15"/>
    </w:rPr>
  </w:style>
  <w:style w:type="character" w:styleId="SubtleReference">
    <w:name w:val="Subtle Reference"/>
    <w:basedOn w:val="DefaultParagraphFont"/>
    <w:uiPriority w:val="31"/>
    <w:qFormat/>
    <w:rsid w:val="006F44D8"/>
    <w:rPr>
      <w:rFonts w:asciiTheme="minorHAnsi" w:hAnsiTheme="minorHAnsi"/>
      <w:b w:val="0"/>
      <w:i w:val="0"/>
      <w:caps/>
      <w:smallCaps w:val="0"/>
      <w:strike w:val="0"/>
      <w:dstrike w:val="0"/>
      <w:vanish w:val="0"/>
      <w:color w:val="1F1646" w:themeColor="text1"/>
      <w:sz w:val="22"/>
      <w:vertAlign w:val="baseline"/>
    </w:rPr>
  </w:style>
  <w:style w:type="character" w:styleId="IntenseReference">
    <w:name w:val="Intense Reference"/>
    <w:basedOn w:val="DefaultParagraphFont"/>
    <w:uiPriority w:val="32"/>
    <w:qFormat/>
    <w:rsid w:val="00800CAE"/>
    <w:rPr>
      <w:b/>
      <w:caps/>
      <w:spacing w:val="5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C739EF"/>
    <w:pPr>
      <w:spacing w:before="360" w:after="360" w:line="600" w:lineRule="exact"/>
      <w:contextualSpacing/>
    </w:pPr>
    <w:rPr>
      <w:rFonts w:asciiTheme="majorHAnsi" w:eastAsiaTheme="majorEastAsia" w:hAnsiTheme="majorHAnsi" w:cstheme="majorBidi"/>
      <w:color w:val="1F1646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9EF"/>
    <w:rPr>
      <w:rFonts w:asciiTheme="majorHAnsi" w:eastAsiaTheme="majorEastAsia" w:hAnsiTheme="majorHAnsi" w:cstheme="majorBidi"/>
      <w:color w:val="1F1646" w:themeColor="text1"/>
      <w:spacing w:val="-10"/>
      <w:kern w:val="28"/>
      <w:sz w:val="56"/>
      <w:szCs w:val="56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C739EF"/>
    <w:rPr>
      <w:color w:val="20154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A4853"/>
    <w:pPr>
      <w:spacing w:before="0"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dc@education.vic.gov.a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ic.gov.au/australian-early-development-census-victori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2024 Both Sectors Theme">
  <a:themeElements>
    <a:clrScheme name="DE BOTH SECTORS COLOURS 2024">
      <a:dk1>
        <a:srgbClr val="1F1646"/>
      </a:dk1>
      <a:lt1>
        <a:srgbClr val="FFFFFF"/>
      </a:lt1>
      <a:dk2>
        <a:srgbClr val="B4DFD4"/>
      </a:dk2>
      <a:lt2>
        <a:srgbClr val="FFFFFF"/>
      </a:lt2>
      <a:accent1>
        <a:srgbClr val="1F1545"/>
      </a:accent1>
      <a:accent2>
        <a:srgbClr val="B6E9EA"/>
      </a:accent2>
      <a:accent3>
        <a:srgbClr val="84179D"/>
      </a:accent3>
      <a:accent4>
        <a:srgbClr val="01B03F"/>
      </a:accent4>
      <a:accent5>
        <a:srgbClr val="D00131"/>
      </a:accent5>
      <a:accent6>
        <a:srgbClr val="88DBDF"/>
      </a:accent6>
      <a:hlink>
        <a:srgbClr val="201546"/>
      </a:hlink>
      <a:folHlink>
        <a:srgbClr val="201546"/>
      </a:folHlink>
    </a:clrScheme>
    <a:fontScheme name="Red Hat Displa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2024 Both Sectors Theme" id="{31B2B066-3607-E44E-A930-BF3C7537209A}" vid="{BEB4507B-C340-784E-95B4-CE8B936FB0F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D24950-FAE2-AB43-AAA6-6FDE866D0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trends from the AEDC 2024</vt:lpstr>
    </vt:vector>
  </TitlesOfParts>
  <Manager/>
  <Company>DE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trends from the AEDC 2024</dc:title>
  <dc:subject/>
  <dc:creator>DE</dc:creator>
  <cp:keywords/>
  <dc:description/>
  <cp:lastModifiedBy>Roisin Bailey</cp:lastModifiedBy>
  <cp:revision>3</cp:revision>
  <dcterms:created xsi:type="dcterms:W3CDTF">2025-07-15T01:08:00Z</dcterms:created>
  <dcterms:modified xsi:type="dcterms:W3CDTF">2025-07-15T01:38:00Z</dcterms:modified>
</cp:coreProperties>
</file>