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Style w:val="TitleChar"/>
        </w:rPr>
        <w:id w:val="1131132581"/>
        <w:docPartObj>
          <w:docPartGallery w:val="Cover Pages"/>
          <w:docPartUnique/>
        </w:docPartObj>
      </w:sdtPr>
      <w:sdtEndPr>
        <w:rPr>
          <w:rStyle w:val="DefaultParagraphFont"/>
          <w:rFonts w:asciiTheme="minorHAnsi" w:eastAsia="Times New Roman" w:hAnsiTheme="minorHAnsi" w:cstheme="minorBidi"/>
          <w:b w:val="0"/>
          <w:color w:val="000000" w:themeColor="text1"/>
          <w:kern w:val="0"/>
          <w:position w:val="0"/>
          <w:sz w:val="20"/>
          <w:szCs w:val="20"/>
          <w:lang w:eastAsia="en-AU"/>
        </w:rPr>
      </w:sdtEndPr>
      <w:sdtContent>
        <w:p w14:paraId="6E1687AB" w14:textId="4AF4FE19" w:rsidR="00D7629D" w:rsidRPr="00EE4F1F" w:rsidRDefault="00B20129" w:rsidP="00161815">
          <w:pPr>
            <w:framePr w:w="9072" w:h="3969" w:hRule="exact" w:hSpace="5670" w:wrap="around" w:vAnchor="page" w:hAnchor="text" w:y="852" w:anchorLock="1"/>
            <w:rPr>
              <w:rStyle w:val="TitleChar"/>
            </w:rPr>
          </w:pPr>
          <w:r>
            <w:rPr>
              <w:rStyle w:val="TitleChar"/>
            </w:rPr>
            <w:t>Appointment and remuneration guidelines</w:t>
          </w:r>
        </w:p>
        <w:p w14:paraId="7E30E16A" w14:textId="5168D4A7" w:rsidR="00D7629D" w:rsidRDefault="00B20129" w:rsidP="00161815">
          <w:pPr>
            <w:pStyle w:val="Date"/>
            <w:framePr w:w="9072" w:h="3969" w:hRule="exact" w:hSpace="5670" w:wrap="around" w:vAnchor="page" w:hAnchor="text" w:y="852" w:anchorLock="1"/>
            <w:suppressAutoHyphens/>
            <w:rPr>
              <w:rFonts w:cs="Times New Roman (Body CS)"/>
              <w:noProof/>
            </w:rPr>
          </w:pPr>
          <w:r>
            <w:rPr>
              <w:rStyle w:val="DateChar"/>
              <w:b/>
            </w:rPr>
            <w:t xml:space="preserve">Effective </w:t>
          </w:r>
          <w:r w:rsidR="0091214E">
            <w:rPr>
              <w:rStyle w:val="DateChar"/>
              <w:b/>
            </w:rPr>
            <w:t>October 2025</w:t>
          </w:r>
        </w:p>
        <w:p w14:paraId="3444906D" w14:textId="77777777" w:rsidR="00D7629D" w:rsidRPr="00CD0960" w:rsidRDefault="00D7629D" w:rsidP="00CD0960">
          <w:pPr>
            <w:pStyle w:val="Coverurl"/>
            <w:framePr w:wrap="around" w:x="852" w:anchorLock="1"/>
            <w:rPr>
              <w:rStyle w:val="Hyperlink"/>
            </w:rPr>
          </w:pPr>
          <w:r>
            <w:fldChar w:fldCharType="begin"/>
          </w:r>
          <w:r>
            <w:instrText>HYPERLINK "http://vic.gov.au/dpc" \o "Visit DPC"</w:instrText>
          </w:r>
          <w:r>
            <w:fldChar w:fldCharType="separate"/>
          </w:r>
          <w:r w:rsidRPr="00CD0960">
            <w:rPr>
              <w:rStyle w:val="Hyperlink"/>
            </w:rPr>
            <w:t>dpc.vic.gov.au</w:t>
          </w:r>
        </w:p>
        <w:p w14:paraId="4565753F" w14:textId="77777777" w:rsidR="00D7629D" w:rsidRDefault="00D7629D" w:rsidP="00C06F7B">
          <w:pPr>
            <w:pStyle w:val="BodyText"/>
            <w:rPr>
              <w:rFonts w:eastAsia="Times New Roman"/>
              <w:noProof/>
              <w:lang w:eastAsia="en-AU"/>
            </w:rPr>
          </w:pPr>
          <w:r>
            <w:rPr>
              <w:rFonts w:eastAsia="Times New Roman"/>
              <w:noProof/>
              <w:color w:val="201547" w:themeColor="text2"/>
              <w:lang w:eastAsia="en-AU"/>
            </w:rPr>
            <mc:AlternateContent>
              <mc:Choice Requires="wpg">
                <w:drawing>
                  <wp:anchor distT="0" distB="0" distL="114300" distR="114300" simplePos="0" relativeHeight="251658244" behindDoc="1" locked="0" layoutInCell="1" allowOverlap="1" wp14:anchorId="1DE462D7" wp14:editId="5DB087FA">
                    <wp:simplePos x="0" y="0"/>
                    <wp:positionH relativeFrom="column">
                      <wp:posOffset>-540385</wp:posOffset>
                    </wp:positionH>
                    <wp:positionV relativeFrom="paragraph">
                      <wp:posOffset>1767954</wp:posOffset>
                    </wp:positionV>
                    <wp:extent cx="7563506" cy="7007788"/>
                    <wp:effectExtent l="0" t="0" r="0" b="3175"/>
                    <wp:wrapNone/>
                    <wp:docPr id="442556722" name="Group 8"/>
                    <wp:cNvGraphicFramePr/>
                    <a:graphic xmlns:a="http://schemas.openxmlformats.org/drawingml/2006/main">
                      <a:graphicData uri="http://schemas.microsoft.com/office/word/2010/wordprocessingGroup">
                        <wpg:wgp>
                          <wpg:cNvGrpSpPr/>
                          <wpg:grpSpPr>
                            <a:xfrm>
                              <a:off x="0" y="0"/>
                              <a:ext cx="7563506" cy="7007788"/>
                              <a:chOff x="0" y="0"/>
                              <a:chExt cx="7563506" cy="7007788"/>
                            </a:xfrm>
                          </wpg:grpSpPr>
                          <wps:wsp>
                            <wps:cNvPr id="2003042539" name="Freeform: Shape 2"/>
                            <wps:cNvSpPr/>
                            <wps:spPr>
                              <a:xfrm>
                                <a:off x="0" y="854440"/>
                                <a:ext cx="7563506" cy="6153348"/>
                              </a:xfrm>
                              <a:custGeom>
                                <a:avLst/>
                                <a:gdLst>
                                  <a:gd name="connsiteX0" fmla="*/ 0 w 7563506"/>
                                  <a:gd name="connsiteY0" fmla="*/ 0 h 6153348"/>
                                  <a:gd name="connsiteX1" fmla="*/ 7563507 w 7563506"/>
                                  <a:gd name="connsiteY1" fmla="*/ 0 h 6153348"/>
                                  <a:gd name="connsiteX2" fmla="*/ 7563507 w 7563506"/>
                                  <a:gd name="connsiteY2" fmla="*/ 6153349 h 6153348"/>
                                  <a:gd name="connsiteX3" fmla="*/ 0 w 7563506"/>
                                  <a:gd name="connsiteY3" fmla="*/ 6153349 h 6153348"/>
                                </a:gdLst>
                                <a:ahLst/>
                                <a:cxnLst>
                                  <a:cxn ang="0">
                                    <a:pos x="connsiteX0" y="connsiteY0"/>
                                  </a:cxn>
                                  <a:cxn ang="0">
                                    <a:pos x="connsiteX1" y="connsiteY1"/>
                                  </a:cxn>
                                  <a:cxn ang="0">
                                    <a:pos x="connsiteX2" y="connsiteY2"/>
                                  </a:cxn>
                                  <a:cxn ang="0">
                                    <a:pos x="connsiteX3" y="connsiteY3"/>
                                  </a:cxn>
                                </a:cxnLst>
                                <a:rect l="l" t="t" r="r" b="b"/>
                                <a:pathLst>
                                  <a:path w="7563506" h="6153348">
                                    <a:moveTo>
                                      <a:pt x="0" y="0"/>
                                    </a:moveTo>
                                    <a:lnTo>
                                      <a:pt x="7563507" y="0"/>
                                    </a:lnTo>
                                    <a:lnTo>
                                      <a:pt x="7563507" y="6153349"/>
                                    </a:lnTo>
                                    <a:lnTo>
                                      <a:pt x="0" y="6153349"/>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5275277" name="Freeform: Shape 3"/>
                            <wps:cNvSpPr/>
                            <wps:spPr>
                              <a:xfrm>
                                <a:off x="3447738" y="854440"/>
                                <a:ext cx="4112385" cy="6153348"/>
                              </a:xfrm>
                              <a:custGeom>
                                <a:avLst/>
                                <a:gdLst>
                                  <a:gd name="connsiteX0" fmla="*/ 4112386 w 4112385"/>
                                  <a:gd name="connsiteY0" fmla="*/ 0 h 6153348"/>
                                  <a:gd name="connsiteX1" fmla="*/ 2908440 w 4112385"/>
                                  <a:gd name="connsiteY1" fmla="*/ 0 h 6153348"/>
                                  <a:gd name="connsiteX2" fmla="*/ 0 w 4112385"/>
                                  <a:gd name="connsiteY2" fmla="*/ 6153349 h 6153348"/>
                                  <a:gd name="connsiteX3" fmla="*/ 4112386 w 4112385"/>
                                  <a:gd name="connsiteY3" fmla="*/ 6153349 h 6153348"/>
                                </a:gdLst>
                                <a:ahLst/>
                                <a:cxnLst>
                                  <a:cxn ang="0">
                                    <a:pos x="connsiteX0" y="connsiteY0"/>
                                  </a:cxn>
                                  <a:cxn ang="0">
                                    <a:pos x="connsiteX1" y="connsiteY1"/>
                                  </a:cxn>
                                  <a:cxn ang="0">
                                    <a:pos x="connsiteX2" y="connsiteY2"/>
                                  </a:cxn>
                                  <a:cxn ang="0">
                                    <a:pos x="connsiteX3" y="connsiteY3"/>
                                  </a:cxn>
                                </a:cxnLst>
                                <a:rect l="l" t="t" r="r" b="b"/>
                                <a:pathLst>
                                  <a:path w="4112385" h="6153348">
                                    <a:moveTo>
                                      <a:pt x="4112386" y="0"/>
                                    </a:moveTo>
                                    <a:lnTo>
                                      <a:pt x="2908440" y="0"/>
                                    </a:lnTo>
                                    <a:lnTo>
                                      <a:pt x="0" y="6153349"/>
                                    </a:lnTo>
                                    <a:lnTo>
                                      <a:pt x="4112386" y="6153349"/>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3314422" name="Freeform: Shape 4"/>
                            <wps:cNvSpPr/>
                            <wps:spPr>
                              <a:xfrm>
                                <a:off x="6382302" y="854440"/>
                                <a:ext cx="1177238" cy="2490664"/>
                              </a:xfrm>
                              <a:custGeom>
                                <a:avLst/>
                                <a:gdLst>
                                  <a:gd name="connsiteX0" fmla="*/ 1177238 w 1177238"/>
                                  <a:gd name="connsiteY0" fmla="*/ 0 h 2490664"/>
                                  <a:gd name="connsiteX1" fmla="*/ 0 w 1177238"/>
                                  <a:gd name="connsiteY1" fmla="*/ 0 h 2490664"/>
                                  <a:gd name="connsiteX2" fmla="*/ 1177238 w 1177238"/>
                                  <a:gd name="connsiteY2" fmla="*/ 2490665 h 2490664"/>
                                </a:gdLst>
                                <a:ahLst/>
                                <a:cxnLst>
                                  <a:cxn ang="0">
                                    <a:pos x="connsiteX0" y="connsiteY0"/>
                                  </a:cxn>
                                  <a:cxn ang="0">
                                    <a:pos x="connsiteX1" y="connsiteY1"/>
                                  </a:cxn>
                                  <a:cxn ang="0">
                                    <a:pos x="connsiteX2" y="connsiteY2"/>
                                  </a:cxn>
                                </a:cxnLst>
                                <a:rect l="l" t="t" r="r" b="b"/>
                                <a:pathLst>
                                  <a:path w="1177238" h="2490664">
                                    <a:moveTo>
                                      <a:pt x="1177238" y="0"/>
                                    </a:moveTo>
                                    <a:lnTo>
                                      <a:pt x="0" y="0"/>
                                    </a:lnTo>
                                    <a:lnTo>
                                      <a:pt x="1177238" y="2490665"/>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7299470" name="Freeform: Shape 5"/>
                            <wps:cNvSpPr/>
                            <wps:spPr>
                              <a:xfrm>
                                <a:off x="5954073" y="854440"/>
                                <a:ext cx="1237210" cy="855719"/>
                              </a:xfrm>
                              <a:custGeom>
                                <a:avLst/>
                                <a:gdLst>
                                  <a:gd name="connsiteX0" fmla="*/ 1237210 w 1237210"/>
                                  <a:gd name="connsiteY0" fmla="*/ 0 h 855719"/>
                                  <a:gd name="connsiteX1" fmla="*/ 404466 w 1237210"/>
                                  <a:gd name="connsiteY1" fmla="*/ 0 h 855719"/>
                                  <a:gd name="connsiteX2" fmla="*/ 0 w 1237210"/>
                                  <a:gd name="connsiteY2" fmla="*/ 855720 h 855719"/>
                                  <a:gd name="connsiteX3" fmla="*/ 832744 w 1237210"/>
                                  <a:gd name="connsiteY3" fmla="*/ 855720 h 855719"/>
                                </a:gdLst>
                                <a:ahLst/>
                                <a:cxnLst>
                                  <a:cxn ang="0">
                                    <a:pos x="connsiteX0" y="connsiteY0"/>
                                  </a:cxn>
                                  <a:cxn ang="0">
                                    <a:pos x="connsiteX1" y="connsiteY1"/>
                                  </a:cxn>
                                  <a:cxn ang="0">
                                    <a:pos x="connsiteX2" y="connsiteY2"/>
                                  </a:cxn>
                                  <a:cxn ang="0">
                                    <a:pos x="connsiteX3" y="connsiteY3"/>
                                  </a:cxn>
                                </a:cxnLst>
                                <a:rect l="l" t="t" r="r" b="b"/>
                                <a:pathLst>
                                  <a:path w="1237210" h="855719">
                                    <a:moveTo>
                                      <a:pt x="1237210" y="0"/>
                                    </a:moveTo>
                                    <a:lnTo>
                                      <a:pt x="404466" y="0"/>
                                    </a:lnTo>
                                    <a:lnTo>
                                      <a:pt x="0" y="855720"/>
                                    </a:lnTo>
                                    <a:lnTo>
                                      <a:pt x="832744" y="855720"/>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0660877" name="Freeform: Shape 6"/>
                            <wps:cNvSpPr/>
                            <wps:spPr>
                              <a:xfrm>
                                <a:off x="4736892" y="0"/>
                                <a:ext cx="1235901" cy="854817"/>
                              </a:xfrm>
                              <a:custGeom>
                                <a:avLst/>
                                <a:gdLst>
                                  <a:gd name="connsiteX0" fmla="*/ 1235901 w 1235901"/>
                                  <a:gd name="connsiteY0" fmla="*/ 0 h 854817"/>
                                  <a:gd name="connsiteX1" fmla="*/ 404035 w 1235901"/>
                                  <a:gd name="connsiteY1" fmla="*/ 0 h 854817"/>
                                  <a:gd name="connsiteX2" fmla="*/ 0 w 1235901"/>
                                  <a:gd name="connsiteY2" fmla="*/ 854818 h 854817"/>
                                  <a:gd name="connsiteX3" fmla="*/ 831854 w 1235901"/>
                                  <a:gd name="connsiteY3" fmla="*/ 854818 h 854817"/>
                                </a:gdLst>
                                <a:ahLst/>
                                <a:cxnLst>
                                  <a:cxn ang="0">
                                    <a:pos x="connsiteX0" y="connsiteY0"/>
                                  </a:cxn>
                                  <a:cxn ang="0">
                                    <a:pos x="connsiteX1" y="connsiteY1"/>
                                  </a:cxn>
                                  <a:cxn ang="0">
                                    <a:pos x="connsiteX2" y="connsiteY2"/>
                                  </a:cxn>
                                  <a:cxn ang="0">
                                    <a:pos x="connsiteX3" y="connsiteY3"/>
                                  </a:cxn>
                                </a:cxnLst>
                                <a:rect l="l" t="t" r="r" b="b"/>
                                <a:pathLst>
                                  <a:path w="1235901" h="854817">
                                    <a:moveTo>
                                      <a:pt x="1235901" y="0"/>
                                    </a:moveTo>
                                    <a:lnTo>
                                      <a:pt x="404035" y="0"/>
                                    </a:lnTo>
                                    <a:lnTo>
                                      <a:pt x="0" y="854818"/>
                                    </a:lnTo>
                                    <a:lnTo>
                                      <a:pt x="831854" y="854818"/>
                                    </a:lnTo>
                                    <a:close/>
                                  </a:path>
                                </a:pathLst>
                              </a:custGeom>
                              <a:solidFill>
                                <a:srgbClr val="00A7E0"/>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9408895" name="Freeform: Shape 7"/>
                            <wps:cNvSpPr/>
                            <wps:spPr>
                              <a:xfrm>
                                <a:off x="5141626" y="0"/>
                                <a:ext cx="1644560" cy="1710652"/>
                              </a:xfrm>
                              <a:custGeom>
                                <a:avLst/>
                                <a:gdLst>
                                  <a:gd name="connsiteX0" fmla="*/ 0 w 1644560"/>
                                  <a:gd name="connsiteY0" fmla="*/ 0 h 1710652"/>
                                  <a:gd name="connsiteX1" fmla="*/ 835996 w 1644560"/>
                                  <a:gd name="connsiteY1" fmla="*/ 0 h 1710652"/>
                                  <a:gd name="connsiteX2" fmla="*/ 1644561 w 1644560"/>
                                  <a:gd name="connsiteY2" fmla="*/ 1710652 h 1710652"/>
                                  <a:gd name="connsiteX3" fmla="*/ 808551 w 1644560"/>
                                  <a:gd name="connsiteY3" fmla="*/ 1710652 h 1710652"/>
                                </a:gdLst>
                                <a:ahLst/>
                                <a:cxnLst>
                                  <a:cxn ang="0">
                                    <a:pos x="connsiteX0" y="connsiteY0"/>
                                  </a:cxn>
                                  <a:cxn ang="0">
                                    <a:pos x="connsiteX1" y="connsiteY1"/>
                                  </a:cxn>
                                  <a:cxn ang="0">
                                    <a:pos x="connsiteX2" y="connsiteY2"/>
                                  </a:cxn>
                                  <a:cxn ang="0">
                                    <a:pos x="connsiteX3" y="connsiteY3"/>
                                  </a:cxn>
                                </a:cxnLst>
                                <a:rect l="l" t="t" r="r" b="b"/>
                                <a:pathLst>
                                  <a:path w="1644560" h="1710652">
                                    <a:moveTo>
                                      <a:pt x="0" y="0"/>
                                    </a:moveTo>
                                    <a:lnTo>
                                      <a:pt x="835996" y="0"/>
                                    </a:lnTo>
                                    <a:lnTo>
                                      <a:pt x="1644561" y="1710652"/>
                                    </a:lnTo>
                                    <a:lnTo>
                                      <a:pt x="808551" y="1710652"/>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CA170E" id="Group 8" o:spid="_x0000_s1026" style="position:absolute;margin-left:-42.55pt;margin-top:139.2pt;width:595.55pt;height:551.8pt;z-index:-251658236" coordsize="75635,7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">
                    <v:shape id="Freeform: Shape 2" o:spid="_x0000_s1027" style="position:absolute;top:8544;width:75635;height:61533;visibility:visible;mso-wrap-style:square;v-text-anchor:middle" coordsize="7563506,615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" path="m,l7563507,r,6153349l,6153349,,xe" fillcolor="#0072ce [3204]" stroked="f" strokeweight=".35264mm">
                      <v:stroke joinstyle="miter"/>
                      <v:path arrowok="t" o:connecttype="custom" o:connectlocs="0,0;7563507,0;7563507,6153349;0,6153349" o:connectangles="0,0,0,0"/>
                    </v:shape>
                    <v:shape id="Freeform: Shape 3" o:spid="_x0000_s1028" style="position:absolute;left:34477;top:8544;width:41124;height:61533;visibility:visible;mso-wrap-style:square;v-text-anchor:middle" coordsize="4112385,615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" path="m4112386,l2908440,,,6153349r4112386,l4112386,xe" fillcolor="#ccf0ee [3214]" stroked="f" strokeweight=".35264mm">
                      <v:stroke joinstyle="miter"/>
                      <v:path arrowok="t" o:connecttype="custom" o:connectlocs="4112386,0;2908440,0;0,6153349;4112386,6153349" o:connectangles="0,0,0,0"/>
                    </v:shape>
                    <v:shape id="Freeform: Shape 4" o:spid="_x0000_s1029" style="position:absolute;left:63823;top:8544;width:11772;height:24907;visibility:visible;mso-wrap-style:square;v-text-anchor:middle" coordsize="1177238,249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" path="m1177238,l,,1177238,2490665,1177238,xe" fillcolor="#0072ce [3204]" stroked="f" strokeweight=".35264mm">
                      <v:stroke joinstyle="miter"/>
                      <v:path arrowok="t" o:connecttype="custom" o:connectlocs="1177238,0;0,0;1177238,2490665" o:connectangles="0,0,0"/>
                    </v:shape>
                    <v:shape id="Freeform: Shape 5" o:spid="_x0000_s1030" style="position:absolute;left:59540;top:8544;width:12372;height:8557;visibility:visible;mso-wrap-style:square;v-text-anchor:middle" coordsize="1237210,85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" path="m1237210,l404466,,,855720r832744,l1237210,xe" fillcolor="#201547 [3215]" stroked="f" strokeweight=".35264mm">
                      <v:stroke joinstyle="miter"/>
                      <v:path arrowok="t" o:connecttype="custom" o:connectlocs="1237210,0;404466,0;0,855720;832744,855720" o:connectangles="0,0,0,0"/>
                    </v:shape>
                    <v:shape id="Freeform: Shape 6" o:spid="_x0000_s1031" style="position:absolute;left:47368;width:12359;height:8548;visibility:visible;mso-wrap-style:square;v-text-anchor:middle" coordsize="1235901,854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" path="m1235901,l404035,,,854818r831854,l1235901,xe" fillcolor="#00a7e0" stroked="f" strokeweight=".35264mm">
                      <v:stroke joinstyle="miter"/>
                      <v:path arrowok="t" o:connecttype="custom" o:connectlocs="1235901,0;404035,0;0,854818;831854,854818" o:connectangles="0,0,0,0"/>
                    </v:shape>
                    <v:shape id="Freeform: Shape 7" o:spid="_x0000_s1032" style="position:absolute;left:51416;width:16445;height:17106;visibility:visible;mso-wrap-style:square;v-text-anchor:middle" coordsize="1644560,17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" path="m,l835996,r808565,1710652l808551,1710652,,xe" fillcolor="#87189d [3205]" stroked="f" strokeweight=".35264mm">
                      <v:stroke joinstyle="miter"/>
                      <v:path arrowok="t" o:connecttype="custom" o:connectlocs="0,0;835996,0;1644561,1710652;808551,1710652" o:connectangles="0,0,0,0"/>
                    </v:shape>
                  </v:group>
                </w:pict>
              </mc:Fallback>
            </mc:AlternateContent>
          </w:r>
          <w:r>
            <w:rPr>
              <w:rFonts w:eastAsia="Times New Roman"/>
              <w:color w:val="201547" w:themeColor="text2"/>
              <w:lang w:eastAsia="en-AU"/>
            </w:rPr>
            <w:fldChar w:fldCharType="end"/>
          </w:r>
          <w:r>
            <w:rPr>
              <w:noProof/>
            </w:rPr>
            <w:drawing>
              <wp:anchor distT="0" distB="0" distL="114300" distR="114300" simplePos="0" relativeHeight="251658243" behindDoc="1" locked="0" layoutInCell="1" allowOverlap="1" wp14:anchorId="585D72A9" wp14:editId="1404AC5E">
                <wp:simplePos x="0" y="0"/>
                <wp:positionH relativeFrom="page">
                  <wp:posOffset>5400675</wp:posOffset>
                </wp:positionH>
                <wp:positionV relativeFrom="page">
                  <wp:posOffset>9603740</wp:posOffset>
                </wp:positionV>
                <wp:extent cx="1818000" cy="540000"/>
                <wp:effectExtent l="0" t="0" r="0" b="6350"/>
                <wp:wrapNone/>
                <wp:docPr id="111234412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03975" name="Graphic 1167003975"/>
                        <pic:cNvPicPr/>
                      </pic:nvPicPr>
                      <pic:blipFill>
                        <a:blip r:embed="rId12">
                          <a:extLst>
                            <a:ext uri="{96DAC541-7B7A-43D3-8B79-37D633B846F1}">
                              <asvg:svgBlip xmlns:asvg="http://schemas.microsoft.com/office/drawing/2016/SVG/main" r:embed="rId13"/>
                            </a:ext>
                          </a:extLst>
                        </a:blip>
                        <a:stretch>
                          <a:fillRect/>
                        </a:stretch>
                      </pic:blipFill>
                      <pic:spPr>
                        <a:xfrm>
                          <a:off x="0" y="0"/>
                          <a:ext cx="1818000" cy="540000"/>
                        </a:xfrm>
                        <a:prstGeom prst="rect">
                          <a:avLst/>
                        </a:prstGeom>
                      </pic:spPr>
                    </pic:pic>
                  </a:graphicData>
                </a:graphic>
                <wp14:sizeRelH relativeFrom="margin">
                  <wp14:pctWidth>0</wp14:pctWidth>
                </wp14:sizeRelH>
                <wp14:sizeRelV relativeFrom="margin">
                  <wp14:pctHeight>0</wp14:pctHeight>
                </wp14:sizeRelV>
              </wp:anchor>
            </w:drawing>
          </w:r>
        </w:p>
      </w:sdtContent>
    </w:sdt>
    <w:p w14:paraId="604FCEF2" w14:textId="77777777" w:rsidR="00321B51" w:rsidRPr="008614D5" w:rsidRDefault="00474DC3" w:rsidP="008614D5">
      <w:pPr>
        <w:pStyle w:val="Heading1"/>
        <w:rPr>
          <w:rStyle w:val="Strong"/>
          <w:rFonts w:ascii="Calibri" w:eastAsia="Calibri" w:hAnsi="Calibri" w:cs="Calibri"/>
          <w:b/>
          <w:bCs w:val="0"/>
          <w:color w:val="000000" w:themeColor="text1"/>
        </w:rPr>
      </w:pPr>
      <w:r w:rsidRPr="00976536">
        <w:br w:type="page"/>
      </w:r>
      <w:bookmarkStart w:id="0" w:name="_Toc176339422"/>
      <w:r w:rsidR="00321B51">
        <w:lastRenderedPageBreak/>
        <w:t>Acknowledgement of Country</w:t>
      </w:r>
      <w:bookmarkEnd w:id="0"/>
    </w:p>
    <w:p w14:paraId="70C30AAE" w14:textId="77777777" w:rsidR="00321B51" w:rsidRDefault="00321B51" w:rsidP="00321B51">
      <w:pPr>
        <w:pStyle w:val="BodyText"/>
        <w:rPr>
          <w:rStyle w:val="Strong"/>
        </w:rPr>
      </w:pPr>
      <w:r w:rsidRPr="00321B51">
        <w:rPr>
          <w:rStyle w:val="Strong"/>
        </w:rPr>
        <w:t>The Victorian Government acknowledges Aboriginal and Torres Strait Islander people as the Traditional Custodians of Country.</w:t>
      </w:r>
    </w:p>
    <w:p w14:paraId="057D9D37" w14:textId="77777777" w:rsidR="001A0AAF" w:rsidRPr="00F443F7" w:rsidRDefault="006E1939" w:rsidP="00367533">
      <w:pPr>
        <w:pStyle w:val="BodyText"/>
        <w:rPr>
          <w:rStyle w:val="Strong"/>
          <w:rFonts w:asciiTheme="minorHAnsi" w:hAnsiTheme="minorHAnsi"/>
          <w:b/>
          <w:bCs w:val="0"/>
          <w:color w:val="000000" w:themeColor="text1"/>
        </w:rPr>
      </w:pPr>
      <w:r>
        <w:t xml:space="preserve">We respectfully acknowledge all First Peoples of Victoria and celebrate their enduring connection to land, skies and waters. We thank First People for their care of Country and contributions to Victorian communities. We honour and pay our respects to First Peoples’ Elders past and present. </w:t>
      </w:r>
    </w:p>
    <w:p w14:paraId="3DB5A46B" w14:textId="4CE34380" w:rsidR="0022397C" w:rsidRPr="00E024EC" w:rsidRDefault="0022397C" w:rsidP="00E024EC">
      <w:pPr>
        <w:pStyle w:val="BodyText"/>
        <w:framePr w:wrap="around" w:hAnchor="margin" w:yAlign="bottom"/>
        <w:pBdr>
          <w:top w:val="single" w:sz="4" w:space="5" w:color="auto"/>
        </w:pBdr>
        <w:suppressOverlap/>
        <w:rPr>
          <w:rStyle w:val="BodyTextChar"/>
        </w:rPr>
      </w:pPr>
      <w:r w:rsidRPr="001656A1">
        <w:t xml:space="preserve">© State of Victoria (Department of Premier and Cabinet) </w:t>
      </w:r>
      <w:r w:rsidR="00B20129">
        <w:t>July 2024</w:t>
      </w:r>
    </w:p>
    <w:p w14:paraId="7C71652C" w14:textId="77777777" w:rsidR="0022397C" w:rsidRPr="00EB7AFB" w:rsidRDefault="0022397C" w:rsidP="00D547F4">
      <w:pPr>
        <w:pStyle w:val="BodyText"/>
        <w:framePr w:wrap="around" w:hAnchor="margin" w:yAlign="bottom"/>
        <w:suppressOverlap/>
        <w:rPr>
          <w:rStyle w:val="Strong"/>
        </w:rPr>
      </w:pPr>
      <w:r w:rsidRPr="00EB7AFB">
        <w:rPr>
          <w:rStyle w:val="Strong"/>
        </w:rPr>
        <w:t>Creative Commons</w:t>
      </w:r>
    </w:p>
    <w:p w14:paraId="36F1DBE0" w14:textId="51B32D0B" w:rsidR="0022397C" w:rsidRPr="00C8098C" w:rsidRDefault="0022397C" w:rsidP="00D547F4">
      <w:pPr>
        <w:pStyle w:val="BodyText"/>
        <w:framePr w:wrap="around" w:hAnchor="margin" w:yAlign="bottom"/>
        <w:suppressOverlap/>
        <w:rPr>
          <w:rStyle w:val="BodyTextChar"/>
          <w:rFonts w:ascii="VIC" w:hAnsi="VIC"/>
        </w:rPr>
      </w:pPr>
      <w:r>
        <w:t>This work is licensed under a Creative Commons Attribution 4.0 licence, visit the Creative Commons website (</w:t>
      </w:r>
      <w:hyperlink r:id="rId14" w:history="1">
        <w:r>
          <w:rPr>
            <w:rStyle w:val="Hyperlink"/>
            <w:color w:val="auto"/>
          </w:rPr>
          <w:t>http://creativecommons.org/licenses/by/4.0</w:t>
        </w:r>
      </w:hyperlink>
      <w:r>
        <w:t>). You are free to re-use the work under that licence, on the condition that you credit the State of Victoria (Department of Premier and Cabinet) as author, indicate if changes were made and comply with the other licence terms. The licence does not apply to any third-party images, photographs or branding, including Victorian Government and Department logos.</w:t>
      </w:r>
    </w:p>
    <w:p w14:paraId="778D0454" w14:textId="77777777" w:rsidR="0022397C" w:rsidRPr="00321B51" w:rsidRDefault="0022397C" w:rsidP="00D547F4">
      <w:pPr>
        <w:pStyle w:val="BodyText"/>
        <w:framePr w:wrap="around" w:hAnchor="margin" w:yAlign="bottom"/>
        <w:suppressOverlap/>
        <w:rPr>
          <w:rStyle w:val="Strong"/>
        </w:rPr>
      </w:pPr>
      <w:r w:rsidRPr="00321B51">
        <w:rPr>
          <w:rStyle w:val="Strong"/>
        </w:rPr>
        <w:t>Disclaimer</w:t>
      </w:r>
    </w:p>
    <w:p w14:paraId="77EBF031" w14:textId="77777777" w:rsidR="0022397C" w:rsidRDefault="0022397C" w:rsidP="00D547F4">
      <w:pPr>
        <w:pStyle w:val="BodyText"/>
        <w:framePr w:wrap="around" w:hAnchor="margin" w:yAlign="bottom"/>
        <w:suppressOverlap/>
        <w:rPr>
          <w:rFonts w:ascii="VIC" w:hAnsi="VIC"/>
        </w:rPr>
      </w:pPr>
      <w:bookmarkStart w:id="1" w:name="_Hlk175136807"/>
      <w:r>
        <w:t>The State of Victoria does not guarantee that this publication is without flaw or is wholly appropriate for your purposes. We disclaim all liability for any error, loss or other consequence that may arise from your relying on any information in this publication.</w:t>
      </w:r>
    </w:p>
    <w:bookmarkEnd w:id="1"/>
    <w:p w14:paraId="316A7460" w14:textId="77777777" w:rsidR="0022397C" w:rsidRPr="00321B51" w:rsidRDefault="0022397C" w:rsidP="00D547F4">
      <w:pPr>
        <w:pStyle w:val="BodyText"/>
        <w:framePr w:wrap="around" w:hAnchor="margin" w:yAlign="bottom"/>
        <w:suppressOverlap/>
        <w:rPr>
          <w:rStyle w:val="Strong"/>
        </w:rPr>
      </w:pPr>
      <w:r w:rsidRPr="00321B51">
        <w:rPr>
          <w:rStyle w:val="Strong"/>
        </w:rPr>
        <w:t>Accessibility</w:t>
      </w:r>
    </w:p>
    <w:p w14:paraId="5BFF41FE" w14:textId="282C7788" w:rsidR="001840E4" w:rsidRDefault="001840E4" w:rsidP="00D547F4">
      <w:pPr>
        <w:pStyle w:val="BodyText12ptAccessible"/>
        <w:framePr w:wrap="around" w:hAnchor="margin" w:yAlign="bottom"/>
        <w:suppressOverlap/>
      </w:pPr>
      <w:bookmarkStart w:id="2" w:name="_Hlk172116670"/>
      <w:r>
        <w:t xml:space="preserve">To receive this document in an alternative format, phone </w:t>
      </w:r>
      <w:r w:rsidRPr="00D547F4">
        <w:rPr>
          <w:rStyle w:val="Strong"/>
        </w:rPr>
        <w:t>03 9651 5111</w:t>
      </w:r>
      <w:r>
        <w:t xml:space="preserve">, email </w:t>
      </w:r>
      <w:hyperlink r:id="rId15" w:history="1">
        <w:r w:rsidR="0090352E" w:rsidRPr="00E43DCA">
          <w:rPr>
            <w:rStyle w:val="Hyperlink"/>
            <w:rFonts w:ascii="VIC SemiBold" w:hAnsi="VIC SemiBold"/>
          </w:rPr>
          <w:t>publicsectorgovernance@dpc.vic.gov.au</w:t>
        </w:r>
      </w:hyperlink>
      <w:r>
        <w:t xml:space="preserve">, or contact National Relay Service on </w:t>
      </w:r>
      <w:r w:rsidRPr="00D547F4">
        <w:rPr>
          <w:rStyle w:val="Strong"/>
        </w:rPr>
        <w:t>1800 555 660</w:t>
      </w:r>
      <w:r w:rsidR="00835E7E">
        <w:t xml:space="preserve"> if required</w:t>
      </w:r>
      <w:r>
        <w:t xml:space="preserve">. </w:t>
      </w:r>
    </w:p>
    <w:bookmarkEnd w:id="2"/>
    <w:p w14:paraId="6A93932C" w14:textId="77777777" w:rsidR="00367533" w:rsidRDefault="00367533" w:rsidP="00367533">
      <w:pPr>
        <w:pStyle w:val="BodyText"/>
        <w:framePr w:wrap="around" w:hAnchor="margin" w:yAlign="bottom"/>
        <w:ind w:left="714"/>
        <w:suppressOverlap/>
      </w:pPr>
      <w:r w:rsidRPr="003432ED">
        <w:rPr>
          <w:noProof/>
        </w:rPr>
        <w:drawing>
          <wp:anchor distT="0" distB="0" distL="114300" distR="114300" simplePos="0" relativeHeight="251658242" behindDoc="1" locked="0" layoutInCell="1" allowOverlap="1" wp14:anchorId="12554600" wp14:editId="6C6B3C26">
            <wp:simplePos x="0" y="0"/>
            <wp:positionH relativeFrom="column">
              <wp:posOffset>-5715</wp:posOffset>
            </wp:positionH>
            <wp:positionV relativeFrom="paragraph">
              <wp:posOffset>14605</wp:posOffset>
            </wp:positionV>
            <wp:extent cx="361315" cy="361315"/>
            <wp:effectExtent l="0" t="0" r="635" b="635"/>
            <wp:wrapSquare wrapText="bothSides"/>
            <wp:docPr id="152585788"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66679" name="Graphic 3">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1315" cy="361315"/>
                    </a:xfrm>
                    <a:prstGeom prst="rect">
                      <a:avLst/>
                    </a:prstGeom>
                  </pic:spPr>
                </pic:pic>
              </a:graphicData>
            </a:graphic>
            <wp14:sizeRelH relativeFrom="page">
              <wp14:pctWidth>0</wp14:pctWidth>
            </wp14:sizeRelH>
            <wp14:sizeRelV relativeFrom="page">
              <wp14:pctHeight>0</wp14:pctHeight>
            </wp14:sizeRelV>
          </wp:anchor>
        </w:drawing>
      </w:r>
      <w:r>
        <w:t xml:space="preserve">For languages other than English, please call the </w:t>
      </w:r>
      <w:r>
        <w:br/>
        <w:t xml:space="preserve">Translating and Interpreting Service National hotline </w:t>
      </w:r>
      <w:r w:rsidRPr="00EB7AFB">
        <w:rPr>
          <w:rStyle w:val="FooterChar"/>
        </w:rPr>
        <w:t>131 450</w:t>
      </w:r>
      <w:r w:rsidRPr="003432ED">
        <w:rPr>
          <w:rStyle w:val="FooterChar"/>
        </w:rPr>
        <w:t>.</w:t>
      </w:r>
    </w:p>
    <w:sdt>
      <w:sdtPr>
        <w:rPr>
          <w:color w:val="000000" w:themeColor="text1"/>
          <w:sz w:val="22"/>
          <w:szCs w:val="22"/>
        </w:rPr>
        <w:id w:val="-69656224"/>
        <w:docPartObj>
          <w:docPartGallery w:val="Table of Contents"/>
          <w:docPartUnique/>
        </w:docPartObj>
      </w:sdtPr>
      <w:sdtEndPr>
        <w:rPr>
          <w:noProof/>
          <w:sz w:val="20"/>
          <w:szCs w:val="20"/>
        </w:rPr>
      </w:sdtEndPr>
      <w:sdtContent>
        <w:p w14:paraId="3A820063" w14:textId="77777777" w:rsidR="00474864" w:rsidRDefault="00474864" w:rsidP="00474864">
          <w:pPr>
            <w:pStyle w:val="TOCHeading"/>
          </w:pPr>
          <w:r>
            <w:t>Contents</w:t>
          </w:r>
        </w:p>
        <w:p w14:paraId="00E4D779" w14:textId="4B6CD559" w:rsidR="00EE5807" w:rsidRDefault="003E7B8D">
          <w:pPr>
            <w:pStyle w:val="TOC1"/>
            <w:rPr>
              <w:rFonts w:asciiTheme="minorHAnsi" w:eastAsiaTheme="minorEastAsia" w:hAnsiTheme="minorHAnsi" w:cstheme="minorBidi"/>
              <w:b w:val="0"/>
              <w:noProof/>
              <w:kern w:val="2"/>
              <w:sz w:val="24"/>
              <w:szCs w:val="24"/>
              <w:lang w:eastAsia="en-AU"/>
              <w14:ligatures w14:val="standardContextual"/>
            </w:rPr>
          </w:pPr>
          <w:r>
            <w:rPr>
              <w:b w:val="0"/>
              <w:sz w:val="22"/>
            </w:rPr>
            <w:fldChar w:fldCharType="begin"/>
          </w:r>
          <w:r>
            <w:instrText xml:space="preserve"> TOC \o "1-3" \h \z \u </w:instrText>
          </w:r>
          <w:r>
            <w:rPr>
              <w:b w:val="0"/>
              <w:sz w:val="22"/>
            </w:rPr>
            <w:fldChar w:fldCharType="separate"/>
          </w:r>
          <w:hyperlink w:anchor="_Toc176339422" w:history="1">
            <w:r w:rsidR="00EE5807" w:rsidRPr="00547300">
              <w:rPr>
                <w:rStyle w:val="Hyperlink"/>
                <w:noProof/>
              </w:rPr>
              <w:t>Acknowledgement of Country</w:t>
            </w:r>
            <w:r w:rsidR="00EE5807">
              <w:rPr>
                <w:noProof/>
                <w:webHidden/>
              </w:rPr>
              <w:tab/>
            </w:r>
            <w:r w:rsidR="00EE5807">
              <w:rPr>
                <w:noProof/>
                <w:webHidden/>
              </w:rPr>
              <w:fldChar w:fldCharType="begin"/>
            </w:r>
            <w:r w:rsidR="00EE5807">
              <w:rPr>
                <w:noProof/>
                <w:webHidden/>
              </w:rPr>
              <w:instrText xml:space="preserve"> PAGEREF _Toc176339422 \h </w:instrText>
            </w:r>
            <w:r w:rsidR="00EE5807">
              <w:rPr>
                <w:noProof/>
                <w:webHidden/>
              </w:rPr>
            </w:r>
            <w:r w:rsidR="00EE5807">
              <w:rPr>
                <w:noProof/>
                <w:webHidden/>
              </w:rPr>
              <w:fldChar w:fldCharType="separate"/>
            </w:r>
            <w:r w:rsidR="00EE5807">
              <w:rPr>
                <w:noProof/>
                <w:webHidden/>
              </w:rPr>
              <w:t>1</w:t>
            </w:r>
            <w:r w:rsidR="00EE5807">
              <w:rPr>
                <w:noProof/>
                <w:webHidden/>
              </w:rPr>
              <w:fldChar w:fldCharType="end"/>
            </w:r>
          </w:hyperlink>
        </w:p>
        <w:p w14:paraId="662AE9C3" w14:textId="79DC3552" w:rsidR="00EE5807" w:rsidRDefault="00EE5807">
          <w:pPr>
            <w:pStyle w:val="TOC1"/>
            <w:rPr>
              <w:rFonts w:asciiTheme="minorHAnsi" w:eastAsiaTheme="minorEastAsia" w:hAnsiTheme="minorHAnsi" w:cstheme="minorBidi"/>
              <w:b w:val="0"/>
              <w:noProof/>
              <w:kern w:val="2"/>
              <w:sz w:val="24"/>
              <w:szCs w:val="24"/>
              <w:lang w:eastAsia="en-AU"/>
              <w14:ligatures w14:val="standardContextual"/>
            </w:rPr>
          </w:pPr>
          <w:hyperlink w:anchor="_Toc176339423" w:history="1">
            <w:r w:rsidRPr="00547300">
              <w:rPr>
                <w:rStyle w:val="Hyperlink"/>
                <w:noProof/>
              </w:rPr>
              <w:t>1.</w:t>
            </w:r>
            <w:r>
              <w:rPr>
                <w:rFonts w:asciiTheme="minorHAnsi" w:eastAsiaTheme="minorEastAsia" w:hAnsiTheme="minorHAnsi" w:cstheme="minorBidi"/>
                <w:b w:val="0"/>
                <w:noProof/>
                <w:kern w:val="2"/>
                <w:sz w:val="24"/>
                <w:szCs w:val="24"/>
                <w:lang w:eastAsia="en-AU"/>
                <w14:ligatures w14:val="standardContextual"/>
              </w:rPr>
              <w:tab/>
            </w:r>
            <w:r w:rsidRPr="00547300">
              <w:rPr>
                <w:rStyle w:val="Hyperlink"/>
                <w:noProof/>
              </w:rPr>
              <w:t>The Guidelines support good governance of Victorian government entities</w:t>
            </w:r>
            <w:r>
              <w:rPr>
                <w:noProof/>
                <w:webHidden/>
              </w:rPr>
              <w:tab/>
            </w:r>
            <w:r>
              <w:rPr>
                <w:noProof/>
                <w:webHidden/>
              </w:rPr>
              <w:fldChar w:fldCharType="begin"/>
            </w:r>
            <w:r>
              <w:rPr>
                <w:noProof/>
                <w:webHidden/>
              </w:rPr>
              <w:instrText xml:space="preserve"> PAGEREF _Toc176339423 \h </w:instrText>
            </w:r>
            <w:r>
              <w:rPr>
                <w:noProof/>
                <w:webHidden/>
              </w:rPr>
            </w:r>
            <w:r>
              <w:rPr>
                <w:noProof/>
                <w:webHidden/>
              </w:rPr>
              <w:fldChar w:fldCharType="separate"/>
            </w:r>
            <w:r>
              <w:rPr>
                <w:noProof/>
                <w:webHidden/>
              </w:rPr>
              <w:t>5</w:t>
            </w:r>
            <w:r>
              <w:rPr>
                <w:noProof/>
                <w:webHidden/>
              </w:rPr>
              <w:fldChar w:fldCharType="end"/>
            </w:r>
          </w:hyperlink>
        </w:p>
        <w:p w14:paraId="1756CF83" w14:textId="2E769386" w:rsidR="00EE5807" w:rsidRDefault="00EE5807">
          <w:pPr>
            <w:pStyle w:val="TOC2"/>
            <w:rPr>
              <w:rFonts w:eastAsiaTheme="minorEastAsia" w:cstheme="minorBidi"/>
              <w:noProof/>
              <w:kern w:val="2"/>
              <w:sz w:val="24"/>
              <w:szCs w:val="24"/>
              <w:lang w:eastAsia="en-AU"/>
              <w14:ligatures w14:val="standardContextual"/>
            </w:rPr>
          </w:pPr>
          <w:hyperlink w:anchor="_Toc176339424" w:history="1">
            <w:r w:rsidRPr="00547300">
              <w:rPr>
                <w:rStyle w:val="Hyperlink"/>
                <w:noProof/>
              </w:rPr>
              <w:t>Key contacts for help and advice</w:t>
            </w:r>
            <w:r>
              <w:rPr>
                <w:noProof/>
                <w:webHidden/>
              </w:rPr>
              <w:tab/>
            </w:r>
            <w:r>
              <w:rPr>
                <w:noProof/>
                <w:webHidden/>
              </w:rPr>
              <w:fldChar w:fldCharType="begin"/>
            </w:r>
            <w:r>
              <w:rPr>
                <w:noProof/>
                <w:webHidden/>
              </w:rPr>
              <w:instrText xml:space="preserve"> PAGEREF _Toc176339424 \h </w:instrText>
            </w:r>
            <w:r>
              <w:rPr>
                <w:noProof/>
                <w:webHidden/>
              </w:rPr>
            </w:r>
            <w:r>
              <w:rPr>
                <w:noProof/>
                <w:webHidden/>
              </w:rPr>
              <w:fldChar w:fldCharType="separate"/>
            </w:r>
            <w:r>
              <w:rPr>
                <w:noProof/>
                <w:webHidden/>
              </w:rPr>
              <w:t>5</w:t>
            </w:r>
            <w:r>
              <w:rPr>
                <w:noProof/>
                <w:webHidden/>
              </w:rPr>
              <w:fldChar w:fldCharType="end"/>
            </w:r>
          </w:hyperlink>
        </w:p>
        <w:p w14:paraId="78638238" w14:textId="2E0CC779" w:rsidR="00EE5807" w:rsidRDefault="00EE5807">
          <w:pPr>
            <w:pStyle w:val="TOC2"/>
            <w:rPr>
              <w:rFonts w:eastAsiaTheme="minorEastAsia" w:cstheme="minorBidi"/>
              <w:noProof/>
              <w:kern w:val="2"/>
              <w:sz w:val="24"/>
              <w:szCs w:val="24"/>
              <w:lang w:eastAsia="en-AU"/>
              <w14:ligatures w14:val="standardContextual"/>
            </w:rPr>
          </w:pPr>
          <w:hyperlink w:anchor="_Toc176339425" w:history="1">
            <w:r w:rsidRPr="00547300">
              <w:rPr>
                <w:rStyle w:val="Hyperlink"/>
                <w:noProof/>
              </w:rPr>
              <w:t>If a new non-departmental entity is being created, the Premier’s Circular on the Creation and Review of Entities applies</w:t>
            </w:r>
            <w:r>
              <w:rPr>
                <w:noProof/>
                <w:webHidden/>
              </w:rPr>
              <w:tab/>
            </w:r>
            <w:r>
              <w:rPr>
                <w:noProof/>
                <w:webHidden/>
              </w:rPr>
              <w:fldChar w:fldCharType="begin"/>
            </w:r>
            <w:r>
              <w:rPr>
                <w:noProof/>
                <w:webHidden/>
              </w:rPr>
              <w:instrText xml:space="preserve"> PAGEREF _Toc176339425 \h </w:instrText>
            </w:r>
            <w:r>
              <w:rPr>
                <w:noProof/>
                <w:webHidden/>
              </w:rPr>
            </w:r>
            <w:r>
              <w:rPr>
                <w:noProof/>
                <w:webHidden/>
              </w:rPr>
              <w:fldChar w:fldCharType="separate"/>
            </w:r>
            <w:r>
              <w:rPr>
                <w:noProof/>
                <w:webHidden/>
              </w:rPr>
              <w:t>6</w:t>
            </w:r>
            <w:r>
              <w:rPr>
                <w:noProof/>
                <w:webHidden/>
              </w:rPr>
              <w:fldChar w:fldCharType="end"/>
            </w:r>
          </w:hyperlink>
        </w:p>
        <w:p w14:paraId="1C878FF0" w14:textId="0C0B36EF" w:rsidR="00EE5807" w:rsidRPr="001F2FAF" w:rsidRDefault="00EE5807">
          <w:pPr>
            <w:pStyle w:val="TOC3"/>
            <w:rPr>
              <w:noProof/>
              <w:kern w:val="2"/>
              <w:sz w:val="24"/>
              <w:szCs w:val="24"/>
              <w:lang w:eastAsia="en-AU"/>
              <w14:ligatures w14:val="standardContextual"/>
            </w:rPr>
          </w:pPr>
          <w:hyperlink w:anchor="_Toc176339426" w:history="1">
            <w:r w:rsidRPr="001F2FAF">
              <w:rPr>
                <w:rStyle w:val="Hyperlink"/>
                <w:rFonts w:cs="Arial"/>
                <w:noProof/>
              </w:rPr>
              <w:t>Key considerations in the appointment process</w:t>
            </w:r>
            <w:r w:rsidRPr="001F2FAF">
              <w:rPr>
                <w:noProof/>
                <w:webHidden/>
              </w:rPr>
              <w:tab/>
            </w:r>
            <w:r w:rsidRPr="001F2FAF">
              <w:rPr>
                <w:noProof/>
                <w:webHidden/>
              </w:rPr>
              <w:fldChar w:fldCharType="begin"/>
            </w:r>
            <w:r w:rsidRPr="001F2FAF">
              <w:rPr>
                <w:noProof/>
                <w:webHidden/>
              </w:rPr>
              <w:instrText xml:space="preserve"> PAGEREF _Toc176339426 \h </w:instrText>
            </w:r>
            <w:r w:rsidRPr="001F2FAF">
              <w:rPr>
                <w:noProof/>
                <w:webHidden/>
              </w:rPr>
            </w:r>
            <w:r w:rsidRPr="001F2FAF">
              <w:rPr>
                <w:noProof/>
                <w:webHidden/>
              </w:rPr>
              <w:fldChar w:fldCharType="separate"/>
            </w:r>
            <w:r w:rsidRPr="001F2FAF">
              <w:rPr>
                <w:noProof/>
                <w:webHidden/>
              </w:rPr>
              <w:t>7</w:t>
            </w:r>
            <w:r w:rsidRPr="001F2FAF">
              <w:rPr>
                <w:noProof/>
                <w:webHidden/>
              </w:rPr>
              <w:fldChar w:fldCharType="end"/>
            </w:r>
          </w:hyperlink>
        </w:p>
        <w:p w14:paraId="17A9ABC1" w14:textId="03D11EC0" w:rsidR="00EE5807" w:rsidRDefault="00EE5807">
          <w:pPr>
            <w:pStyle w:val="TOC1"/>
            <w:rPr>
              <w:rFonts w:asciiTheme="minorHAnsi" w:eastAsiaTheme="minorEastAsia" w:hAnsiTheme="minorHAnsi" w:cstheme="minorBidi"/>
              <w:b w:val="0"/>
              <w:noProof/>
              <w:kern w:val="2"/>
              <w:sz w:val="24"/>
              <w:szCs w:val="24"/>
              <w:lang w:eastAsia="en-AU"/>
              <w14:ligatures w14:val="standardContextual"/>
            </w:rPr>
          </w:pPr>
          <w:hyperlink w:anchor="_Toc176339427" w:history="1">
            <w:r w:rsidRPr="00547300">
              <w:rPr>
                <w:rStyle w:val="Hyperlink"/>
                <w:noProof/>
              </w:rPr>
              <w:t>2.</w:t>
            </w:r>
            <w:r>
              <w:rPr>
                <w:rFonts w:asciiTheme="minorHAnsi" w:eastAsiaTheme="minorEastAsia" w:hAnsiTheme="minorHAnsi" w:cstheme="minorBidi"/>
                <w:b w:val="0"/>
                <w:noProof/>
                <w:kern w:val="2"/>
                <w:sz w:val="24"/>
                <w:szCs w:val="24"/>
                <w:lang w:eastAsia="en-AU"/>
                <w14:ligatures w14:val="standardContextual"/>
              </w:rPr>
              <w:tab/>
            </w:r>
            <w:r w:rsidRPr="00547300">
              <w:rPr>
                <w:rStyle w:val="Hyperlink"/>
                <w:noProof/>
              </w:rPr>
              <w:t>The Guidelines apply to all appointments to non-departmental entities</w:t>
            </w:r>
            <w:r>
              <w:rPr>
                <w:noProof/>
                <w:webHidden/>
              </w:rPr>
              <w:tab/>
            </w:r>
            <w:r>
              <w:rPr>
                <w:noProof/>
                <w:webHidden/>
              </w:rPr>
              <w:fldChar w:fldCharType="begin"/>
            </w:r>
            <w:r>
              <w:rPr>
                <w:noProof/>
                <w:webHidden/>
              </w:rPr>
              <w:instrText xml:space="preserve"> PAGEREF _Toc176339427 \h </w:instrText>
            </w:r>
            <w:r>
              <w:rPr>
                <w:noProof/>
                <w:webHidden/>
              </w:rPr>
            </w:r>
            <w:r>
              <w:rPr>
                <w:noProof/>
                <w:webHidden/>
              </w:rPr>
              <w:fldChar w:fldCharType="separate"/>
            </w:r>
            <w:r>
              <w:rPr>
                <w:noProof/>
                <w:webHidden/>
              </w:rPr>
              <w:t>8</w:t>
            </w:r>
            <w:r>
              <w:rPr>
                <w:noProof/>
                <w:webHidden/>
              </w:rPr>
              <w:fldChar w:fldCharType="end"/>
            </w:r>
          </w:hyperlink>
        </w:p>
        <w:p w14:paraId="632EBC1D" w14:textId="28366A66" w:rsidR="00EE5807" w:rsidRDefault="00EE5807">
          <w:pPr>
            <w:pStyle w:val="TOC3"/>
            <w:rPr>
              <w:noProof/>
              <w:kern w:val="2"/>
              <w:sz w:val="24"/>
              <w:szCs w:val="24"/>
              <w:lang w:eastAsia="en-AU"/>
              <w14:ligatures w14:val="standardContextual"/>
            </w:rPr>
          </w:pPr>
          <w:hyperlink w:anchor="_Toc176339428" w:history="1">
            <w:r w:rsidRPr="00547300">
              <w:rPr>
                <w:rStyle w:val="Hyperlink"/>
                <w:noProof/>
              </w:rPr>
              <w:t>The Guidelines do not apply to the following entities</w:t>
            </w:r>
            <w:r>
              <w:rPr>
                <w:noProof/>
                <w:webHidden/>
              </w:rPr>
              <w:tab/>
            </w:r>
            <w:r>
              <w:rPr>
                <w:noProof/>
                <w:webHidden/>
              </w:rPr>
              <w:fldChar w:fldCharType="begin"/>
            </w:r>
            <w:r>
              <w:rPr>
                <w:noProof/>
                <w:webHidden/>
              </w:rPr>
              <w:instrText xml:space="preserve"> PAGEREF _Toc176339428 \h </w:instrText>
            </w:r>
            <w:r>
              <w:rPr>
                <w:noProof/>
                <w:webHidden/>
              </w:rPr>
            </w:r>
            <w:r>
              <w:rPr>
                <w:noProof/>
                <w:webHidden/>
              </w:rPr>
              <w:fldChar w:fldCharType="separate"/>
            </w:r>
            <w:r>
              <w:rPr>
                <w:noProof/>
                <w:webHidden/>
              </w:rPr>
              <w:t>9</w:t>
            </w:r>
            <w:r>
              <w:rPr>
                <w:noProof/>
                <w:webHidden/>
              </w:rPr>
              <w:fldChar w:fldCharType="end"/>
            </w:r>
          </w:hyperlink>
        </w:p>
        <w:p w14:paraId="12F39CCC" w14:textId="69675B8A" w:rsidR="00EE5807" w:rsidRDefault="00EE5807">
          <w:pPr>
            <w:pStyle w:val="TOC3"/>
            <w:rPr>
              <w:noProof/>
              <w:kern w:val="2"/>
              <w:sz w:val="24"/>
              <w:szCs w:val="24"/>
              <w:lang w:eastAsia="en-AU"/>
              <w14:ligatures w14:val="standardContextual"/>
            </w:rPr>
          </w:pPr>
          <w:hyperlink w:anchor="_Toc176339429" w:history="1">
            <w:r w:rsidRPr="00547300">
              <w:rPr>
                <w:rStyle w:val="Hyperlink"/>
                <w:noProof/>
              </w:rPr>
              <w:t>The Guidelines partially apply to the following entities</w:t>
            </w:r>
            <w:r>
              <w:rPr>
                <w:noProof/>
                <w:webHidden/>
              </w:rPr>
              <w:tab/>
            </w:r>
            <w:r>
              <w:rPr>
                <w:noProof/>
                <w:webHidden/>
              </w:rPr>
              <w:fldChar w:fldCharType="begin"/>
            </w:r>
            <w:r>
              <w:rPr>
                <w:noProof/>
                <w:webHidden/>
              </w:rPr>
              <w:instrText xml:space="preserve"> PAGEREF _Toc176339429 \h </w:instrText>
            </w:r>
            <w:r>
              <w:rPr>
                <w:noProof/>
                <w:webHidden/>
              </w:rPr>
            </w:r>
            <w:r>
              <w:rPr>
                <w:noProof/>
                <w:webHidden/>
              </w:rPr>
              <w:fldChar w:fldCharType="separate"/>
            </w:r>
            <w:r>
              <w:rPr>
                <w:noProof/>
                <w:webHidden/>
              </w:rPr>
              <w:t>9</w:t>
            </w:r>
            <w:r>
              <w:rPr>
                <w:noProof/>
                <w:webHidden/>
              </w:rPr>
              <w:fldChar w:fldCharType="end"/>
            </w:r>
          </w:hyperlink>
        </w:p>
        <w:p w14:paraId="26D3060B" w14:textId="1080ED9D" w:rsidR="00EE5807" w:rsidRDefault="00EE5807" w:rsidP="008B1794">
          <w:pPr>
            <w:pStyle w:val="TOC1"/>
            <w:ind w:left="567" w:hanging="567"/>
            <w:rPr>
              <w:rFonts w:asciiTheme="minorHAnsi" w:eastAsiaTheme="minorEastAsia" w:hAnsiTheme="minorHAnsi" w:cstheme="minorBidi"/>
              <w:b w:val="0"/>
              <w:noProof/>
              <w:kern w:val="2"/>
              <w:sz w:val="24"/>
              <w:szCs w:val="24"/>
              <w:lang w:eastAsia="en-AU"/>
              <w14:ligatures w14:val="standardContextual"/>
            </w:rPr>
          </w:pPr>
          <w:hyperlink w:anchor="_Toc176339430" w:history="1">
            <w:r w:rsidRPr="00547300">
              <w:rPr>
                <w:rStyle w:val="Hyperlink"/>
                <w:noProof/>
              </w:rPr>
              <w:t>3.</w:t>
            </w:r>
            <w:r>
              <w:rPr>
                <w:rFonts w:asciiTheme="minorHAnsi" w:eastAsiaTheme="minorEastAsia" w:hAnsiTheme="minorHAnsi" w:cstheme="minorBidi"/>
                <w:b w:val="0"/>
                <w:noProof/>
                <w:kern w:val="2"/>
                <w:sz w:val="24"/>
                <w:szCs w:val="24"/>
                <w:lang w:eastAsia="en-AU"/>
                <w14:ligatures w14:val="standardContextual"/>
              </w:rPr>
              <w:tab/>
            </w:r>
            <w:r w:rsidRPr="00547300">
              <w:rPr>
                <w:rStyle w:val="Hyperlink"/>
                <w:noProof/>
              </w:rPr>
              <w:t>A robust recruitment and selection process enables the most suitable appointment to be made from a diverse range of candidates</w:t>
            </w:r>
            <w:r>
              <w:rPr>
                <w:noProof/>
                <w:webHidden/>
              </w:rPr>
              <w:tab/>
            </w:r>
            <w:r>
              <w:rPr>
                <w:noProof/>
                <w:webHidden/>
              </w:rPr>
              <w:fldChar w:fldCharType="begin"/>
            </w:r>
            <w:r>
              <w:rPr>
                <w:noProof/>
                <w:webHidden/>
              </w:rPr>
              <w:instrText xml:space="preserve"> PAGEREF _Toc176339430 \h </w:instrText>
            </w:r>
            <w:r>
              <w:rPr>
                <w:noProof/>
                <w:webHidden/>
              </w:rPr>
            </w:r>
            <w:r>
              <w:rPr>
                <w:noProof/>
                <w:webHidden/>
              </w:rPr>
              <w:fldChar w:fldCharType="separate"/>
            </w:r>
            <w:r>
              <w:rPr>
                <w:noProof/>
                <w:webHidden/>
              </w:rPr>
              <w:t>11</w:t>
            </w:r>
            <w:r>
              <w:rPr>
                <w:noProof/>
                <w:webHidden/>
              </w:rPr>
              <w:fldChar w:fldCharType="end"/>
            </w:r>
          </w:hyperlink>
        </w:p>
        <w:p w14:paraId="089B95DD" w14:textId="541F6BC9" w:rsidR="00EE5807" w:rsidRDefault="00EE5807">
          <w:pPr>
            <w:pStyle w:val="TOC2"/>
            <w:rPr>
              <w:rFonts w:eastAsiaTheme="minorEastAsia" w:cstheme="minorBidi"/>
              <w:noProof/>
              <w:kern w:val="2"/>
              <w:sz w:val="24"/>
              <w:szCs w:val="24"/>
              <w:lang w:eastAsia="en-AU"/>
              <w14:ligatures w14:val="standardContextual"/>
            </w:rPr>
          </w:pPr>
          <w:hyperlink w:anchor="_Toc176339431" w:history="1">
            <w:r w:rsidRPr="00547300">
              <w:rPr>
                <w:rStyle w:val="Hyperlink"/>
                <w:noProof/>
              </w:rPr>
              <w:t>Best practice is to identify a vacancy and begin the recruitment process at least six months before the expiry of the appointment</w:t>
            </w:r>
            <w:r>
              <w:rPr>
                <w:noProof/>
                <w:webHidden/>
              </w:rPr>
              <w:tab/>
            </w:r>
            <w:r>
              <w:rPr>
                <w:noProof/>
                <w:webHidden/>
              </w:rPr>
              <w:fldChar w:fldCharType="begin"/>
            </w:r>
            <w:r>
              <w:rPr>
                <w:noProof/>
                <w:webHidden/>
              </w:rPr>
              <w:instrText xml:space="preserve"> PAGEREF _Toc176339431 \h </w:instrText>
            </w:r>
            <w:r>
              <w:rPr>
                <w:noProof/>
                <w:webHidden/>
              </w:rPr>
            </w:r>
            <w:r>
              <w:rPr>
                <w:noProof/>
                <w:webHidden/>
              </w:rPr>
              <w:fldChar w:fldCharType="separate"/>
            </w:r>
            <w:r>
              <w:rPr>
                <w:noProof/>
                <w:webHidden/>
              </w:rPr>
              <w:t>11</w:t>
            </w:r>
            <w:r>
              <w:rPr>
                <w:noProof/>
                <w:webHidden/>
              </w:rPr>
              <w:fldChar w:fldCharType="end"/>
            </w:r>
          </w:hyperlink>
        </w:p>
        <w:p w14:paraId="53D0E5CC" w14:textId="0E8AB5CC" w:rsidR="00EE5807" w:rsidRDefault="00EE5807">
          <w:pPr>
            <w:pStyle w:val="TOC3"/>
            <w:rPr>
              <w:noProof/>
              <w:kern w:val="2"/>
              <w:sz w:val="24"/>
              <w:szCs w:val="24"/>
              <w:lang w:eastAsia="en-AU"/>
              <w14:ligatures w14:val="standardContextual"/>
            </w:rPr>
          </w:pPr>
          <w:hyperlink w:anchor="_Toc176339432" w:history="1">
            <w:r w:rsidRPr="00547300">
              <w:rPr>
                <w:rStyle w:val="Hyperlink"/>
                <w:noProof/>
              </w:rPr>
              <w:t>Consider the board composition, skills and diversity matrix</w:t>
            </w:r>
            <w:r>
              <w:rPr>
                <w:noProof/>
                <w:webHidden/>
              </w:rPr>
              <w:tab/>
            </w:r>
            <w:r>
              <w:rPr>
                <w:noProof/>
                <w:webHidden/>
              </w:rPr>
              <w:fldChar w:fldCharType="begin"/>
            </w:r>
            <w:r>
              <w:rPr>
                <w:noProof/>
                <w:webHidden/>
              </w:rPr>
              <w:instrText xml:space="preserve"> PAGEREF _Toc176339432 \h </w:instrText>
            </w:r>
            <w:r>
              <w:rPr>
                <w:noProof/>
                <w:webHidden/>
              </w:rPr>
            </w:r>
            <w:r>
              <w:rPr>
                <w:noProof/>
                <w:webHidden/>
              </w:rPr>
              <w:fldChar w:fldCharType="separate"/>
            </w:r>
            <w:r>
              <w:rPr>
                <w:noProof/>
                <w:webHidden/>
              </w:rPr>
              <w:t>11</w:t>
            </w:r>
            <w:r>
              <w:rPr>
                <w:noProof/>
                <w:webHidden/>
              </w:rPr>
              <w:fldChar w:fldCharType="end"/>
            </w:r>
          </w:hyperlink>
        </w:p>
        <w:p w14:paraId="100CAAE3" w14:textId="1627D16E" w:rsidR="00EE5807" w:rsidRDefault="00EE5807">
          <w:pPr>
            <w:pStyle w:val="TOC3"/>
            <w:rPr>
              <w:noProof/>
              <w:kern w:val="2"/>
              <w:sz w:val="24"/>
              <w:szCs w:val="24"/>
              <w:lang w:eastAsia="en-AU"/>
              <w14:ligatures w14:val="standardContextual"/>
            </w:rPr>
          </w:pPr>
          <w:hyperlink w:anchor="_Toc176339433" w:history="1">
            <w:r w:rsidRPr="00547300">
              <w:rPr>
                <w:rStyle w:val="Hyperlink"/>
                <w:noProof/>
              </w:rPr>
              <w:t>A position description should be developed for the specific role</w:t>
            </w:r>
            <w:r>
              <w:rPr>
                <w:noProof/>
                <w:webHidden/>
              </w:rPr>
              <w:tab/>
            </w:r>
            <w:r>
              <w:rPr>
                <w:noProof/>
                <w:webHidden/>
              </w:rPr>
              <w:fldChar w:fldCharType="begin"/>
            </w:r>
            <w:r>
              <w:rPr>
                <w:noProof/>
                <w:webHidden/>
              </w:rPr>
              <w:instrText xml:space="preserve"> PAGEREF _Toc176339433 \h </w:instrText>
            </w:r>
            <w:r>
              <w:rPr>
                <w:noProof/>
                <w:webHidden/>
              </w:rPr>
            </w:r>
            <w:r>
              <w:rPr>
                <w:noProof/>
                <w:webHidden/>
              </w:rPr>
              <w:fldChar w:fldCharType="separate"/>
            </w:r>
            <w:r>
              <w:rPr>
                <w:noProof/>
                <w:webHidden/>
              </w:rPr>
              <w:t>11</w:t>
            </w:r>
            <w:r>
              <w:rPr>
                <w:noProof/>
                <w:webHidden/>
              </w:rPr>
              <w:fldChar w:fldCharType="end"/>
            </w:r>
          </w:hyperlink>
        </w:p>
        <w:p w14:paraId="51048FE5" w14:textId="77B52A94" w:rsidR="00EE5807" w:rsidRDefault="00EE5807" w:rsidP="00AE4676">
          <w:pPr>
            <w:pStyle w:val="TOC3"/>
            <w:rPr>
              <w:noProof/>
              <w:kern w:val="2"/>
              <w:sz w:val="24"/>
              <w:szCs w:val="24"/>
              <w:lang w:eastAsia="en-AU"/>
              <w14:ligatures w14:val="standardContextual"/>
            </w:rPr>
          </w:pPr>
          <w:hyperlink w:anchor="_Toc176339434" w:history="1">
            <w:r w:rsidRPr="00547300">
              <w:rPr>
                <w:rStyle w:val="Hyperlink"/>
                <w:noProof/>
              </w:rPr>
              <w:t xml:space="preserve">Vacancies should be publicly advertised to attract a strong and diverse range of </w:t>
            </w:r>
            <w:r w:rsidR="00AE4676">
              <w:rPr>
                <w:rStyle w:val="Hyperlink"/>
                <w:noProof/>
              </w:rPr>
              <w:t xml:space="preserve"> </w:t>
            </w:r>
            <w:r w:rsidR="00AE4676">
              <w:rPr>
                <w:rStyle w:val="Hyperlink"/>
                <w:noProof/>
              </w:rPr>
              <w:tab/>
            </w:r>
            <w:r w:rsidRPr="00547300">
              <w:rPr>
                <w:rStyle w:val="Hyperlink"/>
                <w:noProof/>
              </w:rPr>
              <w:t>candidates</w:t>
            </w:r>
            <w:r w:rsidR="00AE4676">
              <w:rPr>
                <w:noProof/>
                <w:webHidden/>
              </w:rPr>
              <w:tab/>
            </w:r>
            <w:r>
              <w:rPr>
                <w:noProof/>
                <w:webHidden/>
              </w:rPr>
              <w:fldChar w:fldCharType="begin"/>
            </w:r>
            <w:r>
              <w:rPr>
                <w:noProof/>
                <w:webHidden/>
              </w:rPr>
              <w:instrText xml:space="preserve"> PAGEREF _Toc176339434 \h </w:instrText>
            </w:r>
            <w:r>
              <w:rPr>
                <w:noProof/>
                <w:webHidden/>
              </w:rPr>
            </w:r>
            <w:r>
              <w:rPr>
                <w:noProof/>
                <w:webHidden/>
              </w:rPr>
              <w:fldChar w:fldCharType="separate"/>
            </w:r>
            <w:r>
              <w:rPr>
                <w:noProof/>
                <w:webHidden/>
              </w:rPr>
              <w:t>13</w:t>
            </w:r>
            <w:r>
              <w:rPr>
                <w:noProof/>
                <w:webHidden/>
              </w:rPr>
              <w:fldChar w:fldCharType="end"/>
            </w:r>
          </w:hyperlink>
        </w:p>
        <w:p w14:paraId="37111E55" w14:textId="77D0D14B" w:rsidR="00EE5807" w:rsidRDefault="00EE5807">
          <w:pPr>
            <w:pStyle w:val="TOC3"/>
            <w:rPr>
              <w:noProof/>
              <w:kern w:val="2"/>
              <w:sz w:val="24"/>
              <w:szCs w:val="24"/>
              <w:lang w:eastAsia="en-AU"/>
              <w14:ligatures w14:val="standardContextual"/>
            </w:rPr>
          </w:pPr>
          <w:hyperlink w:anchor="_Toc176339435" w:history="1">
            <w:r w:rsidRPr="00547300">
              <w:rPr>
                <w:rStyle w:val="Hyperlink"/>
                <w:noProof/>
              </w:rPr>
              <w:t>For reappointments, a performance review is a minimum requirement</w:t>
            </w:r>
            <w:r>
              <w:rPr>
                <w:noProof/>
                <w:webHidden/>
              </w:rPr>
              <w:tab/>
            </w:r>
            <w:r>
              <w:rPr>
                <w:noProof/>
                <w:webHidden/>
              </w:rPr>
              <w:fldChar w:fldCharType="begin"/>
            </w:r>
            <w:r>
              <w:rPr>
                <w:noProof/>
                <w:webHidden/>
              </w:rPr>
              <w:instrText xml:space="preserve"> PAGEREF _Toc176339435 \h </w:instrText>
            </w:r>
            <w:r>
              <w:rPr>
                <w:noProof/>
                <w:webHidden/>
              </w:rPr>
            </w:r>
            <w:r>
              <w:rPr>
                <w:noProof/>
                <w:webHidden/>
              </w:rPr>
              <w:fldChar w:fldCharType="separate"/>
            </w:r>
            <w:r>
              <w:rPr>
                <w:noProof/>
                <w:webHidden/>
              </w:rPr>
              <w:t>14</w:t>
            </w:r>
            <w:r>
              <w:rPr>
                <w:noProof/>
                <w:webHidden/>
              </w:rPr>
              <w:fldChar w:fldCharType="end"/>
            </w:r>
          </w:hyperlink>
        </w:p>
        <w:p w14:paraId="26C56A10" w14:textId="52F3575C" w:rsidR="00EE5807" w:rsidRDefault="00EE5807">
          <w:pPr>
            <w:pStyle w:val="TOC2"/>
            <w:rPr>
              <w:rFonts w:eastAsiaTheme="minorEastAsia" w:cstheme="minorBidi"/>
              <w:noProof/>
              <w:kern w:val="2"/>
              <w:sz w:val="24"/>
              <w:szCs w:val="24"/>
              <w:lang w:eastAsia="en-AU"/>
              <w14:ligatures w14:val="standardContextual"/>
            </w:rPr>
          </w:pPr>
          <w:hyperlink w:anchor="_Toc176339436" w:history="1">
            <w:r w:rsidRPr="00547300">
              <w:rPr>
                <w:rStyle w:val="Hyperlink"/>
                <w:noProof/>
              </w:rPr>
              <w:t>Briefing the Minister, Treasurer and Premier</w:t>
            </w:r>
            <w:r>
              <w:rPr>
                <w:noProof/>
                <w:webHidden/>
              </w:rPr>
              <w:tab/>
            </w:r>
            <w:r>
              <w:rPr>
                <w:noProof/>
                <w:webHidden/>
              </w:rPr>
              <w:fldChar w:fldCharType="begin"/>
            </w:r>
            <w:r>
              <w:rPr>
                <w:noProof/>
                <w:webHidden/>
              </w:rPr>
              <w:instrText xml:space="preserve"> PAGEREF _Toc176339436 \h </w:instrText>
            </w:r>
            <w:r>
              <w:rPr>
                <w:noProof/>
                <w:webHidden/>
              </w:rPr>
            </w:r>
            <w:r>
              <w:rPr>
                <w:noProof/>
                <w:webHidden/>
              </w:rPr>
              <w:fldChar w:fldCharType="separate"/>
            </w:r>
            <w:r>
              <w:rPr>
                <w:noProof/>
                <w:webHidden/>
              </w:rPr>
              <w:t>15</w:t>
            </w:r>
            <w:r>
              <w:rPr>
                <w:noProof/>
                <w:webHidden/>
              </w:rPr>
              <w:fldChar w:fldCharType="end"/>
            </w:r>
          </w:hyperlink>
        </w:p>
        <w:p w14:paraId="7E82B0B7" w14:textId="26A3ED74" w:rsidR="00EE5807" w:rsidRDefault="00EE5807">
          <w:pPr>
            <w:pStyle w:val="TOC1"/>
            <w:rPr>
              <w:rFonts w:asciiTheme="minorHAnsi" w:eastAsiaTheme="minorEastAsia" w:hAnsiTheme="minorHAnsi" w:cstheme="minorBidi"/>
              <w:b w:val="0"/>
              <w:noProof/>
              <w:kern w:val="2"/>
              <w:sz w:val="24"/>
              <w:szCs w:val="24"/>
              <w:lang w:eastAsia="en-AU"/>
              <w14:ligatures w14:val="standardContextual"/>
            </w:rPr>
          </w:pPr>
          <w:hyperlink w:anchor="_Toc176339437" w:history="1">
            <w:r w:rsidRPr="00547300">
              <w:rPr>
                <w:rStyle w:val="Hyperlink"/>
                <w:noProof/>
              </w:rPr>
              <w:t>4.</w:t>
            </w:r>
            <w:r>
              <w:rPr>
                <w:rFonts w:asciiTheme="minorHAnsi" w:eastAsiaTheme="minorEastAsia" w:hAnsiTheme="minorHAnsi" w:cstheme="minorBidi"/>
                <w:b w:val="0"/>
                <w:noProof/>
                <w:kern w:val="2"/>
                <w:sz w:val="24"/>
                <w:szCs w:val="24"/>
                <w:lang w:eastAsia="en-AU"/>
                <w14:ligatures w14:val="standardContextual"/>
              </w:rPr>
              <w:tab/>
            </w:r>
            <w:r w:rsidRPr="00547300">
              <w:rPr>
                <w:rStyle w:val="Hyperlink"/>
                <w:noProof/>
              </w:rPr>
              <w:t>There are limitations on who can be appointed to public boards</w:t>
            </w:r>
            <w:r>
              <w:rPr>
                <w:noProof/>
                <w:webHidden/>
              </w:rPr>
              <w:tab/>
            </w:r>
            <w:r>
              <w:rPr>
                <w:noProof/>
                <w:webHidden/>
              </w:rPr>
              <w:fldChar w:fldCharType="begin"/>
            </w:r>
            <w:r>
              <w:rPr>
                <w:noProof/>
                <w:webHidden/>
              </w:rPr>
              <w:instrText xml:space="preserve"> PAGEREF _Toc176339437 \h </w:instrText>
            </w:r>
            <w:r>
              <w:rPr>
                <w:noProof/>
                <w:webHidden/>
              </w:rPr>
            </w:r>
            <w:r>
              <w:rPr>
                <w:noProof/>
                <w:webHidden/>
              </w:rPr>
              <w:fldChar w:fldCharType="separate"/>
            </w:r>
            <w:r>
              <w:rPr>
                <w:noProof/>
                <w:webHidden/>
              </w:rPr>
              <w:t>17</w:t>
            </w:r>
            <w:r>
              <w:rPr>
                <w:noProof/>
                <w:webHidden/>
              </w:rPr>
              <w:fldChar w:fldCharType="end"/>
            </w:r>
          </w:hyperlink>
        </w:p>
        <w:p w14:paraId="76C25290" w14:textId="0547D2CF" w:rsidR="00EE5807" w:rsidRDefault="00EE5807">
          <w:pPr>
            <w:pStyle w:val="TOC2"/>
            <w:rPr>
              <w:rFonts w:eastAsiaTheme="minorEastAsia" w:cstheme="minorBidi"/>
              <w:noProof/>
              <w:kern w:val="2"/>
              <w:sz w:val="24"/>
              <w:szCs w:val="24"/>
              <w:lang w:eastAsia="en-AU"/>
              <w14:ligatures w14:val="standardContextual"/>
            </w:rPr>
          </w:pPr>
          <w:hyperlink w:anchor="_Toc176339438" w:history="1">
            <w:r w:rsidRPr="00547300">
              <w:rPr>
                <w:rStyle w:val="Hyperlink"/>
                <w:noProof/>
              </w:rPr>
              <w:t>An individual should not be reappointed to a board on which they have already served 10 years</w:t>
            </w:r>
            <w:r>
              <w:rPr>
                <w:noProof/>
                <w:webHidden/>
              </w:rPr>
              <w:tab/>
            </w:r>
            <w:r>
              <w:rPr>
                <w:noProof/>
                <w:webHidden/>
              </w:rPr>
              <w:fldChar w:fldCharType="begin"/>
            </w:r>
            <w:r>
              <w:rPr>
                <w:noProof/>
                <w:webHidden/>
              </w:rPr>
              <w:instrText xml:space="preserve"> PAGEREF _Toc176339438 \h </w:instrText>
            </w:r>
            <w:r>
              <w:rPr>
                <w:noProof/>
                <w:webHidden/>
              </w:rPr>
            </w:r>
            <w:r>
              <w:rPr>
                <w:noProof/>
                <w:webHidden/>
              </w:rPr>
              <w:fldChar w:fldCharType="separate"/>
            </w:r>
            <w:r>
              <w:rPr>
                <w:noProof/>
                <w:webHidden/>
              </w:rPr>
              <w:t>17</w:t>
            </w:r>
            <w:r>
              <w:rPr>
                <w:noProof/>
                <w:webHidden/>
              </w:rPr>
              <w:fldChar w:fldCharType="end"/>
            </w:r>
          </w:hyperlink>
        </w:p>
        <w:p w14:paraId="17E668B5" w14:textId="304E0F77" w:rsidR="00EE5807" w:rsidRDefault="00EE5807">
          <w:pPr>
            <w:pStyle w:val="TOC2"/>
            <w:rPr>
              <w:rFonts w:eastAsiaTheme="minorEastAsia" w:cstheme="minorBidi"/>
              <w:noProof/>
              <w:kern w:val="2"/>
              <w:sz w:val="24"/>
              <w:szCs w:val="24"/>
              <w:lang w:eastAsia="en-AU"/>
              <w14:ligatures w14:val="standardContextual"/>
            </w:rPr>
          </w:pPr>
          <w:hyperlink w:anchor="_Toc176339439" w:history="1">
            <w:r w:rsidRPr="00547300">
              <w:rPr>
                <w:rStyle w:val="Hyperlink"/>
                <w:noProof/>
              </w:rPr>
              <w:t>An individual should hold no more than three positions on public boards at any one time</w:t>
            </w:r>
            <w:r>
              <w:rPr>
                <w:noProof/>
                <w:webHidden/>
              </w:rPr>
              <w:tab/>
            </w:r>
            <w:r>
              <w:rPr>
                <w:noProof/>
                <w:webHidden/>
              </w:rPr>
              <w:fldChar w:fldCharType="begin"/>
            </w:r>
            <w:r>
              <w:rPr>
                <w:noProof/>
                <w:webHidden/>
              </w:rPr>
              <w:instrText xml:space="preserve"> PAGEREF _Toc176339439 \h </w:instrText>
            </w:r>
            <w:r>
              <w:rPr>
                <w:noProof/>
                <w:webHidden/>
              </w:rPr>
            </w:r>
            <w:r>
              <w:rPr>
                <w:noProof/>
                <w:webHidden/>
              </w:rPr>
              <w:fldChar w:fldCharType="separate"/>
            </w:r>
            <w:r>
              <w:rPr>
                <w:noProof/>
                <w:webHidden/>
              </w:rPr>
              <w:t>17</w:t>
            </w:r>
            <w:r>
              <w:rPr>
                <w:noProof/>
                <w:webHidden/>
              </w:rPr>
              <w:fldChar w:fldCharType="end"/>
            </w:r>
          </w:hyperlink>
        </w:p>
        <w:p w14:paraId="7D4BAE1C" w14:textId="443078C8" w:rsidR="00EE5807" w:rsidRDefault="00EE5807">
          <w:pPr>
            <w:pStyle w:val="TOC2"/>
            <w:rPr>
              <w:rFonts w:eastAsiaTheme="minorEastAsia" w:cstheme="minorBidi"/>
              <w:noProof/>
              <w:kern w:val="2"/>
              <w:sz w:val="24"/>
              <w:szCs w:val="24"/>
              <w:lang w:eastAsia="en-AU"/>
              <w14:ligatures w14:val="standardContextual"/>
            </w:rPr>
          </w:pPr>
          <w:hyperlink w:anchor="_Toc176339440" w:history="1">
            <w:r w:rsidRPr="00547300">
              <w:rPr>
                <w:rStyle w:val="Hyperlink"/>
                <w:noProof/>
              </w:rPr>
              <w:t>Individuals in single officer roles should generally not be appointed to other non-departmental entities</w:t>
            </w:r>
            <w:r>
              <w:rPr>
                <w:noProof/>
                <w:webHidden/>
              </w:rPr>
              <w:tab/>
            </w:r>
            <w:r>
              <w:rPr>
                <w:noProof/>
                <w:webHidden/>
              </w:rPr>
              <w:fldChar w:fldCharType="begin"/>
            </w:r>
            <w:r>
              <w:rPr>
                <w:noProof/>
                <w:webHidden/>
              </w:rPr>
              <w:instrText xml:space="preserve"> PAGEREF _Toc176339440 \h </w:instrText>
            </w:r>
            <w:r>
              <w:rPr>
                <w:noProof/>
                <w:webHidden/>
              </w:rPr>
            </w:r>
            <w:r>
              <w:rPr>
                <w:noProof/>
                <w:webHidden/>
              </w:rPr>
              <w:fldChar w:fldCharType="separate"/>
            </w:r>
            <w:r>
              <w:rPr>
                <w:noProof/>
                <w:webHidden/>
              </w:rPr>
              <w:t>18</w:t>
            </w:r>
            <w:r>
              <w:rPr>
                <w:noProof/>
                <w:webHidden/>
              </w:rPr>
              <w:fldChar w:fldCharType="end"/>
            </w:r>
          </w:hyperlink>
        </w:p>
        <w:p w14:paraId="5B635784" w14:textId="5E0BC975" w:rsidR="00EE5807" w:rsidRDefault="00EE5807">
          <w:pPr>
            <w:pStyle w:val="TOC2"/>
            <w:rPr>
              <w:rFonts w:eastAsiaTheme="minorEastAsia" w:cstheme="minorBidi"/>
              <w:noProof/>
              <w:kern w:val="2"/>
              <w:sz w:val="24"/>
              <w:szCs w:val="24"/>
              <w:lang w:eastAsia="en-AU"/>
              <w14:ligatures w14:val="standardContextual"/>
            </w:rPr>
          </w:pPr>
          <w:hyperlink w:anchor="_Toc176339441" w:history="1">
            <w:r w:rsidRPr="00547300">
              <w:rPr>
                <w:rStyle w:val="Hyperlink"/>
                <w:noProof/>
              </w:rPr>
              <w:t>Public sector employees are not usually appointed to non-departmental entities</w:t>
            </w:r>
            <w:r>
              <w:rPr>
                <w:noProof/>
                <w:webHidden/>
              </w:rPr>
              <w:tab/>
            </w:r>
            <w:r>
              <w:rPr>
                <w:noProof/>
                <w:webHidden/>
              </w:rPr>
              <w:fldChar w:fldCharType="begin"/>
            </w:r>
            <w:r>
              <w:rPr>
                <w:noProof/>
                <w:webHidden/>
              </w:rPr>
              <w:instrText xml:space="preserve"> PAGEREF _Toc176339441 \h </w:instrText>
            </w:r>
            <w:r>
              <w:rPr>
                <w:noProof/>
                <w:webHidden/>
              </w:rPr>
            </w:r>
            <w:r>
              <w:rPr>
                <w:noProof/>
                <w:webHidden/>
              </w:rPr>
              <w:fldChar w:fldCharType="separate"/>
            </w:r>
            <w:r>
              <w:rPr>
                <w:noProof/>
                <w:webHidden/>
              </w:rPr>
              <w:t>18</w:t>
            </w:r>
            <w:r>
              <w:rPr>
                <w:noProof/>
                <w:webHidden/>
              </w:rPr>
              <w:fldChar w:fldCharType="end"/>
            </w:r>
          </w:hyperlink>
        </w:p>
        <w:p w14:paraId="0D2139CC" w14:textId="419C4738" w:rsidR="00EE5807" w:rsidRDefault="00EE5807">
          <w:pPr>
            <w:pStyle w:val="TOC3"/>
            <w:rPr>
              <w:noProof/>
              <w:kern w:val="2"/>
              <w:sz w:val="24"/>
              <w:szCs w:val="24"/>
              <w:lang w:eastAsia="en-AU"/>
              <w14:ligatures w14:val="standardContextual"/>
            </w:rPr>
          </w:pPr>
          <w:hyperlink w:anchor="_Toc176339442" w:history="1">
            <w:r w:rsidRPr="00547300">
              <w:rPr>
                <w:rStyle w:val="Hyperlink"/>
                <w:noProof/>
              </w:rPr>
              <w:t>Who is a ‘public sector employee’?</w:t>
            </w:r>
            <w:r>
              <w:rPr>
                <w:noProof/>
                <w:webHidden/>
              </w:rPr>
              <w:tab/>
            </w:r>
            <w:r>
              <w:rPr>
                <w:noProof/>
                <w:webHidden/>
              </w:rPr>
              <w:fldChar w:fldCharType="begin"/>
            </w:r>
            <w:r>
              <w:rPr>
                <w:noProof/>
                <w:webHidden/>
              </w:rPr>
              <w:instrText xml:space="preserve"> PAGEREF _Toc176339442 \h </w:instrText>
            </w:r>
            <w:r>
              <w:rPr>
                <w:noProof/>
                <w:webHidden/>
              </w:rPr>
            </w:r>
            <w:r>
              <w:rPr>
                <w:noProof/>
                <w:webHidden/>
              </w:rPr>
              <w:fldChar w:fldCharType="separate"/>
            </w:r>
            <w:r>
              <w:rPr>
                <w:noProof/>
                <w:webHidden/>
              </w:rPr>
              <w:t>18</w:t>
            </w:r>
            <w:r>
              <w:rPr>
                <w:noProof/>
                <w:webHidden/>
              </w:rPr>
              <w:fldChar w:fldCharType="end"/>
            </w:r>
          </w:hyperlink>
        </w:p>
        <w:p w14:paraId="4EB30E97" w14:textId="1CA6D9DF" w:rsidR="00EE5807" w:rsidRDefault="00EE5807">
          <w:pPr>
            <w:pStyle w:val="TOC3"/>
            <w:rPr>
              <w:noProof/>
              <w:kern w:val="2"/>
              <w:sz w:val="24"/>
              <w:szCs w:val="24"/>
              <w:lang w:eastAsia="en-AU"/>
              <w14:ligatures w14:val="standardContextual"/>
            </w:rPr>
          </w:pPr>
          <w:hyperlink w:anchor="_Toc176339443" w:history="1">
            <w:r w:rsidRPr="00547300">
              <w:rPr>
                <w:rStyle w:val="Hyperlink"/>
                <w:noProof/>
              </w:rPr>
              <w:t>When can public sector employees be appointed to non-departmental entities?</w:t>
            </w:r>
            <w:r>
              <w:rPr>
                <w:noProof/>
                <w:webHidden/>
              </w:rPr>
              <w:tab/>
            </w:r>
            <w:r>
              <w:rPr>
                <w:noProof/>
                <w:webHidden/>
              </w:rPr>
              <w:fldChar w:fldCharType="begin"/>
            </w:r>
            <w:r>
              <w:rPr>
                <w:noProof/>
                <w:webHidden/>
              </w:rPr>
              <w:instrText xml:space="preserve"> PAGEREF _Toc176339443 \h </w:instrText>
            </w:r>
            <w:r>
              <w:rPr>
                <w:noProof/>
                <w:webHidden/>
              </w:rPr>
            </w:r>
            <w:r>
              <w:rPr>
                <w:noProof/>
                <w:webHidden/>
              </w:rPr>
              <w:fldChar w:fldCharType="separate"/>
            </w:r>
            <w:r>
              <w:rPr>
                <w:noProof/>
                <w:webHidden/>
              </w:rPr>
              <w:t>18</w:t>
            </w:r>
            <w:r>
              <w:rPr>
                <w:noProof/>
                <w:webHidden/>
              </w:rPr>
              <w:fldChar w:fldCharType="end"/>
            </w:r>
          </w:hyperlink>
        </w:p>
        <w:p w14:paraId="46439BA2" w14:textId="024D0C56" w:rsidR="00EE5807" w:rsidRDefault="00EE5807">
          <w:pPr>
            <w:pStyle w:val="TOC2"/>
            <w:rPr>
              <w:rFonts w:eastAsiaTheme="minorEastAsia" w:cstheme="minorBidi"/>
              <w:noProof/>
              <w:kern w:val="2"/>
              <w:sz w:val="24"/>
              <w:szCs w:val="24"/>
              <w:lang w:eastAsia="en-AU"/>
              <w14:ligatures w14:val="standardContextual"/>
            </w:rPr>
          </w:pPr>
          <w:hyperlink w:anchor="_Toc176339444" w:history="1">
            <w:r w:rsidRPr="00547300">
              <w:rPr>
                <w:rStyle w:val="Hyperlink"/>
                <w:noProof/>
              </w:rPr>
              <w:t>Members of Parliament should not ordinarily be appointed by the executive government to non-departmental entities</w:t>
            </w:r>
            <w:r>
              <w:rPr>
                <w:noProof/>
                <w:webHidden/>
              </w:rPr>
              <w:tab/>
            </w:r>
            <w:r>
              <w:rPr>
                <w:noProof/>
                <w:webHidden/>
              </w:rPr>
              <w:fldChar w:fldCharType="begin"/>
            </w:r>
            <w:r>
              <w:rPr>
                <w:noProof/>
                <w:webHidden/>
              </w:rPr>
              <w:instrText xml:space="preserve"> PAGEREF _Toc176339444 \h </w:instrText>
            </w:r>
            <w:r>
              <w:rPr>
                <w:noProof/>
                <w:webHidden/>
              </w:rPr>
            </w:r>
            <w:r>
              <w:rPr>
                <w:noProof/>
                <w:webHidden/>
              </w:rPr>
              <w:fldChar w:fldCharType="separate"/>
            </w:r>
            <w:r>
              <w:rPr>
                <w:noProof/>
                <w:webHidden/>
              </w:rPr>
              <w:t>19</w:t>
            </w:r>
            <w:r>
              <w:rPr>
                <w:noProof/>
                <w:webHidden/>
              </w:rPr>
              <w:fldChar w:fldCharType="end"/>
            </w:r>
          </w:hyperlink>
        </w:p>
        <w:p w14:paraId="2AB67B75" w14:textId="10381FDB" w:rsidR="00EE5807" w:rsidRDefault="00EE5807">
          <w:pPr>
            <w:pStyle w:val="TOC2"/>
            <w:rPr>
              <w:rFonts w:eastAsiaTheme="minorEastAsia" w:cstheme="minorBidi"/>
              <w:noProof/>
              <w:kern w:val="2"/>
              <w:sz w:val="24"/>
              <w:szCs w:val="24"/>
              <w:lang w:eastAsia="en-AU"/>
              <w14:ligatures w14:val="standardContextual"/>
            </w:rPr>
          </w:pPr>
          <w:hyperlink w:anchor="_Toc176339445" w:history="1">
            <w:r w:rsidRPr="00547300">
              <w:rPr>
                <w:rStyle w:val="Hyperlink"/>
                <w:noProof/>
              </w:rPr>
              <w:t>It is preferable that appointees reside in Victoria</w:t>
            </w:r>
            <w:r>
              <w:rPr>
                <w:noProof/>
                <w:webHidden/>
              </w:rPr>
              <w:tab/>
            </w:r>
            <w:r>
              <w:rPr>
                <w:noProof/>
                <w:webHidden/>
              </w:rPr>
              <w:fldChar w:fldCharType="begin"/>
            </w:r>
            <w:r>
              <w:rPr>
                <w:noProof/>
                <w:webHidden/>
              </w:rPr>
              <w:instrText xml:space="preserve"> PAGEREF _Toc176339445 \h </w:instrText>
            </w:r>
            <w:r>
              <w:rPr>
                <w:noProof/>
                <w:webHidden/>
              </w:rPr>
            </w:r>
            <w:r>
              <w:rPr>
                <w:noProof/>
                <w:webHidden/>
              </w:rPr>
              <w:fldChar w:fldCharType="separate"/>
            </w:r>
            <w:r>
              <w:rPr>
                <w:noProof/>
                <w:webHidden/>
              </w:rPr>
              <w:t>20</w:t>
            </w:r>
            <w:r>
              <w:rPr>
                <w:noProof/>
                <w:webHidden/>
              </w:rPr>
              <w:fldChar w:fldCharType="end"/>
            </w:r>
          </w:hyperlink>
        </w:p>
        <w:p w14:paraId="35AAF6AB" w14:textId="1DB3C6B7" w:rsidR="00EE5807" w:rsidRDefault="00EE5807">
          <w:pPr>
            <w:pStyle w:val="TOC2"/>
            <w:rPr>
              <w:rFonts w:eastAsiaTheme="minorEastAsia" w:cstheme="minorBidi"/>
              <w:noProof/>
              <w:kern w:val="2"/>
              <w:sz w:val="24"/>
              <w:szCs w:val="24"/>
              <w:lang w:eastAsia="en-AU"/>
              <w14:ligatures w14:val="standardContextual"/>
            </w:rPr>
          </w:pPr>
          <w:hyperlink w:anchor="_Toc176339446" w:history="1">
            <w:r w:rsidRPr="00547300">
              <w:rPr>
                <w:rStyle w:val="Hyperlink"/>
                <w:noProof/>
              </w:rPr>
              <w:t>Lobbyists are ineligible to be appointed to relevant boards</w:t>
            </w:r>
            <w:r>
              <w:rPr>
                <w:noProof/>
                <w:webHidden/>
              </w:rPr>
              <w:tab/>
            </w:r>
            <w:r>
              <w:rPr>
                <w:noProof/>
                <w:webHidden/>
              </w:rPr>
              <w:fldChar w:fldCharType="begin"/>
            </w:r>
            <w:r>
              <w:rPr>
                <w:noProof/>
                <w:webHidden/>
              </w:rPr>
              <w:instrText xml:space="preserve"> PAGEREF _Toc176339446 \h </w:instrText>
            </w:r>
            <w:r>
              <w:rPr>
                <w:noProof/>
                <w:webHidden/>
              </w:rPr>
            </w:r>
            <w:r>
              <w:rPr>
                <w:noProof/>
                <w:webHidden/>
              </w:rPr>
              <w:fldChar w:fldCharType="separate"/>
            </w:r>
            <w:r>
              <w:rPr>
                <w:noProof/>
                <w:webHidden/>
              </w:rPr>
              <w:t>20</w:t>
            </w:r>
            <w:r>
              <w:rPr>
                <w:noProof/>
                <w:webHidden/>
              </w:rPr>
              <w:fldChar w:fldCharType="end"/>
            </w:r>
          </w:hyperlink>
        </w:p>
        <w:p w14:paraId="7AC5DCAD" w14:textId="44E21B07" w:rsidR="00EE5807" w:rsidRDefault="00EE5807" w:rsidP="008B1794">
          <w:pPr>
            <w:pStyle w:val="TOC1"/>
            <w:ind w:left="567" w:hanging="567"/>
            <w:rPr>
              <w:rFonts w:asciiTheme="minorHAnsi" w:eastAsiaTheme="minorEastAsia" w:hAnsiTheme="minorHAnsi" w:cstheme="minorBidi"/>
              <w:b w:val="0"/>
              <w:noProof/>
              <w:kern w:val="2"/>
              <w:sz w:val="24"/>
              <w:szCs w:val="24"/>
              <w:lang w:eastAsia="en-AU"/>
              <w14:ligatures w14:val="standardContextual"/>
            </w:rPr>
          </w:pPr>
          <w:hyperlink w:anchor="_Toc176339447" w:history="1">
            <w:r w:rsidRPr="00547300">
              <w:rPr>
                <w:rStyle w:val="Hyperlink"/>
                <w:noProof/>
              </w:rPr>
              <w:t>5.</w:t>
            </w:r>
            <w:r>
              <w:rPr>
                <w:rFonts w:asciiTheme="minorHAnsi" w:eastAsiaTheme="minorEastAsia" w:hAnsiTheme="minorHAnsi" w:cstheme="minorBidi"/>
                <w:b w:val="0"/>
                <w:noProof/>
                <w:kern w:val="2"/>
                <w:sz w:val="24"/>
                <w:szCs w:val="24"/>
                <w:lang w:eastAsia="en-AU"/>
                <w14:ligatures w14:val="standardContextual"/>
              </w:rPr>
              <w:tab/>
            </w:r>
            <w:r w:rsidRPr="00547300">
              <w:rPr>
                <w:rStyle w:val="Hyperlink"/>
                <w:noProof/>
              </w:rPr>
              <w:t>Probity checks and a Declaration of Private Interests are mandatory for all appointments, unless an exemption applies</w:t>
            </w:r>
            <w:r>
              <w:rPr>
                <w:noProof/>
                <w:webHidden/>
              </w:rPr>
              <w:tab/>
            </w:r>
            <w:r>
              <w:rPr>
                <w:noProof/>
                <w:webHidden/>
              </w:rPr>
              <w:fldChar w:fldCharType="begin"/>
            </w:r>
            <w:r>
              <w:rPr>
                <w:noProof/>
                <w:webHidden/>
              </w:rPr>
              <w:instrText xml:space="preserve"> PAGEREF _Toc176339447 \h </w:instrText>
            </w:r>
            <w:r>
              <w:rPr>
                <w:noProof/>
                <w:webHidden/>
              </w:rPr>
            </w:r>
            <w:r>
              <w:rPr>
                <w:noProof/>
                <w:webHidden/>
              </w:rPr>
              <w:fldChar w:fldCharType="separate"/>
            </w:r>
            <w:r>
              <w:rPr>
                <w:noProof/>
                <w:webHidden/>
              </w:rPr>
              <w:t>21</w:t>
            </w:r>
            <w:r>
              <w:rPr>
                <w:noProof/>
                <w:webHidden/>
              </w:rPr>
              <w:fldChar w:fldCharType="end"/>
            </w:r>
          </w:hyperlink>
        </w:p>
        <w:p w14:paraId="13AFE1E5" w14:textId="32FD3AAF" w:rsidR="00EE5807" w:rsidRDefault="00EE5807">
          <w:pPr>
            <w:pStyle w:val="TOC2"/>
            <w:rPr>
              <w:rFonts w:eastAsiaTheme="minorEastAsia" w:cstheme="minorBidi"/>
              <w:noProof/>
              <w:kern w:val="2"/>
              <w:sz w:val="24"/>
              <w:szCs w:val="24"/>
              <w:lang w:eastAsia="en-AU"/>
              <w14:ligatures w14:val="standardContextual"/>
            </w:rPr>
          </w:pPr>
          <w:hyperlink w:anchor="_Toc176339448" w:history="1">
            <w:r w:rsidRPr="00547300">
              <w:rPr>
                <w:rStyle w:val="Hyperlink"/>
                <w:noProof/>
              </w:rPr>
              <w:t>Probity Checks</w:t>
            </w:r>
            <w:r>
              <w:rPr>
                <w:noProof/>
                <w:webHidden/>
              </w:rPr>
              <w:tab/>
            </w:r>
            <w:r>
              <w:rPr>
                <w:noProof/>
                <w:webHidden/>
              </w:rPr>
              <w:fldChar w:fldCharType="begin"/>
            </w:r>
            <w:r>
              <w:rPr>
                <w:noProof/>
                <w:webHidden/>
              </w:rPr>
              <w:instrText xml:space="preserve"> PAGEREF _Toc176339448 \h </w:instrText>
            </w:r>
            <w:r>
              <w:rPr>
                <w:noProof/>
                <w:webHidden/>
              </w:rPr>
            </w:r>
            <w:r>
              <w:rPr>
                <w:noProof/>
                <w:webHidden/>
              </w:rPr>
              <w:fldChar w:fldCharType="separate"/>
            </w:r>
            <w:r>
              <w:rPr>
                <w:noProof/>
                <w:webHidden/>
              </w:rPr>
              <w:t>21</w:t>
            </w:r>
            <w:r>
              <w:rPr>
                <w:noProof/>
                <w:webHidden/>
              </w:rPr>
              <w:fldChar w:fldCharType="end"/>
            </w:r>
          </w:hyperlink>
        </w:p>
        <w:p w14:paraId="5D79CA35" w14:textId="7261DB58" w:rsidR="00EE5807" w:rsidRDefault="00EE5807">
          <w:pPr>
            <w:pStyle w:val="TOC2"/>
            <w:rPr>
              <w:rFonts w:eastAsiaTheme="minorEastAsia" w:cstheme="minorBidi"/>
              <w:noProof/>
              <w:kern w:val="2"/>
              <w:sz w:val="24"/>
              <w:szCs w:val="24"/>
              <w:lang w:eastAsia="en-AU"/>
              <w14:ligatures w14:val="standardContextual"/>
            </w:rPr>
          </w:pPr>
          <w:hyperlink w:anchor="_Toc176339449" w:history="1">
            <w:r w:rsidRPr="00547300">
              <w:rPr>
                <w:rStyle w:val="Hyperlink"/>
                <w:noProof/>
              </w:rPr>
              <w:t>Mandatory probity checks</w:t>
            </w:r>
            <w:r>
              <w:rPr>
                <w:noProof/>
                <w:webHidden/>
              </w:rPr>
              <w:tab/>
            </w:r>
            <w:r>
              <w:rPr>
                <w:noProof/>
                <w:webHidden/>
              </w:rPr>
              <w:fldChar w:fldCharType="begin"/>
            </w:r>
            <w:r>
              <w:rPr>
                <w:noProof/>
                <w:webHidden/>
              </w:rPr>
              <w:instrText xml:space="preserve"> PAGEREF _Toc176339449 \h </w:instrText>
            </w:r>
            <w:r>
              <w:rPr>
                <w:noProof/>
                <w:webHidden/>
              </w:rPr>
            </w:r>
            <w:r>
              <w:rPr>
                <w:noProof/>
                <w:webHidden/>
              </w:rPr>
              <w:fldChar w:fldCharType="separate"/>
            </w:r>
            <w:r>
              <w:rPr>
                <w:noProof/>
                <w:webHidden/>
              </w:rPr>
              <w:t>22</w:t>
            </w:r>
            <w:r>
              <w:rPr>
                <w:noProof/>
                <w:webHidden/>
              </w:rPr>
              <w:fldChar w:fldCharType="end"/>
            </w:r>
          </w:hyperlink>
        </w:p>
        <w:p w14:paraId="244F400D" w14:textId="7DF42A9D" w:rsidR="00EE5807" w:rsidRDefault="00EE5807">
          <w:pPr>
            <w:pStyle w:val="TOC2"/>
            <w:rPr>
              <w:rFonts w:eastAsiaTheme="minorEastAsia" w:cstheme="minorBidi"/>
              <w:noProof/>
              <w:kern w:val="2"/>
              <w:sz w:val="24"/>
              <w:szCs w:val="24"/>
              <w:lang w:eastAsia="en-AU"/>
              <w14:ligatures w14:val="standardContextual"/>
            </w:rPr>
          </w:pPr>
          <w:hyperlink w:anchor="_Toc176339450" w:history="1">
            <w:r w:rsidRPr="00547300">
              <w:rPr>
                <w:rStyle w:val="Hyperlink"/>
                <w:noProof/>
              </w:rPr>
              <w:t>Other background checks should also be undertaken</w:t>
            </w:r>
            <w:r>
              <w:rPr>
                <w:noProof/>
                <w:webHidden/>
              </w:rPr>
              <w:tab/>
            </w:r>
            <w:r>
              <w:rPr>
                <w:noProof/>
                <w:webHidden/>
              </w:rPr>
              <w:fldChar w:fldCharType="begin"/>
            </w:r>
            <w:r>
              <w:rPr>
                <w:noProof/>
                <w:webHidden/>
              </w:rPr>
              <w:instrText xml:space="preserve"> PAGEREF _Toc176339450 \h </w:instrText>
            </w:r>
            <w:r>
              <w:rPr>
                <w:noProof/>
                <w:webHidden/>
              </w:rPr>
            </w:r>
            <w:r>
              <w:rPr>
                <w:noProof/>
                <w:webHidden/>
              </w:rPr>
              <w:fldChar w:fldCharType="separate"/>
            </w:r>
            <w:r>
              <w:rPr>
                <w:noProof/>
                <w:webHidden/>
              </w:rPr>
              <w:t>22</w:t>
            </w:r>
            <w:r>
              <w:rPr>
                <w:noProof/>
                <w:webHidden/>
              </w:rPr>
              <w:fldChar w:fldCharType="end"/>
            </w:r>
          </w:hyperlink>
        </w:p>
        <w:p w14:paraId="0F5902AD" w14:textId="254D129B" w:rsidR="00EE5807" w:rsidRDefault="00EE5807">
          <w:pPr>
            <w:pStyle w:val="TOC2"/>
            <w:rPr>
              <w:rFonts w:eastAsiaTheme="minorEastAsia" w:cstheme="minorBidi"/>
              <w:noProof/>
              <w:kern w:val="2"/>
              <w:sz w:val="24"/>
              <w:szCs w:val="24"/>
              <w:lang w:eastAsia="en-AU"/>
              <w14:ligatures w14:val="standardContextual"/>
            </w:rPr>
          </w:pPr>
          <w:hyperlink w:anchor="_Toc176339451" w:history="1">
            <w:r w:rsidRPr="00547300">
              <w:rPr>
                <w:rStyle w:val="Hyperlink"/>
                <w:noProof/>
              </w:rPr>
              <w:t>Management of conflicts must inform the appointment</w:t>
            </w:r>
            <w:r>
              <w:rPr>
                <w:noProof/>
                <w:webHidden/>
              </w:rPr>
              <w:tab/>
            </w:r>
            <w:r>
              <w:rPr>
                <w:noProof/>
                <w:webHidden/>
              </w:rPr>
              <w:fldChar w:fldCharType="begin"/>
            </w:r>
            <w:r>
              <w:rPr>
                <w:noProof/>
                <w:webHidden/>
              </w:rPr>
              <w:instrText xml:space="preserve"> PAGEREF _Toc176339451 \h </w:instrText>
            </w:r>
            <w:r>
              <w:rPr>
                <w:noProof/>
                <w:webHidden/>
              </w:rPr>
            </w:r>
            <w:r>
              <w:rPr>
                <w:noProof/>
                <w:webHidden/>
              </w:rPr>
              <w:fldChar w:fldCharType="separate"/>
            </w:r>
            <w:r>
              <w:rPr>
                <w:noProof/>
                <w:webHidden/>
              </w:rPr>
              <w:t>22</w:t>
            </w:r>
            <w:r>
              <w:rPr>
                <w:noProof/>
                <w:webHidden/>
              </w:rPr>
              <w:fldChar w:fldCharType="end"/>
            </w:r>
          </w:hyperlink>
        </w:p>
        <w:p w14:paraId="64C8530E" w14:textId="773ABD81" w:rsidR="00EE5807" w:rsidRDefault="00EE5807">
          <w:pPr>
            <w:pStyle w:val="TOC2"/>
            <w:rPr>
              <w:rFonts w:eastAsiaTheme="minorEastAsia" w:cstheme="minorBidi"/>
              <w:noProof/>
              <w:kern w:val="2"/>
              <w:sz w:val="24"/>
              <w:szCs w:val="24"/>
              <w:lang w:eastAsia="en-AU"/>
              <w14:ligatures w14:val="standardContextual"/>
            </w:rPr>
          </w:pPr>
          <w:hyperlink w:anchor="_Toc176339452" w:history="1">
            <w:r w:rsidRPr="00547300">
              <w:rPr>
                <w:rStyle w:val="Hyperlink"/>
                <w:noProof/>
              </w:rPr>
              <w:t>Waivers and exceptions</w:t>
            </w:r>
            <w:r>
              <w:rPr>
                <w:noProof/>
                <w:webHidden/>
              </w:rPr>
              <w:tab/>
            </w:r>
            <w:r>
              <w:rPr>
                <w:noProof/>
                <w:webHidden/>
              </w:rPr>
              <w:fldChar w:fldCharType="begin"/>
            </w:r>
            <w:r>
              <w:rPr>
                <w:noProof/>
                <w:webHidden/>
              </w:rPr>
              <w:instrText xml:space="preserve"> PAGEREF _Toc176339452 \h </w:instrText>
            </w:r>
            <w:r>
              <w:rPr>
                <w:noProof/>
                <w:webHidden/>
              </w:rPr>
            </w:r>
            <w:r>
              <w:rPr>
                <w:noProof/>
                <w:webHidden/>
              </w:rPr>
              <w:fldChar w:fldCharType="separate"/>
            </w:r>
            <w:r>
              <w:rPr>
                <w:noProof/>
                <w:webHidden/>
              </w:rPr>
              <w:t>23</w:t>
            </w:r>
            <w:r>
              <w:rPr>
                <w:noProof/>
                <w:webHidden/>
              </w:rPr>
              <w:fldChar w:fldCharType="end"/>
            </w:r>
          </w:hyperlink>
        </w:p>
        <w:p w14:paraId="7427205E" w14:textId="54DAB3FD" w:rsidR="00EE5807" w:rsidRDefault="00EE5807">
          <w:pPr>
            <w:pStyle w:val="TOC3"/>
            <w:rPr>
              <w:noProof/>
              <w:kern w:val="2"/>
              <w:sz w:val="24"/>
              <w:szCs w:val="24"/>
              <w:lang w:eastAsia="en-AU"/>
              <w14:ligatures w14:val="standardContextual"/>
            </w:rPr>
          </w:pPr>
          <w:hyperlink w:anchor="_Toc176339453" w:history="1">
            <w:r w:rsidRPr="00547300">
              <w:rPr>
                <w:rStyle w:val="Hyperlink"/>
                <w:noProof/>
              </w:rPr>
              <w:t>Ex-officio appointments</w:t>
            </w:r>
            <w:r>
              <w:rPr>
                <w:noProof/>
                <w:webHidden/>
              </w:rPr>
              <w:tab/>
            </w:r>
            <w:r>
              <w:rPr>
                <w:noProof/>
                <w:webHidden/>
              </w:rPr>
              <w:fldChar w:fldCharType="begin"/>
            </w:r>
            <w:r>
              <w:rPr>
                <w:noProof/>
                <w:webHidden/>
              </w:rPr>
              <w:instrText xml:space="preserve"> PAGEREF _Toc176339453 \h </w:instrText>
            </w:r>
            <w:r>
              <w:rPr>
                <w:noProof/>
                <w:webHidden/>
              </w:rPr>
            </w:r>
            <w:r>
              <w:rPr>
                <w:noProof/>
                <w:webHidden/>
              </w:rPr>
              <w:fldChar w:fldCharType="separate"/>
            </w:r>
            <w:r>
              <w:rPr>
                <w:noProof/>
                <w:webHidden/>
              </w:rPr>
              <w:t>23</w:t>
            </w:r>
            <w:r>
              <w:rPr>
                <w:noProof/>
                <w:webHidden/>
              </w:rPr>
              <w:fldChar w:fldCharType="end"/>
            </w:r>
          </w:hyperlink>
        </w:p>
        <w:p w14:paraId="1C119FA6" w14:textId="5EFA3320" w:rsidR="00EE5807" w:rsidRDefault="00EE5807">
          <w:pPr>
            <w:pStyle w:val="TOC3"/>
            <w:rPr>
              <w:noProof/>
              <w:kern w:val="2"/>
              <w:sz w:val="24"/>
              <w:szCs w:val="24"/>
              <w:lang w:eastAsia="en-AU"/>
              <w14:ligatures w14:val="standardContextual"/>
            </w:rPr>
          </w:pPr>
          <w:hyperlink w:anchor="_Toc176339454" w:history="1">
            <w:r w:rsidRPr="00547300">
              <w:rPr>
                <w:rStyle w:val="Hyperlink"/>
                <w:noProof/>
              </w:rPr>
              <w:t>Bodies without formal decision-making responsibilities</w:t>
            </w:r>
            <w:r>
              <w:rPr>
                <w:noProof/>
                <w:webHidden/>
              </w:rPr>
              <w:tab/>
            </w:r>
            <w:r>
              <w:rPr>
                <w:noProof/>
                <w:webHidden/>
              </w:rPr>
              <w:fldChar w:fldCharType="begin"/>
            </w:r>
            <w:r>
              <w:rPr>
                <w:noProof/>
                <w:webHidden/>
              </w:rPr>
              <w:instrText xml:space="preserve"> PAGEREF _Toc176339454 \h </w:instrText>
            </w:r>
            <w:r>
              <w:rPr>
                <w:noProof/>
                <w:webHidden/>
              </w:rPr>
            </w:r>
            <w:r>
              <w:rPr>
                <w:noProof/>
                <w:webHidden/>
              </w:rPr>
              <w:fldChar w:fldCharType="separate"/>
            </w:r>
            <w:r>
              <w:rPr>
                <w:noProof/>
                <w:webHidden/>
              </w:rPr>
              <w:t>23</w:t>
            </w:r>
            <w:r>
              <w:rPr>
                <w:noProof/>
                <w:webHidden/>
              </w:rPr>
              <w:fldChar w:fldCharType="end"/>
            </w:r>
          </w:hyperlink>
        </w:p>
        <w:p w14:paraId="6B26738D" w14:textId="3FC0BFC6" w:rsidR="00EE5807" w:rsidRDefault="00EE5807">
          <w:pPr>
            <w:pStyle w:val="TOC3"/>
            <w:rPr>
              <w:noProof/>
              <w:kern w:val="2"/>
              <w:sz w:val="24"/>
              <w:szCs w:val="24"/>
              <w:lang w:eastAsia="en-AU"/>
              <w14:ligatures w14:val="standardContextual"/>
            </w:rPr>
          </w:pPr>
          <w:hyperlink w:anchor="_Toc176339455" w:history="1">
            <w:r w:rsidRPr="00547300">
              <w:rPr>
                <w:rStyle w:val="Hyperlink"/>
                <w:noProof/>
              </w:rPr>
              <w:t>Legislative requirement to appoint serving judges in an ex-officio capacity from the Supreme, County or Magistrate’s Court</w:t>
            </w:r>
            <w:r>
              <w:rPr>
                <w:noProof/>
                <w:webHidden/>
              </w:rPr>
              <w:tab/>
            </w:r>
            <w:r>
              <w:rPr>
                <w:noProof/>
                <w:webHidden/>
              </w:rPr>
              <w:fldChar w:fldCharType="begin"/>
            </w:r>
            <w:r>
              <w:rPr>
                <w:noProof/>
                <w:webHidden/>
              </w:rPr>
              <w:instrText xml:space="preserve"> PAGEREF _Toc176339455 \h </w:instrText>
            </w:r>
            <w:r>
              <w:rPr>
                <w:noProof/>
                <w:webHidden/>
              </w:rPr>
            </w:r>
            <w:r>
              <w:rPr>
                <w:noProof/>
                <w:webHidden/>
              </w:rPr>
              <w:fldChar w:fldCharType="separate"/>
            </w:r>
            <w:r>
              <w:rPr>
                <w:noProof/>
                <w:webHidden/>
              </w:rPr>
              <w:t>24</w:t>
            </w:r>
            <w:r>
              <w:rPr>
                <w:noProof/>
                <w:webHidden/>
              </w:rPr>
              <w:fldChar w:fldCharType="end"/>
            </w:r>
          </w:hyperlink>
        </w:p>
        <w:p w14:paraId="3D2BD6AB" w14:textId="08C973C5" w:rsidR="00EE5807" w:rsidRDefault="00EE5807">
          <w:pPr>
            <w:pStyle w:val="TOC3"/>
            <w:rPr>
              <w:noProof/>
              <w:kern w:val="2"/>
              <w:sz w:val="24"/>
              <w:szCs w:val="24"/>
              <w:lang w:eastAsia="en-AU"/>
              <w14:ligatures w14:val="standardContextual"/>
            </w:rPr>
          </w:pPr>
          <w:hyperlink w:anchor="_Toc176339456" w:history="1">
            <w:r w:rsidRPr="00547300">
              <w:rPr>
                <w:rStyle w:val="Hyperlink"/>
                <w:noProof/>
              </w:rPr>
              <w:t>Waiver of National Criminal Record Check for Cemetery Trusts</w:t>
            </w:r>
            <w:r>
              <w:rPr>
                <w:noProof/>
                <w:webHidden/>
              </w:rPr>
              <w:tab/>
            </w:r>
            <w:r>
              <w:rPr>
                <w:noProof/>
                <w:webHidden/>
              </w:rPr>
              <w:fldChar w:fldCharType="begin"/>
            </w:r>
            <w:r>
              <w:rPr>
                <w:noProof/>
                <w:webHidden/>
              </w:rPr>
              <w:instrText xml:space="preserve"> PAGEREF _Toc176339456 \h </w:instrText>
            </w:r>
            <w:r>
              <w:rPr>
                <w:noProof/>
                <w:webHidden/>
              </w:rPr>
            </w:r>
            <w:r>
              <w:rPr>
                <w:noProof/>
                <w:webHidden/>
              </w:rPr>
              <w:fldChar w:fldCharType="separate"/>
            </w:r>
            <w:r>
              <w:rPr>
                <w:noProof/>
                <w:webHidden/>
              </w:rPr>
              <w:t>24</w:t>
            </w:r>
            <w:r>
              <w:rPr>
                <w:noProof/>
                <w:webHidden/>
              </w:rPr>
              <w:fldChar w:fldCharType="end"/>
            </w:r>
          </w:hyperlink>
        </w:p>
        <w:p w14:paraId="55D72E12" w14:textId="1481DF90" w:rsidR="00EE5807" w:rsidRDefault="00EE5807">
          <w:pPr>
            <w:pStyle w:val="TOC3"/>
            <w:rPr>
              <w:noProof/>
              <w:kern w:val="2"/>
              <w:sz w:val="24"/>
              <w:szCs w:val="24"/>
              <w:lang w:eastAsia="en-AU"/>
              <w14:ligatures w14:val="standardContextual"/>
            </w:rPr>
          </w:pPr>
          <w:hyperlink w:anchor="_Toc176339457" w:history="1">
            <w:r w:rsidRPr="00547300">
              <w:rPr>
                <w:rStyle w:val="Hyperlink"/>
                <w:noProof/>
              </w:rPr>
              <w:t>Time-sensitive appointments</w:t>
            </w:r>
            <w:r>
              <w:rPr>
                <w:noProof/>
                <w:webHidden/>
              </w:rPr>
              <w:tab/>
            </w:r>
            <w:r>
              <w:rPr>
                <w:noProof/>
                <w:webHidden/>
              </w:rPr>
              <w:fldChar w:fldCharType="begin"/>
            </w:r>
            <w:r>
              <w:rPr>
                <w:noProof/>
                <w:webHidden/>
              </w:rPr>
              <w:instrText xml:space="preserve"> PAGEREF _Toc176339457 \h </w:instrText>
            </w:r>
            <w:r>
              <w:rPr>
                <w:noProof/>
                <w:webHidden/>
              </w:rPr>
            </w:r>
            <w:r>
              <w:rPr>
                <w:noProof/>
                <w:webHidden/>
              </w:rPr>
              <w:fldChar w:fldCharType="separate"/>
            </w:r>
            <w:r>
              <w:rPr>
                <w:noProof/>
                <w:webHidden/>
              </w:rPr>
              <w:t>24</w:t>
            </w:r>
            <w:r>
              <w:rPr>
                <w:noProof/>
                <w:webHidden/>
              </w:rPr>
              <w:fldChar w:fldCharType="end"/>
            </w:r>
          </w:hyperlink>
        </w:p>
        <w:p w14:paraId="3B0F3B1C" w14:textId="00B621AB" w:rsidR="00EE5807" w:rsidRDefault="00EE5807">
          <w:pPr>
            <w:pStyle w:val="TOC3"/>
            <w:rPr>
              <w:noProof/>
              <w:kern w:val="2"/>
              <w:sz w:val="24"/>
              <w:szCs w:val="24"/>
              <w:lang w:eastAsia="en-AU"/>
              <w14:ligatures w14:val="standardContextual"/>
            </w:rPr>
          </w:pPr>
          <w:hyperlink w:anchor="_Toc176339458" w:history="1">
            <w:r w:rsidRPr="00547300">
              <w:rPr>
                <w:rStyle w:val="Hyperlink"/>
                <w:noProof/>
              </w:rPr>
              <w:t>Acting appointments</w:t>
            </w:r>
            <w:r>
              <w:rPr>
                <w:noProof/>
                <w:webHidden/>
              </w:rPr>
              <w:tab/>
            </w:r>
            <w:r>
              <w:rPr>
                <w:noProof/>
                <w:webHidden/>
              </w:rPr>
              <w:fldChar w:fldCharType="begin"/>
            </w:r>
            <w:r>
              <w:rPr>
                <w:noProof/>
                <w:webHidden/>
              </w:rPr>
              <w:instrText xml:space="preserve"> PAGEREF _Toc176339458 \h </w:instrText>
            </w:r>
            <w:r>
              <w:rPr>
                <w:noProof/>
                <w:webHidden/>
              </w:rPr>
            </w:r>
            <w:r>
              <w:rPr>
                <w:noProof/>
                <w:webHidden/>
              </w:rPr>
              <w:fldChar w:fldCharType="separate"/>
            </w:r>
            <w:r>
              <w:rPr>
                <w:noProof/>
                <w:webHidden/>
              </w:rPr>
              <w:t>25</w:t>
            </w:r>
            <w:r>
              <w:rPr>
                <w:noProof/>
                <w:webHidden/>
              </w:rPr>
              <w:fldChar w:fldCharType="end"/>
            </w:r>
          </w:hyperlink>
        </w:p>
        <w:p w14:paraId="525B8174" w14:textId="76FE5B58" w:rsidR="00EE5807" w:rsidRDefault="00EE5807" w:rsidP="008B1794">
          <w:pPr>
            <w:pStyle w:val="TOC1"/>
            <w:ind w:left="567" w:hanging="567"/>
            <w:rPr>
              <w:rFonts w:asciiTheme="minorHAnsi" w:eastAsiaTheme="minorEastAsia" w:hAnsiTheme="minorHAnsi" w:cstheme="minorBidi"/>
              <w:b w:val="0"/>
              <w:noProof/>
              <w:kern w:val="2"/>
              <w:sz w:val="24"/>
              <w:szCs w:val="24"/>
              <w:lang w:eastAsia="en-AU"/>
              <w14:ligatures w14:val="standardContextual"/>
            </w:rPr>
          </w:pPr>
          <w:hyperlink w:anchor="_Toc176339459" w:history="1">
            <w:r w:rsidRPr="00547300">
              <w:rPr>
                <w:rStyle w:val="Hyperlink"/>
                <w:noProof/>
              </w:rPr>
              <w:t>6.</w:t>
            </w:r>
            <w:r>
              <w:rPr>
                <w:rFonts w:asciiTheme="minorHAnsi" w:eastAsiaTheme="minorEastAsia" w:hAnsiTheme="minorHAnsi" w:cstheme="minorBidi"/>
                <w:b w:val="0"/>
                <w:noProof/>
                <w:kern w:val="2"/>
                <w:sz w:val="24"/>
                <w:szCs w:val="24"/>
                <w:lang w:eastAsia="en-AU"/>
                <w14:ligatures w14:val="standardContextual"/>
              </w:rPr>
              <w:tab/>
            </w:r>
            <w:r w:rsidRPr="00547300">
              <w:rPr>
                <w:rStyle w:val="Hyperlink"/>
                <w:noProof/>
              </w:rPr>
              <w:t>Board appointments should be remunerated in accordance with the relevant classification for the board</w:t>
            </w:r>
            <w:r>
              <w:rPr>
                <w:noProof/>
                <w:webHidden/>
              </w:rPr>
              <w:tab/>
            </w:r>
            <w:r>
              <w:rPr>
                <w:noProof/>
                <w:webHidden/>
              </w:rPr>
              <w:fldChar w:fldCharType="begin"/>
            </w:r>
            <w:r>
              <w:rPr>
                <w:noProof/>
                <w:webHidden/>
              </w:rPr>
              <w:instrText xml:space="preserve"> PAGEREF _Toc176339459 \h </w:instrText>
            </w:r>
            <w:r>
              <w:rPr>
                <w:noProof/>
                <w:webHidden/>
              </w:rPr>
            </w:r>
            <w:r>
              <w:rPr>
                <w:noProof/>
                <w:webHidden/>
              </w:rPr>
              <w:fldChar w:fldCharType="separate"/>
            </w:r>
            <w:r>
              <w:rPr>
                <w:noProof/>
                <w:webHidden/>
              </w:rPr>
              <w:t>26</w:t>
            </w:r>
            <w:r>
              <w:rPr>
                <w:noProof/>
                <w:webHidden/>
              </w:rPr>
              <w:fldChar w:fldCharType="end"/>
            </w:r>
          </w:hyperlink>
        </w:p>
        <w:p w14:paraId="1B8228A4" w14:textId="5C97F845" w:rsidR="00EE5807" w:rsidRDefault="00EE5807">
          <w:pPr>
            <w:pStyle w:val="TOC2"/>
            <w:rPr>
              <w:rFonts w:eastAsiaTheme="minorEastAsia" w:cstheme="minorBidi"/>
              <w:noProof/>
              <w:kern w:val="2"/>
              <w:sz w:val="24"/>
              <w:szCs w:val="24"/>
              <w:lang w:eastAsia="en-AU"/>
              <w14:ligatures w14:val="standardContextual"/>
            </w:rPr>
          </w:pPr>
          <w:hyperlink w:anchor="_Toc176339460" w:history="1">
            <w:r w:rsidRPr="00547300">
              <w:rPr>
                <w:rStyle w:val="Hyperlink"/>
                <w:noProof/>
              </w:rPr>
              <w:t>Boards with governance responsibilities should be paid remuneration as a default position</w:t>
            </w:r>
            <w:r>
              <w:rPr>
                <w:noProof/>
                <w:webHidden/>
              </w:rPr>
              <w:tab/>
            </w:r>
            <w:r>
              <w:rPr>
                <w:noProof/>
                <w:webHidden/>
              </w:rPr>
              <w:fldChar w:fldCharType="begin"/>
            </w:r>
            <w:r>
              <w:rPr>
                <w:noProof/>
                <w:webHidden/>
              </w:rPr>
              <w:instrText xml:space="preserve"> PAGEREF _Toc176339460 \h </w:instrText>
            </w:r>
            <w:r>
              <w:rPr>
                <w:noProof/>
                <w:webHidden/>
              </w:rPr>
            </w:r>
            <w:r>
              <w:rPr>
                <w:noProof/>
                <w:webHidden/>
              </w:rPr>
              <w:fldChar w:fldCharType="separate"/>
            </w:r>
            <w:r>
              <w:rPr>
                <w:noProof/>
                <w:webHidden/>
              </w:rPr>
              <w:t>27</w:t>
            </w:r>
            <w:r>
              <w:rPr>
                <w:noProof/>
                <w:webHidden/>
              </w:rPr>
              <w:fldChar w:fldCharType="end"/>
            </w:r>
          </w:hyperlink>
        </w:p>
        <w:p w14:paraId="6B5DEBD3" w14:textId="4B12005A" w:rsidR="00EE5807" w:rsidRDefault="00EE5807">
          <w:pPr>
            <w:pStyle w:val="TOC2"/>
            <w:rPr>
              <w:rFonts w:eastAsiaTheme="minorEastAsia" w:cstheme="minorBidi"/>
              <w:noProof/>
              <w:kern w:val="2"/>
              <w:sz w:val="24"/>
              <w:szCs w:val="24"/>
              <w:lang w:eastAsia="en-AU"/>
              <w14:ligatures w14:val="standardContextual"/>
            </w:rPr>
          </w:pPr>
          <w:hyperlink w:anchor="_Toc176339461" w:history="1">
            <w:r w:rsidRPr="00547300">
              <w:rPr>
                <w:rStyle w:val="Hyperlink"/>
                <w:noProof/>
              </w:rPr>
              <w:t>Members appointed to annual-fee paying Group A and B boards may be compensated for intensive work on board sub-committees</w:t>
            </w:r>
            <w:r>
              <w:rPr>
                <w:noProof/>
                <w:webHidden/>
              </w:rPr>
              <w:tab/>
            </w:r>
            <w:r>
              <w:rPr>
                <w:noProof/>
                <w:webHidden/>
              </w:rPr>
              <w:fldChar w:fldCharType="begin"/>
            </w:r>
            <w:r>
              <w:rPr>
                <w:noProof/>
                <w:webHidden/>
              </w:rPr>
              <w:instrText xml:space="preserve"> PAGEREF _Toc176339461 \h </w:instrText>
            </w:r>
            <w:r>
              <w:rPr>
                <w:noProof/>
                <w:webHidden/>
              </w:rPr>
            </w:r>
            <w:r>
              <w:rPr>
                <w:noProof/>
                <w:webHidden/>
              </w:rPr>
              <w:fldChar w:fldCharType="separate"/>
            </w:r>
            <w:r>
              <w:rPr>
                <w:noProof/>
                <w:webHidden/>
              </w:rPr>
              <w:t>27</w:t>
            </w:r>
            <w:r>
              <w:rPr>
                <w:noProof/>
                <w:webHidden/>
              </w:rPr>
              <w:fldChar w:fldCharType="end"/>
            </w:r>
          </w:hyperlink>
        </w:p>
        <w:p w14:paraId="0D2CEC1A" w14:textId="7D3D98F4" w:rsidR="00EE5807" w:rsidRDefault="00EE5807">
          <w:pPr>
            <w:pStyle w:val="TOC2"/>
            <w:rPr>
              <w:rFonts w:eastAsiaTheme="minorEastAsia" w:cstheme="minorBidi"/>
              <w:noProof/>
              <w:kern w:val="2"/>
              <w:sz w:val="24"/>
              <w:szCs w:val="24"/>
              <w:lang w:eastAsia="en-AU"/>
              <w14:ligatures w14:val="standardContextual"/>
            </w:rPr>
          </w:pPr>
          <w:hyperlink w:anchor="_Toc176339462" w:history="1">
            <w:r w:rsidRPr="00547300">
              <w:rPr>
                <w:rStyle w:val="Hyperlink"/>
                <w:noProof/>
              </w:rPr>
              <w:t>Daily rates – full and half day rates (most B and all C boards)</w:t>
            </w:r>
            <w:r>
              <w:rPr>
                <w:noProof/>
                <w:webHidden/>
              </w:rPr>
              <w:tab/>
            </w:r>
            <w:r>
              <w:rPr>
                <w:noProof/>
                <w:webHidden/>
              </w:rPr>
              <w:fldChar w:fldCharType="begin"/>
            </w:r>
            <w:r>
              <w:rPr>
                <w:noProof/>
                <w:webHidden/>
              </w:rPr>
              <w:instrText xml:space="preserve"> PAGEREF _Toc176339462 \h </w:instrText>
            </w:r>
            <w:r>
              <w:rPr>
                <w:noProof/>
                <w:webHidden/>
              </w:rPr>
            </w:r>
            <w:r>
              <w:rPr>
                <w:noProof/>
                <w:webHidden/>
              </w:rPr>
              <w:fldChar w:fldCharType="separate"/>
            </w:r>
            <w:r>
              <w:rPr>
                <w:noProof/>
                <w:webHidden/>
              </w:rPr>
              <w:t>27</w:t>
            </w:r>
            <w:r>
              <w:rPr>
                <w:noProof/>
                <w:webHidden/>
              </w:rPr>
              <w:fldChar w:fldCharType="end"/>
            </w:r>
          </w:hyperlink>
        </w:p>
        <w:p w14:paraId="0F6A4B09" w14:textId="738E44DE" w:rsidR="00EE5807" w:rsidRDefault="00EE5807">
          <w:pPr>
            <w:pStyle w:val="TOC2"/>
            <w:rPr>
              <w:rFonts w:eastAsiaTheme="minorEastAsia" w:cstheme="minorBidi"/>
              <w:noProof/>
              <w:kern w:val="2"/>
              <w:sz w:val="24"/>
              <w:szCs w:val="24"/>
              <w:lang w:eastAsia="en-AU"/>
              <w14:ligatures w14:val="standardContextual"/>
            </w:rPr>
          </w:pPr>
          <w:hyperlink w:anchor="_Toc176339463" w:history="1">
            <w:r w:rsidRPr="00547300">
              <w:rPr>
                <w:rStyle w:val="Hyperlink"/>
                <w:noProof/>
              </w:rPr>
              <w:t>Remuneration levels for Group D entities are not specified in these Guidelines</w:t>
            </w:r>
            <w:r>
              <w:rPr>
                <w:noProof/>
                <w:webHidden/>
              </w:rPr>
              <w:tab/>
            </w:r>
            <w:r>
              <w:rPr>
                <w:noProof/>
                <w:webHidden/>
              </w:rPr>
              <w:fldChar w:fldCharType="begin"/>
            </w:r>
            <w:r>
              <w:rPr>
                <w:noProof/>
                <w:webHidden/>
              </w:rPr>
              <w:instrText xml:space="preserve"> PAGEREF _Toc176339463 \h </w:instrText>
            </w:r>
            <w:r>
              <w:rPr>
                <w:noProof/>
                <w:webHidden/>
              </w:rPr>
            </w:r>
            <w:r>
              <w:rPr>
                <w:noProof/>
                <w:webHidden/>
              </w:rPr>
              <w:fldChar w:fldCharType="separate"/>
            </w:r>
            <w:r>
              <w:rPr>
                <w:noProof/>
                <w:webHidden/>
              </w:rPr>
              <w:t>28</w:t>
            </w:r>
            <w:r>
              <w:rPr>
                <w:noProof/>
                <w:webHidden/>
              </w:rPr>
              <w:fldChar w:fldCharType="end"/>
            </w:r>
          </w:hyperlink>
        </w:p>
        <w:p w14:paraId="7BCD4479" w14:textId="248E4D89" w:rsidR="00EE5807" w:rsidRDefault="00EE5807">
          <w:pPr>
            <w:pStyle w:val="TOC2"/>
            <w:rPr>
              <w:rFonts w:eastAsiaTheme="minorEastAsia" w:cstheme="minorBidi"/>
              <w:noProof/>
              <w:kern w:val="2"/>
              <w:sz w:val="24"/>
              <w:szCs w:val="24"/>
              <w:lang w:eastAsia="en-AU"/>
              <w14:ligatures w14:val="standardContextual"/>
            </w:rPr>
          </w:pPr>
          <w:hyperlink w:anchor="_Toc176339464" w:history="1">
            <w:r w:rsidRPr="00547300">
              <w:rPr>
                <w:rStyle w:val="Hyperlink"/>
                <w:noProof/>
              </w:rPr>
              <w:t>Remuneration above the bands</w:t>
            </w:r>
            <w:r>
              <w:rPr>
                <w:noProof/>
                <w:webHidden/>
              </w:rPr>
              <w:tab/>
            </w:r>
            <w:r>
              <w:rPr>
                <w:noProof/>
                <w:webHidden/>
              </w:rPr>
              <w:fldChar w:fldCharType="begin"/>
            </w:r>
            <w:r>
              <w:rPr>
                <w:noProof/>
                <w:webHidden/>
              </w:rPr>
              <w:instrText xml:space="preserve"> PAGEREF _Toc176339464 \h </w:instrText>
            </w:r>
            <w:r>
              <w:rPr>
                <w:noProof/>
                <w:webHidden/>
              </w:rPr>
            </w:r>
            <w:r>
              <w:rPr>
                <w:noProof/>
                <w:webHidden/>
              </w:rPr>
              <w:fldChar w:fldCharType="separate"/>
            </w:r>
            <w:r>
              <w:rPr>
                <w:noProof/>
                <w:webHidden/>
              </w:rPr>
              <w:t>28</w:t>
            </w:r>
            <w:r>
              <w:rPr>
                <w:noProof/>
                <w:webHidden/>
              </w:rPr>
              <w:fldChar w:fldCharType="end"/>
            </w:r>
          </w:hyperlink>
        </w:p>
        <w:p w14:paraId="0CC8DC9B" w14:textId="32ADBA74" w:rsidR="00EE5807" w:rsidRDefault="00EE5807">
          <w:pPr>
            <w:pStyle w:val="TOC2"/>
            <w:rPr>
              <w:rFonts w:eastAsiaTheme="minorEastAsia" w:cstheme="minorBidi"/>
              <w:noProof/>
              <w:kern w:val="2"/>
              <w:sz w:val="24"/>
              <w:szCs w:val="24"/>
              <w:lang w:eastAsia="en-AU"/>
              <w14:ligatures w14:val="standardContextual"/>
            </w:rPr>
          </w:pPr>
          <w:hyperlink w:anchor="_Toc176339465" w:history="1">
            <w:r w:rsidRPr="00547300">
              <w:rPr>
                <w:rStyle w:val="Hyperlink"/>
                <w:noProof/>
              </w:rPr>
              <w:t>There is no separate scale of fees for Deputy Chairs</w:t>
            </w:r>
            <w:r>
              <w:rPr>
                <w:noProof/>
                <w:webHidden/>
              </w:rPr>
              <w:tab/>
            </w:r>
            <w:r>
              <w:rPr>
                <w:noProof/>
                <w:webHidden/>
              </w:rPr>
              <w:fldChar w:fldCharType="begin"/>
            </w:r>
            <w:r>
              <w:rPr>
                <w:noProof/>
                <w:webHidden/>
              </w:rPr>
              <w:instrText xml:space="preserve"> PAGEREF _Toc176339465 \h </w:instrText>
            </w:r>
            <w:r>
              <w:rPr>
                <w:noProof/>
                <w:webHidden/>
              </w:rPr>
            </w:r>
            <w:r>
              <w:rPr>
                <w:noProof/>
                <w:webHidden/>
              </w:rPr>
              <w:fldChar w:fldCharType="separate"/>
            </w:r>
            <w:r>
              <w:rPr>
                <w:noProof/>
                <w:webHidden/>
              </w:rPr>
              <w:t>28</w:t>
            </w:r>
            <w:r>
              <w:rPr>
                <w:noProof/>
                <w:webHidden/>
              </w:rPr>
              <w:fldChar w:fldCharType="end"/>
            </w:r>
          </w:hyperlink>
        </w:p>
        <w:p w14:paraId="10C3E986" w14:textId="0EE1C6CD" w:rsidR="00EE5807" w:rsidRDefault="00EE5807">
          <w:pPr>
            <w:pStyle w:val="TOC1"/>
            <w:rPr>
              <w:rFonts w:asciiTheme="minorHAnsi" w:eastAsiaTheme="minorEastAsia" w:hAnsiTheme="minorHAnsi" w:cstheme="minorBidi"/>
              <w:b w:val="0"/>
              <w:noProof/>
              <w:kern w:val="2"/>
              <w:sz w:val="24"/>
              <w:szCs w:val="24"/>
              <w:lang w:eastAsia="en-AU"/>
              <w14:ligatures w14:val="standardContextual"/>
            </w:rPr>
          </w:pPr>
          <w:hyperlink w:anchor="_Toc176339466" w:history="1">
            <w:r w:rsidRPr="00547300">
              <w:rPr>
                <w:rStyle w:val="Hyperlink"/>
                <w:noProof/>
              </w:rPr>
              <w:t>7.</w:t>
            </w:r>
            <w:r>
              <w:rPr>
                <w:rFonts w:asciiTheme="minorHAnsi" w:eastAsiaTheme="minorEastAsia" w:hAnsiTheme="minorHAnsi" w:cstheme="minorBidi"/>
                <w:b w:val="0"/>
                <w:noProof/>
                <w:kern w:val="2"/>
                <w:sz w:val="24"/>
                <w:szCs w:val="24"/>
                <w:lang w:eastAsia="en-AU"/>
                <w14:ligatures w14:val="standardContextual"/>
              </w:rPr>
              <w:tab/>
            </w:r>
            <w:r w:rsidRPr="00547300">
              <w:rPr>
                <w:rStyle w:val="Hyperlink"/>
                <w:noProof/>
              </w:rPr>
              <w:t>Remuneration of single officer appointments</w:t>
            </w:r>
            <w:r>
              <w:rPr>
                <w:noProof/>
                <w:webHidden/>
              </w:rPr>
              <w:tab/>
            </w:r>
            <w:r>
              <w:rPr>
                <w:noProof/>
                <w:webHidden/>
              </w:rPr>
              <w:fldChar w:fldCharType="begin"/>
            </w:r>
            <w:r>
              <w:rPr>
                <w:noProof/>
                <w:webHidden/>
              </w:rPr>
              <w:instrText xml:space="preserve"> PAGEREF _Toc176339466 \h </w:instrText>
            </w:r>
            <w:r>
              <w:rPr>
                <w:noProof/>
                <w:webHidden/>
              </w:rPr>
            </w:r>
            <w:r>
              <w:rPr>
                <w:noProof/>
                <w:webHidden/>
              </w:rPr>
              <w:fldChar w:fldCharType="separate"/>
            </w:r>
            <w:r>
              <w:rPr>
                <w:noProof/>
                <w:webHidden/>
              </w:rPr>
              <w:t>29</w:t>
            </w:r>
            <w:r>
              <w:rPr>
                <w:noProof/>
                <w:webHidden/>
              </w:rPr>
              <w:fldChar w:fldCharType="end"/>
            </w:r>
          </w:hyperlink>
        </w:p>
        <w:p w14:paraId="46E26A88" w14:textId="40D5A2D5" w:rsidR="00EE5807" w:rsidRDefault="00EE5807">
          <w:pPr>
            <w:pStyle w:val="TOC1"/>
            <w:rPr>
              <w:rFonts w:asciiTheme="minorHAnsi" w:eastAsiaTheme="minorEastAsia" w:hAnsiTheme="minorHAnsi" w:cstheme="minorBidi"/>
              <w:b w:val="0"/>
              <w:noProof/>
              <w:kern w:val="2"/>
              <w:sz w:val="24"/>
              <w:szCs w:val="24"/>
              <w:lang w:eastAsia="en-AU"/>
              <w14:ligatures w14:val="standardContextual"/>
            </w:rPr>
          </w:pPr>
          <w:hyperlink w:anchor="_Toc176339467" w:history="1">
            <w:r w:rsidRPr="00547300">
              <w:rPr>
                <w:rStyle w:val="Hyperlink"/>
                <w:noProof/>
              </w:rPr>
              <w:t>8.</w:t>
            </w:r>
            <w:r>
              <w:rPr>
                <w:rFonts w:asciiTheme="minorHAnsi" w:eastAsiaTheme="minorEastAsia" w:hAnsiTheme="minorHAnsi" w:cstheme="minorBidi"/>
                <w:b w:val="0"/>
                <w:noProof/>
                <w:kern w:val="2"/>
                <w:sz w:val="24"/>
                <w:szCs w:val="24"/>
                <w:lang w:eastAsia="en-AU"/>
                <w14:ligatures w14:val="standardContextual"/>
              </w:rPr>
              <w:tab/>
            </w:r>
            <w:r w:rsidRPr="00547300">
              <w:rPr>
                <w:rStyle w:val="Hyperlink"/>
                <w:noProof/>
              </w:rPr>
              <w:t>Remuneration – other considerations</w:t>
            </w:r>
            <w:r>
              <w:rPr>
                <w:noProof/>
                <w:webHidden/>
              </w:rPr>
              <w:tab/>
            </w:r>
            <w:r>
              <w:rPr>
                <w:noProof/>
                <w:webHidden/>
              </w:rPr>
              <w:fldChar w:fldCharType="begin"/>
            </w:r>
            <w:r>
              <w:rPr>
                <w:noProof/>
                <w:webHidden/>
              </w:rPr>
              <w:instrText xml:space="preserve"> PAGEREF _Toc176339467 \h </w:instrText>
            </w:r>
            <w:r>
              <w:rPr>
                <w:noProof/>
                <w:webHidden/>
              </w:rPr>
            </w:r>
            <w:r>
              <w:rPr>
                <w:noProof/>
                <w:webHidden/>
              </w:rPr>
              <w:fldChar w:fldCharType="separate"/>
            </w:r>
            <w:r>
              <w:rPr>
                <w:noProof/>
                <w:webHidden/>
              </w:rPr>
              <w:t>30</w:t>
            </w:r>
            <w:r>
              <w:rPr>
                <w:noProof/>
                <w:webHidden/>
              </w:rPr>
              <w:fldChar w:fldCharType="end"/>
            </w:r>
          </w:hyperlink>
        </w:p>
        <w:p w14:paraId="771DCDBA" w14:textId="59A71EF4" w:rsidR="00EE5807" w:rsidRDefault="00EE5807">
          <w:pPr>
            <w:pStyle w:val="TOC2"/>
            <w:rPr>
              <w:rFonts w:eastAsiaTheme="minorEastAsia" w:cstheme="minorBidi"/>
              <w:noProof/>
              <w:kern w:val="2"/>
              <w:sz w:val="24"/>
              <w:szCs w:val="24"/>
              <w:lang w:eastAsia="en-AU"/>
              <w14:ligatures w14:val="standardContextual"/>
            </w:rPr>
          </w:pPr>
          <w:hyperlink w:anchor="_Toc176339468" w:history="1">
            <w:r w:rsidRPr="00547300">
              <w:rPr>
                <w:rStyle w:val="Hyperlink"/>
                <w:noProof/>
              </w:rPr>
              <w:t>Approving remuneration levels</w:t>
            </w:r>
            <w:r>
              <w:rPr>
                <w:noProof/>
                <w:webHidden/>
              </w:rPr>
              <w:tab/>
            </w:r>
            <w:r>
              <w:rPr>
                <w:noProof/>
                <w:webHidden/>
              </w:rPr>
              <w:fldChar w:fldCharType="begin"/>
            </w:r>
            <w:r>
              <w:rPr>
                <w:noProof/>
                <w:webHidden/>
              </w:rPr>
              <w:instrText xml:space="preserve"> PAGEREF _Toc176339468 \h </w:instrText>
            </w:r>
            <w:r>
              <w:rPr>
                <w:noProof/>
                <w:webHidden/>
              </w:rPr>
            </w:r>
            <w:r>
              <w:rPr>
                <w:noProof/>
                <w:webHidden/>
              </w:rPr>
              <w:fldChar w:fldCharType="separate"/>
            </w:r>
            <w:r>
              <w:rPr>
                <w:noProof/>
                <w:webHidden/>
              </w:rPr>
              <w:t>30</w:t>
            </w:r>
            <w:r>
              <w:rPr>
                <w:noProof/>
                <w:webHidden/>
              </w:rPr>
              <w:fldChar w:fldCharType="end"/>
            </w:r>
          </w:hyperlink>
        </w:p>
        <w:p w14:paraId="4D6A4F1B" w14:textId="71A0B66B" w:rsidR="00EE5807" w:rsidRDefault="00EE5807">
          <w:pPr>
            <w:pStyle w:val="TOC2"/>
            <w:rPr>
              <w:rFonts w:eastAsiaTheme="minorEastAsia" w:cstheme="minorBidi"/>
              <w:noProof/>
              <w:kern w:val="2"/>
              <w:sz w:val="24"/>
              <w:szCs w:val="24"/>
              <w:lang w:eastAsia="en-AU"/>
              <w14:ligatures w14:val="standardContextual"/>
            </w:rPr>
          </w:pPr>
          <w:hyperlink w:anchor="_Toc176339469" w:history="1">
            <w:r w:rsidRPr="00547300">
              <w:rPr>
                <w:rStyle w:val="Hyperlink"/>
                <w:noProof/>
              </w:rPr>
              <w:t>Exclusions and exceptions</w:t>
            </w:r>
            <w:r>
              <w:rPr>
                <w:noProof/>
                <w:webHidden/>
              </w:rPr>
              <w:tab/>
            </w:r>
            <w:r>
              <w:rPr>
                <w:noProof/>
                <w:webHidden/>
              </w:rPr>
              <w:fldChar w:fldCharType="begin"/>
            </w:r>
            <w:r>
              <w:rPr>
                <w:noProof/>
                <w:webHidden/>
              </w:rPr>
              <w:instrText xml:space="preserve"> PAGEREF _Toc176339469 \h </w:instrText>
            </w:r>
            <w:r>
              <w:rPr>
                <w:noProof/>
                <w:webHidden/>
              </w:rPr>
            </w:r>
            <w:r>
              <w:rPr>
                <w:noProof/>
                <w:webHidden/>
              </w:rPr>
              <w:fldChar w:fldCharType="separate"/>
            </w:r>
            <w:r>
              <w:rPr>
                <w:noProof/>
                <w:webHidden/>
              </w:rPr>
              <w:t>30</w:t>
            </w:r>
            <w:r>
              <w:rPr>
                <w:noProof/>
                <w:webHidden/>
              </w:rPr>
              <w:fldChar w:fldCharType="end"/>
            </w:r>
          </w:hyperlink>
        </w:p>
        <w:p w14:paraId="0269A670" w14:textId="11BBD739" w:rsidR="00EE5807" w:rsidRDefault="00EE5807">
          <w:pPr>
            <w:pStyle w:val="TOC3"/>
            <w:rPr>
              <w:noProof/>
              <w:kern w:val="2"/>
              <w:sz w:val="24"/>
              <w:szCs w:val="24"/>
              <w:lang w:eastAsia="en-AU"/>
              <w14:ligatures w14:val="standardContextual"/>
            </w:rPr>
          </w:pPr>
          <w:hyperlink w:anchor="_Toc176339470" w:history="1">
            <w:r w:rsidRPr="00547300">
              <w:rPr>
                <w:rStyle w:val="Hyperlink"/>
                <w:noProof/>
              </w:rPr>
              <w:t>Public sector employees</w:t>
            </w:r>
            <w:r>
              <w:rPr>
                <w:noProof/>
                <w:webHidden/>
              </w:rPr>
              <w:tab/>
            </w:r>
            <w:r>
              <w:rPr>
                <w:noProof/>
                <w:webHidden/>
              </w:rPr>
              <w:fldChar w:fldCharType="begin"/>
            </w:r>
            <w:r>
              <w:rPr>
                <w:noProof/>
                <w:webHidden/>
              </w:rPr>
              <w:instrText xml:space="preserve"> PAGEREF _Toc176339470 \h </w:instrText>
            </w:r>
            <w:r>
              <w:rPr>
                <w:noProof/>
                <w:webHidden/>
              </w:rPr>
            </w:r>
            <w:r>
              <w:rPr>
                <w:noProof/>
                <w:webHidden/>
              </w:rPr>
              <w:fldChar w:fldCharType="separate"/>
            </w:r>
            <w:r>
              <w:rPr>
                <w:noProof/>
                <w:webHidden/>
              </w:rPr>
              <w:t>30</w:t>
            </w:r>
            <w:r>
              <w:rPr>
                <w:noProof/>
                <w:webHidden/>
              </w:rPr>
              <w:fldChar w:fldCharType="end"/>
            </w:r>
          </w:hyperlink>
        </w:p>
        <w:p w14:paraId="2A22D22F" w14:textId="777B8490" w:rsidR="00EE5807" w:rsidRDefault="00EE5807">
          <w:pPr>
            <w:pStyle w:val="TOC3"/>
            <w:rPr>
              <w:noProof/>
              <w:kern w:val="2"/>
              <w:sz w:val="24"/>
              <w:szCs w:val="24"/>
              <w:lang w:eastAsia="en-AU"/>
              <w14:ligatures w14:val="standardContextual"/>
            </w:rPr>
          </w:pPr>
          <w:hyperlink w:anchor="_Toc176339471" w:history="1">
            <w:r w:rsidRPr="00547300">
              <w:rPr>
                <w:rStyle w:val="Hyperlink"/>
                <w:noProof/>
              </w:rPr>
              <w:t>Appointees are eligible to be reimbursed for reasonable out of pocket expenses</w:t>
            </w:r>
            <w:r>
              <w:rPr>
                <w:noProof/>
                <w:webHidden/>
              </w:rPr>
              <w:tab/>
            </w:r>
            <w:r>
              <w:rPr>
                <w:noProof/>
                <w:webHidden/>
              </w:rPr>
              <w:fldChar w:fldCharType="begin"/>
            </w:r>
            <w:r>
              <w:rPr>
                <w:noProof/>
                <w:webHidden/>
              </w:rPr>
              <w:instrText xml:space="preserve"> PAGEREF _Toc176339471 \h </w:instrText>
            </w:r>
            <w:r>
              <w:rPr>
                <w:noProof/>
                <w:webHidden/>
              </w:rPr>
            </w:r>
            <w:r>
              <w:rPr>
                <w:noProof/>
                <w:webHidden/>
              </w:rPr>
              <w:fldChar w:fldCharType="separate"/>
            </w:r>
            <w:r>
              <w:rPr>
                <w:noProof/>
                <w:webHidden/>
              </w:rPr>
              <w:t>31</w:t>
            </w:r>
            <w:r>
              <w:rPr>
                <w:noProof/>
                <w:webHidden/>
              </w:rPr>
              <w:fldChar w:fldCharType="end"/>
            </w:r>
          </w:hyperlink>
        </w:p>
        <w:p w14:paraId="14E61119" w14:textId="272F7D1C" w:rsidR="00EE5807" w:rsidRDefault="00EE5807">
          <w:pPr>
            <w:pStyle w:val="TOC3"/>
            <w:rPr>
              <w:noProof/>
              <w:kern w:val="2"/>
              <w:sz w:val="24"/>
              <w:szCs w:val="24"/>
              <w:lang w:eastAsia="en-AU"/>
              <w14:ligatures w14:val="standardContextual"/>
            </w:rPr>
          </w:pPr>
          <w:hyperlink w:anchor="_Toc176339472" w:history="1">
            <w:r w:rsidRPr="00547300">
              <w:rPr>
                <w:rStyle w:val="Hyperlink"/>
                <w:noProof/>
              </w:rPr>
              <w:t>Payments should only be made to the appointee in their personal capacity</w:t>
            </w:r>
            <w:r>
              <w:rPr>
                <w:noProof/>
                <w:webHidden/>
              </w:rPr>
              <w:tab/>
            </w:r>
            <w:r>
              <w:rPr>
                <w:noProof/>
                <w:webHidden/>
              </w:rPr>
              <w:fldChar w:fldCharType="begin"/>
            </w:r>
            <w:r>
              <w:rPr>
                <w:noProof/>
                <w:webHidden/>
              </w:rPr>
              <w:instrText xml:space="preserve"> PAGEREF _Toc176339472 \h </w:instrText>
            </w:r>
            <w:r>
              <w:rPr>
                <w:noProof/>
                <w:webHidden/>
              </w:rPr>
            </w:r>
            <w:r>
              <w:rPr>
                <w:noProof/>
                <w:webHidden/>
              </w:rPr>
              <w:fldChar w:fldCharType="separate"/>
            </w:r>
            <w:r>
              <w:rPr>
                <w:noProof/>
                <w:webHidden/>
              </w:rPr>
              <w:t>31</w:t>
            </w:r>
            <w:r>
              <w:rPr>
                <w:noProof/>
                <w:webHidden/>
              </w:rPr>
              <w:fldChar w:fldCharType="end"/>
            </w:r>
          </w:hyperlink>
        </w:p>
        <w:p w14:paraId="592AA327" w14:textId="633D567F" w:rsidR="00EE5807" w:rsidRDefault="00EE5807">
          <w:pPr>
            <w:pStyle w:val="TOC3"/>
            <w:rPr>
              <w:noProof/>
              <w:kern w:val="2"/>
              <w:sz w:val="24"/>
              <w:szCs w:val="24"/>
              <w:lang w:eastAsia="en-AU"/>
              <w14:ligatures w14:val="standardContextual"/>
            </w:rPr>
          </w:pPr>
          <w:hyperlink w:anchor="_Toc176339473" w:history="1">
            <w:r w:rsidRPr="00547300">
              <w:rPr>
                <w:rStyle w:val="Hyperlink"/>
                <w:noProof/>
              </w:rPr>
              <w:t>Annual remuneration adjustment for boards</w:t>
            </w:r>
            <w:r>
              <w:rPr>
                <w:noProof/>
                <w:webHidden/>
              </w:rPr>
              <w:tab/>
            </w:r>
            <w:r>
              <w:rPr>
                <w:noProof/>
                <w:webHidden/>
              </w:rPr>
              <w:fldChar w:fldCharType="begin"/>
            </w:r>
            <w:r>
              <w:rPr>
                <w:noProof/>
                <w:webHidden/>
              </w:rPr>
              <w:instrText xml:space="preserve"> PAGEREF _Toc176339473 \h </w:instrText>
            </w:r>
            <w:r>
              <w:rPr>
                <w:noProof/>
                <w:webHidden/>
              </w:rPr>
            </w:r>
            <w:r>
              <w:rPr>
                <w:noProof/>
                <w:webHidden/>
              </w:rPr>
              <w:fldChar w:fldCharType="separate"/>
            </w:r>
            <w:r>
              <w:rPr>
                <w:noProof/>
                <w:webHidden/>
              </w:rPr>
              <w:t>31</w:t>
            </w:r>
            <w:r>
              <w:rPr>
                <w:noProof/>
                <w:webHidden/>
              </w:rPr>
              <w:fldChar w:fldCharType="end"/>
            </w:r>
          </w:hyperlink>
        </w:p>
        <w:p w14:paraId="53C1FC6A" w14:textId="55F4BD8A" w:rsidR="00EE5807" w:rsidRDefault="00EE5807">
          <w:pPr>
            <w:pStyle w:val="TOC3"/>
            <w:rPr>
              <w:noProof/>
              <w:kern w:val="2"/>
              <w:sz w:val="24"/>
              <w:szCs w:val="24"/>
              <w:lang w:eastAsia="en-AU"/>
              <w14:ligatures w14:val="standardContextual"/>
            </w:rPr>
          </w:pPr>
          <w:hyperlink w:anchor="_Toc176339474" w:history="1">
            <w:r w:rsidRPr="00547300">
              <w:rPr>
                <w:rStyle w:val="Hyperlink"/>
                <w:noProof/>
              </w:rPr>
              <w:t>Annual remuneration adjustment for single officer roles</w:t>
            </w:r>
            <w:r>
              <w:rPr>
                <w:noProof/>
                <w:webHidden/>
              </w:rPr>
              <w:tab/>
            </w:r>
            <w:r>
              <w:rPr>
                <w:noProof/>
                <w:webHidden/>
              </w:rPr>
              <w:fldChar w:fldCharType="begin"/>
            </w:r>
            <w:r>
              <w:rPr>
                <w:noProof/>
                <w:webHidden/>
              </w:rPr>
              <w:instrText xml:space="preserve"> PAGEREF _Toc176339474 \h </w:instrText>
            </w:r>
            <w:r>
              <w:rPr>
                <w:noProof/>
                <w:webHidden/>
              </w:rPr>
            </w:r>
            <w:r>
              <w:rPr>
                <w:noProof/>
                <w:webHidden/>
              </w:rPr>
              <w:fldChar w:fldCharType="separate"/>
            </w:r>
            <w:r>
              <w:rPr>
                <w:noProof/>
                <w:webHidden/>
              </w:rPr>
              <w:t>32</w:t>
            </w:r>
            <w:r>
              <w:rPr>
                <w:noProof/>
                <w:webHidden/>
              </w:rPr>
              <w:fldChar w:fldCharType="end"/>
            </w:r>
          </w:hyperlink>
        </w:p>
        <w:p w14:paraId="53FD41E7" w14:textId="7880DE13" w:rsidR="00EE5807" w:rsidRDefault="00EE5807">
          <w:pPr>
            <w:pStyle w:val="TOC3"/>
            <w:rPr>
              <w:noProof/>
              <w:kern w:val="2"/>
              <w:sz w:val="24"/>
              <w:szCs w:val="24"/>
              <w:lang w:eastAsia="en-AU"/>
              <w14:ligatures w14:val="standardContextual"/>
            </w:rPr>
          </w:pPr>
          <w:hyperlink w:anchor="_Toc176339475" w:history="1">
            <w:r w:rsidRPr="00547300">
              <w:rPr>
                <w:rStyle w:val="Hyperlink"/>
                <w:noProof/>
              </w:rPr>
              <w:t xml:space="preserve">The remuneration levels in these guidelines do not constitute the Total Cost to the </w:t>
            </w:r>
            <w:r w:rsidR="00022E14">
              <w:rPr>
                <w:rStyle w:val="Hyperlink"/>
                <w:noProof/>
              </w:rPr>
              <w:br/>
            </w:r>
            <w:r w:rsidRPr="00547300">
              <w:rPr>
                <w:rStyle w:val="Hyperlink"/>
                <w:noProof/>
              </w:rPr>
              <w:t>Employer</w:t>
            </w:r>
            <w:r>
              <w:rPr>
                <w:noProof/>
                <w:webHidden/>
              </w:rPr>
              <w:tab/>
            </w:r>
            <w:r>
              <w:rPr>
                <w:noProof/>
                <w:webHidden/>
              </w:rPr>
              <w:fldChar w:fldCharType="begin"/>
            </w:r>
            <w:r>
              <w:rPr>
                <w:noProof/>
                <w:webHidden/>
              </w:rPr>
              <w:instrText xml:space="preserve"> PAGEREF _Toc176339475 \h </w:instrText>
            </w:r>
            <w:r>
              <w:rPr>
                <w:noProof/>
                <w:webHidden/>
              </w:rPr>
            </w:r>
            <w:r>
              <w:rPr>
                <w:noProof/>
                <w:webHidden/>
              </w:rPr>
              <w:fldChar w:fldCharType="separate"/>
            </w:r>
            <w:r>
              <w:rPr>
                <w:noProof/>
                <w:webHidden/>
              </w:rPr>
              <w:t>32</w:t>
            </w:r>
            <w:r>
              <w:rPr>
                <w:noProof/>
                <w:webHidden/>
              </w:rPr>
              <w:fldChar w:fldCharType="end"/>
            </w:r>
          </w:hyperlink>
        </w:p>
        <w:p w14:paraId="35D61B20" w14:textId="5BB36D0B" w:rsidR="00EE5807" w:rsidRDefault="00EE5807">
          <w:pPr>
            <w:pStyle w:val="TOC3"/>
            <w:rPr>
              <w:noProof/>
              <w:kern w:val="2"/>
              <w:sz w:val="24"/>
              <w:szCs w:val="24"/>
              <w:lang w:eastAsia="en-AU"/>
              <w14:ligatures w14:val="standardContextual"/>
            </w:rPr>
          </w:pPr>
          <w:hyperlink w:anchor="_Toc176339476" w:history="1">
            <w:r w:rsidRPr="00547300">
              <w:rPr>
                <w:rStyle w:val="Hyperlink"/>
                <w:noProof/>
              </w:rPr>
              <w:t>The remuneration levels in the Schedules to these Guidelines are exclusive of superannuation</w:t>
            </w:r>
            <w:r>
              <w:rPr>
                <w:noProof/>
                <w:webHidden/>
              </w:rPr>
              <w:tab/>
            </w:r>
            <w:r>
              <w:rPr>
                <w:noProof/>
                <w:webHidden/>
              </w:rPr>
              <w:fldChar w:fldCharType="begin"/>
            </w:r>
            <w:r>
              <w:rPr>
                <w:noProof/>
                <w:webHidden/>
              </w:rPr>
              <w:instrText xml:space="preserve"> PAGEREF _Toc176339476 \h </w:instrText>
            </w:r>
            <w:r>
              <w:rPr>
                <w:noProof/>
                <w:webHidden/>
              </w:rPr>
            </w:r>
            <w:r>
              <w:rPr>
                <w:noProof/>
                <w:webHidden/>
              </w:rPr>
              <w:fldChar w:fldCharType="separate"/>
            </w:r>
            <w:r>
              <w:rPr>
                <w:noProof/>
                <w:webHidden/>
              </w:rPr>
              <w:t>32</w:t>
            </w:r>
            <w:r>
              <w:rPr>
                <w:noProof/>
                <w:webHidden/>
              </w:rPr>
              <w:fldChar w:fldCharType="end"/>
            </w:r>
          </w:hyperlink>
        </w:p>
        <w:p w14:paraId="71DB7D27" w14:textId="05C93262" w:rsidR="00EE5807" w:rsidRDefault="00EE5807">
          <w:pPr>
            <w:pStyle w:val="TOC3"/>
            <w:rPr>
              <w:noProof/>
              <w:kern w:val="2"/>
              <w:sz w:val="24"/>
              <w:szCs w:val="24"/>
              <w:lang w:eastAsia="en-AU"/>
              <w14:ligatures w14:val="standardContextual"/>
            </w:rPr>
          </w:pPr>
          <w:hyperlink w:anchor="_Toc176339477" w:history="1">
            <w:r w:rsidRPr="00547300">
              <w:rPr>
                <w:rStyle w:val="Hyperlink"/>
                <w:noProof/>
              </w:rPr>
              <w:t>Workcover and Payroll tax costs</w:t>
            </w:r>
            <w:r>
              <w:rPr>
                <w:noProof/>
                <w:webHidden/>
              </w:rPr>
              <w:tab/>
            </w:r>
            <w:r>
              <w:rPr>
                <w:noProof/>
                <w:webHidden/>
              </w:rPr>
              <w:fldChar w:fldCharType="begin"/>
            </w:r>
            <w:r>
              <w:rPr>
                <w:noProof/>
                <w:webHidden/>
              </w:rPr>
              <w:instrText xml:space="preserve"> PAGEREF _Toc176339477 \h </w:instrText>
            </w:r>
            <w:r>
              <w:rPr>
                <w:noProof/>
                <w:webHidden/>
              </w:rPr>
            </w:r>
            <w:r>
              <w:rPr>
                <w:noProof/>
                <w:webHidden/>
              </w:rPr>
              <w:fldChar w:fldCharType="separate"/>
            </w:r>
            <w:r>
              <w:rPr>
                <w:noProof/>
                <w:webHidden/>
              </w:rPr>
              <w:t>32</w:t>
            </w:r>
            <w:r>
              <w:rPr>
                <w:noProof/>
                <w:webHidden/>
              </w:rPr>
              <w:fldChar w:fldCharType="end"/>
            </w:r>
          </w:hyperlink>
        </w:p>
        <w:p w14:paraId="0C5D3BE7" w14:textId="1C9E65E0" w:rsidR="00EE5807" w:rsidRDefault="00EE5807">
          <w:pPr>
            <w:pStyle w:val="TOC3"/>
            <w:rPr>
              <w:noProof/>
              <w:kern w:val="2"/>
              <w:sz w:val="24"/>
              <w:szCs w:val="24"/>
              <w:lang w:eastAsia="en-AU"/>
              <w14:ligatures w14:val="standardContextual"/>
            </w:rPr>
          </w:pPr>
          <w:hyperlink w:anchor="_Toc176339478" w:history="1">
            <w:r w:rsidRPr="00547300">
              <w:rPr>
                <w:rStyle w:val="Hyperlink"/>
                <w:noProof/>
              </w:rPr>
              <w:t>Provision of a motor vehicle to board members</w:t>
            </w:r>
            <w:r>
              <w:rPr>
                <w:noProof/>
                <w:webHidden/>
              </w:rPr>
              <w:tab/>
            </w:r>
            <w:r>
              <w:rPr>
                <w:noProof/>
                <w:webHidden/>
              </w:rPr>
              <w:fldChar w:fldCharType="begin"/>
            </w:r>
            <w:r>
              <w:rPr>
                <w:noProof/>
                <w:webHidden/>
              </w:rPr>
              <w:instrText xml:space="preserve"> PAGEREF _Toc176339478 \h </w:instrText>
            </w:r>
            <w:r>
              <w:rPr>
                <w:noProof/>
                <w:webHidden/>
              </w:rPr>
            </w:r>
            <w:r>
              <w:rPr>
                <w:noProof/>
                <w:webHidden/>
              </w:rPr>
              <w:fldChar w:fldCharType="separate"/>
            </w:r>
            <w:r>
              <w:rPr>
                <w:noProof/>
                <w:webHidden/>
              </w:rPr>
              <w:t>33</w:t>
            </w:r>
            <w:r>
              <w:rPr>
                <w:noProof/>
                <w:webHidden/>
              </w:rPr>
              <w:fldChar w:fldCharType="end"/>
            </w:r>
          </w:hyperlink>
        </w:p>
        <w:p w14:paraId="6FCFD4C6" w14:textId="10F3C37D" w:rsidR="00EE5807" w:rsidRDefault="00EE5807">
          <w:pPr>
            <w:pStyle w:val="TOC1"/>
            <w:rPr>
              <w:rFonts w:asciiTheme="minorHAnsi" w:eastAsiaTheme="minorEastAsia" w:hAnsiTheme="minorHAnsi" w:cstheme="minorBidi"/>
              <w:b w:val="0"/>
              <w:noProof/>
              <w:kern w:val="2"/>
              <w:sz w:val="24"/>
              <w:szCs w:val="24"/>
              <w:lang w:eastAsia="en-AU"/>
              <w14:ligatures w14:val="standardContextual"/>
            </w:rPr>
          </w:pPr>
          <w:hyperlink w:anchor="_Toc176339479" w:history="1">
            <w:r w:rsidRPr="00547300">
              <w:rPr>
                <w:rStyle w:val="Hyperlink"/>
                <w:noProof/>
              </w:rPr>
              <w:t>9.</w:t>
            </w:r>
            <w:r>
              <w:rPr>
                <w:rFonts w:asciiTheme="minorHAnsi" w:eastAsiaTheme="minorEastAsia" w:hAnsiTheme="minorHAnsi" w:cstheme="minorBidi"/>
                <w:b w:val="0"/>
                <w:noProof/>
                <w:kern w:val="2"/>
                <w:sz w:val="24"/>
                <w:szCs w:val="24"/>
                <w:lang w:eastAsia="en-AU"/>
                <w14:ligatures w14:val="standardContextual"/>
              </w:rPr>
              <w:tab/>
            </w:r>
            <w:r w:rsidRPr="00547300">
              <w:rPr>
                <w:rStyle w:val="Hyperlink"/>
                <w:noProof/>
              </w:rPr>
              <w:t>Approving an appointment</w:t>
            </w:r>
            <w:r>
              <w:rPr>
                <w:noProof/>
                <w:webHidden/>
              </w:rPr>
              <w:tab/>
            </w:r>
            <w:r>
              <w:rPr>
                <w:noProof/>
                <w:webHidden/>
              </w:rPr>
              <w:fldChar w:fldCharType="begin"/>
            </w:r>
            <w:r>
              <w:rPr>
                <w:noProof/>
                <w:webHidden/>
              </w:rPr>
              <w:instrText xml:space="preserve"> PAGEREF _Toc176339479 \h </w:instrText>
            </w:r>
            <w:r>
              <w:rPr>
                <w:noProof/>
                <w:webHidden/>
              </w:rPr>
            </w:r>
            <w:r>
              <w:rPr>
                <w:noProof/>
                <w:webHidden/>
              </w:rPr>
              <w:fldChar w:fldCharType="separate"/>
            </w:r>
            <w:r>
              <w:rPr>
                <w:noProof/>
                <w:webHidden/>
              </w:rPr>
              <w:t>34</w:t>
            </w:r>
            <w:r>
              <w:rPr>
                <w:noProof/>
                <w:webHidden/>
              </w:rPr>
              <w:fldChar w:fldCharType="end"/>
            </w:r>
          </w:hyperlink>
        </w:p>
        <w:p w14:paraId="13229131" w14:textId="631F8452" w:rsidR="00EE5807" w:rsidRDefault="00EE5807">
          <w:pPr>
            <w:pStyle w:val="TOC2"/>
            <w:rPr>
              <w:rFonts w:eastAsiaTheme="minorEastAsia" w:cstheme="minorBidi"/>
              <w:noProof/>
              <w:kern w:val="2"/>
              <w:sz w:val="24"/>
              <w:szCs w:val="24"/>
              <w:lang w:eastAsia="en-AU"/>
              <w14:ligatures w14:val="standardContextual"/>
            </w:rPr>
          </w:pPr>
          <w:hyperlink w:anchor="_Toc176339480" w:history="1">
            <w:r w:rsidRPr="00547300">
              <w:rPr>
                <w:rStyle w:val="Hyperlink"/>
                <w:noProof/>
              </w:rPr>
              <w:t>Cabinet approval</w:t>
            </w:r>
            <w:r>
              <w:rPr>
                <w:noProof/>
                <w:webHidden/>
              </w:rPr>
              <w:tab/>
            </w:r>
            <w:r>
              <w:rPr>
                <w:noProof/>
                <w:webHidden/>
              </w:rPr>
              <w:fldChar w:fldCharType="begin"/>
            </w:r>
            <w:r>
              <w:rPr>
                <w:noProof/>
                <w:webHidden/>
              </w:rPr>
              <w:instrText xml:space="preserve"> PAGEREF _Toc176339480 \h </w:instrText>
            </w:r>
            <w:r>
              <w:rPr>
                <w:noProof/>
                <w:webHidden/>
              </w:rPr>
            </w:r>
            <w:r>
              <w:rPr>
                <w:noProof/>
                <w:webHidden/>
              </w:rPr>
              <w:fldChar w:fldCharType="separate"/>
            </w:r>
            <w:r>
              <w:rPr>
                <w:noProof/>
                <w:webHidden/>
              </w:rPr>
              <w:t>34</w:t>
            </w:r>
            <w:r>
              <w:rPr>
                <w:noProof/>
                <w:webHidden/>
              </w:rPr>
              <w:fldChar w:fldCharType="end"/>
            </w:r>
          </w:hyperlink>
        </w:p>
        <w:p w14:paraId="3028AF96" w14:textId="0113D7C9" w:rsidR="00EE5807" w:rsidRDefault="00EE5807">
          <w:pPr>
            <w:pStyle w:val="TOC2"/>
            <w:rPr>
              <w:rFonts w:eastAsiaTheme="minorEastAsia" w:cstheme="minorBidi"/>
              <w:noProof/>
              <w:kern w:val="2"/>
              <w:sz w:val="24"/>
              <w:szCs w:val="24"/>
              <w:lang w:eastAsia="en-AU"/>
              <w14:ligatures w14:val="standardContextual"/>
            </w:rPr>
          </w:pPr>
          <w:hyperlink w:anchor="_Toc176339481" w:history="1">
            <w:r w:rsidRPr="00547300">
              <w:rPr>
                <w:rStyle w:val="Hyperlink"/>
                <w:noProof/>
              </w:rPr>
              <w:t>When may an appointment be made without Cabinet approval?</w:t>
            </w:r>
            <w:r>
              <w:rPr>
                <w:noProof/>
                <w:webHidden/>
              </w:rPr>
              <w:tab/>
            </w:r>
            <w:r>
              <w:rPr>
                <w:noProof/>
                <w:webHidden/>
              </w:rPr>
              <w:fldChar w:fldCharType="begin"/>
            </w:r>
            <w:r>
              <w:rPr>
                <w:noProof/>
                <w:webHidden/>
              </w:rPr>
              <w:instrText xml:space="preserve"> PAGEREF _Toc176339481 \h </w:instrText>
            </w:r>
            <w:r>
              <w:rPr>
                <w:noProof/>
                <w:webHidden/>
              </w:rPr>
            </w:r>
            <w:r>
              <w:rPr>
                <w:noProof/>
                <w:webHidden/>
              </w:rPr>
              <w:fldChar w:fldCharType="separate"/>
            </w:r>
            <w:r>
              <w:rPr>
                <w:noProof/>
                <w:webHidden/>
              </w:rPr>
              <w:t>34</w:t>
            </w:r>
            <w:r>
              <w:rPr>
                <w:noProof/>
                <w:webHidden/>
              </w:rPr>
              <w:fldChar w:fldCharType="end"/>
            </w:r>
          </w:hyperlink>
        </w:p>
        <w:p w14:paraId="23E4DC78" w14:textId="6091C180" w:rsidR="00EE5807" w:rsidRDefault="00EE5807">
          <w:pPr>
            <w:pStyle w:val="TOC3"/>
            <w:rPr>
              <w:noProof/>
              <w:kern w:val="2"/>
              <w:sz w:val="24"/>
              <w:szCs w:val="24"/>
              <w:lang w:eastAsia="en-AU"/>
              <w14:ligatures w14:val="standardContextual"/>
            </w:rPr>
          </w:pPr>
          <w:hyperlink w:anchor="_Toc176339482" w:history="1">
            <w:r w:rsidRPr="00547300">
              <w:rPr>
                <w:rStyle w:val="Hyperlink"/>
                <w:noProof/>
              </w:rPr>
              <w:t>Short-term appointments without Cabinet approval</w:t>
            </w:r>
            <w:r>
              <w:rPr>
                <w:noProof/>
                <w:webHidden/>
              </w:rPr>
              <w:tab/>
            </w:r>
            <w:r>
              <w:rPr>
                <w:noProof/>
                <w:webHidden/>
              </w:rPr>
              <w:fldChar w:fldCharType="begin"/>
            </w:r>
            <w:r>
              <w:rPr>
                <w:noProof/>
                <w:webHidden/>
              </w:rPr>
              <w:instrText xml:space="preserve"> PAGEREF _Toc176339482 \h </w:instrText>
            </w:r>
            <w:r>
              <w:rPr>
                <w:noProof/>
                <w:webHidden/>
              </w:rPr>
            </w:r>
            <w:r>
              <w:rPr>
                <w:noProof/>
                <w:webHidden/>
              </w:rPr>
              <w:fldChar w:fldCharType="separate"/>
            </w:r>
            <w:r>
              <w:rPr>
                <w:noProof/>
                <w:webHidden/>
              </w:rPr>
              <w:t>34</w:t>
            </w:r>
            <w:r>
              <w:rPr>
                <w:noProof/>
                <w:webHidden/>
              </w:rPr>
              <w:fldChar w:fldCharType="end"/>
            </w:r>
          </w:hyperlink>
        </w:p>
        <w:p w14:paraId="1DEAAC4E" w14:textId="7A069C8E" w:rsidR="00EE5807" w:rsidRDefault="00EE5807">
          <w:pPr>
            <w:pStyle w:val="TOC2"/>
            <w:rPr>
              <w:rFonts w:eastAsiaTheme="minorEastAsia" w:cstheme="minorBidi"/>
              <w:noProof/>
              <w:kern w:val="2"/>
              <w:sz w:val="24"/>
              <w:szCs w:val="24"/>
              <w:lang w:eastAsia="en-AU"/>
              <w14:ligatures w14:val="standardContextual"/>
            </w:rPr>
          </w:pPr>
          <w:hyperlink w:anchor="_Toc176339483" w:history="1">
            <w:r w:rsidRPr="00547300">
              <w:rPr>
                <w:rStyle w:val="Hyperlink"/>
                <w:noProof/>
              </w:rPr>
              <w:t>Statutory appointments may also need to be made by the Governor-in-Council</w:t>
            </w:r>
            <w:r>
              <w:rPr>
                <w:noProof/>
                <w:webHidden/>
              </w:rPr>
              <w:tab/>
            </w:r>
            <w:r>
              <w:rPr>
                <w:noProof/>
                <w:webHidden/>
              </w:rPr>
              <w:fldChar w:fldCharType="begin"/>
            </w:r>
            <w:r>
              <w:rPr>
                <w:noProof/>
                <w:webHidden/>
              </w:rPr>
              <w:instrText xml:space="preserve"> PAGEREF _Toc176339483 \h </w:instrText>
            </w:r>
            <w:r>
              <w:rPr>
                <w:noProof/>
                <w:webHidden/>
              </w:rPr>
            </w:r>
            <w:r>
              <w:rPr>
                <w:noProof/>
                <w:webHidden/>
              </w:rPr>
              <w:fldChar w:fldCharType="separate"/>
            </w:r>
            <w:r>
              <w:rPr>
                <w:noProof/>
                <w:webHidden/>
              </w:rPr>
              <w:t>35</w:t>
            </w:r>
            <w:r>
              <w:rPr>
                <w:noProof/>
                <w:webHidden/>
              </w:rPr>
              <w:fldChar w:fldCharType="end"/>
            </w:r>
          </w:hyperlink>
        </w:p>
        <w:p w14:paraId="4EE0F577" w14:textId="53474C19" w:rsidR="00EE5807" w:rsidRDefault="00EE5807">
          <w:pPr>
            <w:pStyle w:val="TOC1"/>
            <w:rPr>
              <w:rFonts w:asciiTheme="minorHAnsi" w:eastAsiaTheme="minorEastAsia" w:hAnsiTheme="minorHAnsi" w:cstheme="minorBidi"/>
              <w:b w:val="0"/>
              <w:noProof/>
              <w:kern w:val="2"/>
              <w:sz w:val="24"/>
              <w:szCs w:val="24"/>
              <w:lang w:eastAsia="en-AU"/>
              <w14:ligatures w14:val="standardContextual"/>
            </w:rPr>
          </w:pPr>
          <w:hyperlink w:anchor="_Toc176339484" w:history="1">
            <w:r w:rsidRPr="00547300">
              <w:rPr>
                <w:rStyle w:val="Hyperlink"/>
                <w:noProof/>
              </w:rPr>
              <w:t>10.</w:t>
            </w:r>
            <w:r>
              <w:rPr>
                <w:rFonts w:asciiTheme="minorHAnsi" w:eastAsiaTheme="minorEastAsia" w:hAnsiTheme="minorHAnsi" w:cstheme="minorBidi"/>
                <w:b w:val="0"/>
                <w:noProof/>
                <w:kern w:val="2"/>
                <w:sz w:val="24"/>
                <w:szCs w:val="24"/>
                <w:lang w:eastAsia="en-AU"/>
                <w14:ligatures w14:val="standardContextual"/>
              </w:rPr>
              <w:tab/>
            </w:r>
            <w:r w:rsidRPr="00547300">
              <w:rPr>
                <w:rStyle w:val="Hyperlink"/>
                <w:noProof/>
              </w:rPr>
              <w:t>Finalising an appointment</w:t>
            </w:r>
            <w:r>
              <w:rPr>
                <w:noProof/>
                <w:webHidden/>
              </w:rPr>
              <w:tab/>
            </w:r>
            <w:r>
              <w:rPr>
                <w:noProof/>
                <w:webHidden/>
              </w:rPr>
              <w:fldChar w:fldCharType="begin"/>
            </w:r>
            <w:r>
              <w:rPr>
                <w:noProof/>
                <w:webHidden/>
              </w:rPr>
              <w:instrText xml:space="preserve"> PAGEREF _Toc176339484 \h </w:instrText>
            </w:r>
            <w:r>
              <w:rPr>
                <w:noProof/>
                <w:webHidden/>
              </w:rPr>
            </w:r>
            <w:r>
              <w:rPr>
                <w:noProof/>
                <w:webHidden/>
              </w:rPr>
              <w:fldChar w:fldCharType="separate"/>
            </w:r>
            <w:r>
              <w:rPr>
                <w:noProof/>
                <w:webHidden/>
              </w:rPr>
              <w:t>36</w:t>
            </w:r>
            <w:r>
              <w:rPr>
                <w:noProof/>
                <w:webHidden/>
              </w:rPr>
              <w:fldChar w:fldCharType="end"/>
            </w:r>
          </w:hyperlink>
        </w:p>
        <w:p w14:paraId="2735BADC" w14:textId="46E01BE7" w:rsidR="00EE5807" w:rsidRDefault="00EE5807">
          <w:pPr>
            <w:pStyle w:val="TOC2"/>
            <w:rPr>
              <w:rFonts w:eastAsiaTheme="minorEastAsia" w:cstheme="minorBidi"/>
              <w:noProof/>
              <w:kern w:val="2"/>
              <w:sz w:val="24"/>
              <w:szCs w:val="24"/>
              <w:lang w:eastAsia="en-AU"/>
              <w14:ligatures w14:val="standardContextual"/>
            </w:rPr>
          </w:pPr>
          <w:hyperlink w:anchor="_Toc176339485" w:history="1">
            <w:r w:rsidRPr="00547300">
              <w:rPr>
                <w:rStyle w:val="Hyperlink"/>
                <w:noProof/>
              </w:rPr>
              <w:t>Advising appointees of their legal responsibilities</w:t>
            </w:r>
            <w:r>
              <w:rPr>
                <w:noProof/>
                <w:webHidden/>
              </w:rPr>
              <w:tab/>
            </w:r>
            <w:r>
              <w:rPr>
                <w:noProof/>
                <w:webHidden/>
              </w:rPr>
              <w:fldChar w:fldCharType="begin"/>
            </w:r>
            <w:r>
              <w:rPr>
                <w:noProof/>
                <w:webHidden/>
              </w:rPr>
              <w:instrText xml:space="preserve"> PAGEREF _Toc176339485 \h </w:instrText>
            </w:r>
            <w:r>
              <w:rPr>
                <w:noProof/>
                <w:webHidden/>
              </w:rPr>
            </w:r>
            <w:r>
              <w:rPr>
                <w:noProof/>
                <w:webHidden/>
              </w:rPr>
              <w:fldChar w:fldCharType="separate"/>
            </w:r>
            <w:r>
              <w:rPr>
                <w:noProof/>
                <w:webHidden/>
              </w:rPr>
              <w:t>36</w:t>
            </w:r>
            <w:r>
              <w:rPr>
                <w:noProof/>
                <w:webHidden/>
              </w:rPr>
              <w:fldChar w:fldCharType="end"/>
            </w:r>
          </w:hyperlink>
        </w:p>
        <w:p w14:paraId="534E6196" w14:textId="7FF4BCBD" w:rsidR="00EE5807" w:rsidRDefault="00EE5807">
          <w:pPr>
            <w:pStyle w:val="TOC2"/>
            <w:rPr>
              <w:rFonts w:eastAsiaTheme="minorEastAsia" w:cstheme="minorBidi"/>
              <w:noProof/>
              <w:kern w:val="2"/>
              <w:sz w:val="24"/>
              <w:szCs w:val="24"/>
              <w:lang w:eastAsia="en-AU"/>
              <w14:ligatures w14:val="standardContextual"/>
            </w:rPr>
          </w:pPr>
          <w:hyperlink w:anchor="_Toc176339486" w:history="1">
            <w:r w:rsidRPr="00547300">
              <w:rPr>
                <w:rStyle w:val="Hyperlink"/>
                <w:noProof/>
              </w:rPr>
              <w:t>Inducting board appointees</w:t>
            </w:r>
            <w:r>
              <w:rPr>
                <w:noProof/>
                <w:webHidden/>
              </w:rPr>
              <w:tab/>
            </w:r>
            <w:r>
              <w:rPr>
                <w:noProof/>
                <w:webHidden/>
              </w:rPr>
              <w:fldChar w:fldCharType="begin"/>
            </w:r>
            <w:r>
              <w:rPr>
                <w:noProof/>
                <w:webHidden/>
              </w:rPr>
              <w:instrText xml:space="preserve"> PAGEREF _Toc176339486 \h </w:instrText>
            </w:r>
            <w:r>
              <w:rPr>
                <w:noProof/>
                <w:webHidden/>
              </w:rPr>
            </w:r>
            <w:r>
              <w:rPr>
                <w:noProof/>
                <w:webHidden/>
              </w:rPr>
              <w:fldChar w:fldCharType="separate"/>
            </w:r>
            <w:r>
              <w:rPr>
                <w:noProof/>
                <w:webHidden/>
              </w:rPr>
              <w:t>36</w:t>
            </w:r>
            <w:r>
              <w:rPr>
                <w:noProof/>
                <w:webHidden/>
              </w:rPr>
              <w:fldChar w:fldCharType="end"/>
            </w:r>
          </w:hyperlink>
        </w:p>
        <w:p w14:paraId="0102A544" w14:textId="44833A08" w:rsidR="00EE5807" w:rsidRDefault="00EE5807">
          <w:pPr>
            <w:pStyle w:val="TOC2"/>
            <w:rPr>
              <w:rFonts w:eastAsiaTheme="minorEastAsia" w:cstheme="minorBidi"/>
              <w:noProof/>
              <w:kern w:val="2"/>
              <w:sz w:val="24"/>
              <w:szCs w:val="24"/>
              <w:lang w:eastAsia="en-AU"/>
              <w14:ligatures w14:val="standardContextual"/>
            </w:rPr>
          </w:pPr>
          <w:hyperlink w:anchor="_Toc176339487" w:history="1">
            <w:r w:rsidRPr="00547300">
              <w:rPr>
                <w:rStyle w:val="Hyperlink"/>
                <w:noProof/>
              </w:rPr>
              <w:t>Planning and reporting to support good governance</w:t>
            </w:r>
            <w:r>
              <w:rPr>
                <w:noProof/>
                <w:webHidden/>
              </w:rPr>
              <w:tab/>
            </w:r>
            <w:r>
              <w:rPr>
                <w:noProof/>
                <w:webHidden/>
              </w:rPr>
              <w:fldChar w:fldCharType="begin"/>
            </w:r>
            <w:r>
              <w:rPr>
                <w:noProof/>
                <w:webHidden/>
              </w:rPr>
              <w:instrText xml:space="preserve"> PAGEREF _Toc176339487 \h </w:instrText>
            </w:r>
            <w:r>
              <w:rPr>
                <w:noProof/>
                <w:webHidden/>
              </w:rPr>
            </w:r>
            <w:r>
              <w:rPr>
                <w:noProof/>
                <w:webHidden/>
              </w:rPr>
              <w:fldChar w:fldCharType="separate"/>
            </w:r>
            <w:r>
              <w:rPr>
                <w:noProof/>
                <w:webHidden/>
              </w:rPr>
              <w:t>37</w:t>
            </w:r>
            <w:r>
              <w:rPr>
                <w:noProof/>
                <w:webHidden/>
              </w:rPr>
              <w:fldChar w:fldCharType="end"/>
            </w:r>
          </w:hyperlink>
        </w:p>
        <w:p w14:paraId="5D8AD926" w14:textId="702E1226" w:rsidR="00EE5807" w:rsidRDefault="00EE5807">
          <w:pPr>
            <w:pStyle w:val="TOC1"/>
            <w:rPr>
              <w:rFonts w:asciiTheme="minorHAnsi" w:eastAsiaTheme="minorEastAsia" w:hAnsiTheme="minorHAnsi" w:cstheme="minorBidi"/>
              <w:b w:val="0"/>
              <w:noProof/>
              <w:kern w:val="2"/>
              <w:sz w:val="24"/>
              <w:szCs w:val="24"/>
              <w:lang w:eastAsia="en-AU"/>
              <w14:ligatures w14:val="standardContextual"/>
            </w:rPr>
          </w:pPr>
          <w:hyperlink w:anchor="_Toc176339488" w:history="1">
            <w:r w:rsidRPr="00547300">
              <w:rPr>
                <w:rStyle w:val="Hyperlink"/>
                <w:noProof/>
              </w:rPr>
              <w:t>11.</w:t>
            </w:r>
            <w:r>
              <w:rPr>
                <w:rFonts w:asciiTheme="minorHAnsi" w:eastAsiaTheme="minorEastAsia" w:hAnsiTheme="minorHAnsi" w:cstheme="minorBidi"/>
                <w:b w:val="0"/>
                <w:noProof/>
                <w:kern w:val="2"/>
                <w:sz w:val="24"/>
                <w:szCs w:val="24"/>
                <w:lang w:eastAsia="en-AU"/>
                <w14:ligatures w14:val="standardContextual"/>
              </w:rPr>
              <w:tab/>
            </w:r>
            <w:r w:rsidRPr="00547300">
              <w:rPr>
                <w:rStyle w:val="Hyperlink"/>
                <w:noProof/>
              </w:rPr>
              <w:t>Privacy and data protection</w:t>
            </w:r>
            <w:r>
              <w:rPr>
                <w:noProof/>
                <w:webHidden/>
              </w:rPr>
              <w:tab/>
            </w:r>
            <w:r>
              <w:rPr>
                <w:noProof/>
                <w:webHidden/>
              </w:rPr>
              <w:fldChar w:fldCharType="begin"/>
            </w:r>
            <w:r>
              <w:rPr>
                <w:noProof/>
                <w:webHidden/>
              </w:rPr>
              <w:instrText xml:space="preserve"> PAGEREF _Toc176339488 \h </w:instrText>
            </w:r>
            <w:r>
              <w:rPr>
                <w:noProof/>
                <w:webHidden/>
              </w:rPr>
            </w:r>
            <w:r>
              <w:rPr>
                <w:noProof/>
                <w:webHidden/>
              </w:rPr>
              <w:fldChar w:fldCharType="separate"/>
            </w:r>
            <w:r>
              <w:rPr>
                <w:noProof/>
                <w:webHidden/>
              </w:rPr>
              <w:t>38</w:t>
            </w:r>
            <w:r>
              <w:rPr>
                <w:noProof/>
                <w:webHidden/>
              </w:rPr>
              <w:fldChar w:fldCharType="end"/>
            </w:r>
          </w:hyperlink>
        </w:p>
        <w:p w14:paraId="32B97088" w14:textId="5B6ED826" w:rsidR="00EE5807" w:rsidRDefault="00EE5807">
          <w:pPr>
            <w:pStyle w:val="TOC1"/>
            <w:rPr>
              <w:rFonts w:asciiTheme="minorHAnsi" w:eastAsiaTheme="minorEastAsia" w:hAnsiTheme="minorHAnsi" w:cstheme="minorBidi"/>
              <w:b w:val="0"/>
              <w:noProof/>
              <w:kern w:val="2"/>
              <w:sz w:val="24"/>
              <w:szCs w:val="24"/>
              <w:lang w:eastAsia="en-AU"/>
              <w14:ligatures w14:val="standardContextual"/>
            </w:rPr>
          </w:pPr>
          <w:hyperlink w:anchor="_Toc176339489" w:history="1">
            <w:r w:rsidRPr="00547300">
              <w:rPr>
                <w:rStyle w:val="Hyperlink"/>
                <w:noProof/>
              </w:rPr>
              <w:t>12.</w:t>
            </w:r>
            <w:r>
              <w:rPr>
                <w:rFonts w:asciiTheme="minorHAnsi" w:eastAsiaTheme="minorEastAsia" w:hAnsiTheme="minorHAnsi" w:cstheme="minorBidi"/>
                <w:b w:val="0"/>
                <w:noProof/>
                <w:kern w:val="2"/>
                <w:sz w:val="24"/>
                <w:szCs w:val="24"/>
                <w:lang w:eastAsia="en-AU"/>
                <w14:ligatures w14:val="standardContextual"/>
              </w:rPr>
              <w:tab/>
            </w:r>
            <w:r w:rsidRPr="00547300">
              <w:rPr>
                <w:rStyle w:val="Hyperlink"/>
                <w:noProof/>
              </w:rPr>
              <w:t>Resources</w:t>
            </w:r>
            <w:r>
              <w:rPr>
                <w:noProof/>
                <w:webHidden/>
              </w:rPr>
              <w:tab/>
            </w:r>
            <w:r>
              <w:rPr>
                <w:noProof/>
                <w:webHidden/>
              </w:rPr>
              <w:fldChar w:fldCharType="begin"/>
            </w:r>
            <w:r>
              <w:rPr>
                <w:noProof/>
                <w:webHidden/>
              </w:rPr>
              <w:instrText xml:space="preserve"> PAGEREF _Toc176339489 \h </w:instrText>
            </w:r>
            <w:r>
              <w:rPr>
                <w:noProof/>
                <w:webHidden/>
              </w:rPr>
            </w:r>
            <w:r>
              <w:rPr>
                <w:noProof/>
                <w:webHidden/>
              </w:rPr>
              <w:fldChar w:fldCharType="separate"/>
            </w:r>
            <w:r>
              <w:rPr>
                <w:noProof/>
                <w:webHidden/>
              </w:rPr>
              <w:t>39</w:t>
            </w:r>
            <w:r>
              <w:rPr>
                <w:noProof/>
                <w:webHidden/>
              </w:rPr>
              <w:fldChar w:fldCharType="end"/>
            </w:r>
          </w:hyperlink>
        </w:p>
        <w:p w14:paraId="0F1EDBAA" w14:textId="446BD89F" w:rsidR="00EE5807" w:rsidRDefault="00EE5807">
          <w:pPr>
            <w:pStyle w:val="TOC2"/>
            <w:rPr>
              <w:rFonts w:eastAsiaTheme="minorEastAsia" w:cstheme="minorBidi"/>
              <w:noProof/>
              <w:kern w:val="2"/>
              <w:sz w:val="24"/>
              <w:szCs w:val="24"/>
              <w:lang w:eastAsia="en-AU"/>
              <w14:ligatures w14:val="standardContextual"/>
            </w:rPr>
          </w:pPr>
          <w:hyperlink w:anchor="_Toc176339490" w:history="1">
            <w:r w:rsidRPr="00547300">
              <w:rPr>
                <w:rStyle w:val="Hyperlink"/>
                <w:noProof/>
              </w:rPr>
              <w:t>Schedule A: Group A organisations</w:t>
            </w:r>
            <w:r>
              <w:rPr>
                <w:noProof/>
                <w:webHidden/>
              </w:rPr>
              <w:tab/>
            </w:r>
            <w:r>
              <w:rPr>
                <w:noProof/>
                <w:webHidden/>
              </w:rPr>
              <w:fldChar w:fldCharType="begin"/>
            </w:r>
            <w:r>
              <w:rPr>
                <w:noProof/>
                <w:webHidden/>
              </w:rPr>
              <w:instrText xml:space="preserve"> PAGEREF _Toc176339490 \h </w:instrText>
            </w:r>
            <w:r>
              <w:rPr>
                <w:noProof/>
                <w:webHidden/>
              </w:rPr>
            </w:r>
            <w:r>
              <w:rPr>
                <w:noProof/>
                <w:webHidden/>
              </w:rPr>
              <w:fldChar w:fldCharType="separate"/>
            </w:r>
            <w:r>
              <w:rPr>
                <w:noProof/>
                <w:webHidden/>
              </w:rPr>
              <w:t>40</w:t>
            </w:r>
            <w:r>
              <w:rPr>
                <w:noProof/>
                <w:webHidden/>
              </w:rPr>
              <w:fldChar w:fldCharType="end"/>
            </w:r>
          </w:hyperlink>
        </w:p>
        <w:p w14:paraId="2DDDBC76" w14:textId="3D199892" w:rsidR="00EE5807" w:rsidRDefault="00EE5807">
          <w:pPr>
            <w:pStyle w:val="TOC2"/>
            <w:rPr>
              <w:rFonts w:eastAsiaTheme="minorEastAsia" w:cstheme="minorBidi"/>
              <w:noProof/>
              <w:kern w:val="2"/>
              <w:sz w:val="24"/>
              <w:szCs w:val="24"/>
              <w:lang w:eastAsia="en-AU"/>
              <w14:ligatures w14:val="standardContextual"/>
            </w:rPr>
          </w:pPr>
          <w:hyperlink w:anchor="_Toc176339491" w:history="1">
            <w:r w:rsidRPr="00547300">
              <w:rPr>
                <w:rStyle w:val="Hyperlink"/>
                <w:noProof/>
              </w:rPr>
              <w:t>Schedule B: Group B organisations</w:t>
            </w:r>
            <w:r>
              <w:rPr>
                <w:noProof/>
                <w:webHidden/>
              </w:rPr>
              <w:tab/>
            </w:r>
            <w:r>
              <w:rPr>
                <w:noProof/>
                <w:webHidden/>
              </w:rPr>
              <w:fldChar w:fldCharType="begin"/>
            </w:r>
            <w:r>
              <w:rPr>
                <w:noProof/>
                <w:webHidden/>
              </w:rPr>
              <w:instrText xml:space="preserve"> PAGEREF _Toc176339491 \h </w:instrText>
            </w:r>
            <w:r>
              <w:rPr>
                <w:noProof/>
                <w:webHidden/>
              </w:rPr>
            </w:r>
            <w:r>
              <w:rPr>
                <w:noProof/>
                <w:webHidden/>
              </w:rPr>
              <w:fldChar w:fldCharType="separate"/>
            </w:r>
            <w:r>
              <w:rPr>
                <w:noProof/>
                <w:webHidden/>
              </w:rPr>
              <w:t>42</w:t>
            </w:r>
            <w:r>
              <w:rPr>
                <w:noProof/>
                <w:webHidden/>
              </w:rPr>
              <w:fldChar w:fldCharType="end"/>
            </w:r>
          </w:hyperlink>
        </w:p>
        <w:p w14:paraId="2E93BB15" w14:textId="1D4E6264" w:rsidR="00EE5807" w:rsidRDefault="00EE5807">
          <w:pPr>
            <w:pStyle w:val="TOC2"/>
            <w:rPr>
              <w:rFonts w:eastAsiaTheme="minorEastAsia" w:cstheme="minorBidi"/>
              <w:noProof/>
              <w:kern w:val="2"/>
              <w:sz w:val="24"/>
              <w:szCs w:val="24"/>
              <w:lang w:eastAsia="en-AU"/>
              <w14:ligatures w14:val="standardContextual"/>
            </w:rPr>
          </w:pPr>
          <w:hyperlink w:anchor="_Toc176339492" w:history="1">
            <w:r w:rsidRPr="00547300">
              <w:rPr>
                <w:rStyle w:val="Hyperlink"/>
                <w:noProof/>
              </w:rPr>
              <w:t>Schedule C: Group C organisations</w:t>
            </w:r>
            <w:r>
              <w:rPr>
                <w:noProof/>
                <w:webHidden/>
              </w:rPr>
              <w:tab/>
            </w:r>
            <w:r>
              <w:rPr>
                <w:noProof/>
                <w:webHidden/>
              </w:rPr>
              <w:fldChar w:fldCharType="begin"/>
            </w:r>
            <w:r>
              <w:rPr>
                <w:noProof/>
                <w:webHidden/>
              </w:rPr>
              <w:instrText xml:space="preserve"> PAGEREF _Toc176339492 \h </w:instrText>
            </w:r>
            <w:r>
              <w:rPr>
                <w:noProof/>
                <w:webHidden/>
              </w:rPr>
            </w:r>
            <w:r>
              <w:rPr>
                <w:noProof/>
                <w:webHidden/>
              </w:rPr>
              <w:fldChar w:fldCharType="separate"/>
            </w:r>
            <w:r>
              <w:rPr>
                <w:noProof/>
                <w:webHidden/>
              </w:rPr>
              <w:t>43</w:t>
            </w:r>
            <w:r>
              <w:rPr>
                <w:noProof/>
                <w:webHidden/>
              </w:rPr>
              <w:fldChar w:fldCharType="end"/>
            </w:r>
          </w:hyperlink>
        </w:p>
        <w:p w14:paraId="747CE1A7" w14:textId="5CC225DF" w:rsidR="00EE5807" w:rsidRDefault="00EE5807">
          <w:pPr>
            <w:pStyle w:val="TOC2"/>
            <w:rPr>
              <w:rFonts w:eastAsiaTheme="minorEastAsia" w:cstheme="minorBidi"/>
              <w:noProof/>
              <w:kern w:val="2"/>
              <w:sz w:val="24"/>
              <w:szCs w:val="24"/>
              <w:lang w:eastAsia="en-AU"/>
              <w14:ligatures w14:val="standardContextual"/>
            </w:rPr>
          </w:pPr>
          <w:hyperlink w:anchor="_Toc176339493" w:history="1">
            <w:r w:rsidRPr="00547300">
              <w:rPr>
                <w:rStyle w:val="Hyperlink"/>
                <w:noProof/>
              </w:rPr>
              <w:t>Schedule D: Group D organisations</w:t>
            </w:r>
            <w:r>
              <w:rPr>
                <w:noProof/>
                <w:webHidden/>
              </w:rPr>
              <w:tab/>
            </w:r>
            <w:r>
              <w:rPr>
                <w:noProof/>
                <w:webHidden/>
              </w:rPr>
              <w:fldChar w:fldCharType="begin"/>
            </w:r>
            <w:r>
              <w:rPr>
                <w:noProof/>
                <w:webHidden/>
              </w:rPr>
              <w:instrText xml:space="preserve"> PAGEREF _Toc176339493 \h </w:instrText>
            </w:r>
            <w:r>
              <w:rPr>
                <w:noProof/>
                <w:webHidden/>
              </w:rPr>
            </w:r>
            <w:r>
              <w:rPr>
                <w:noProof/>
                <w:webHidden/>
              </w:rPr>
              <w:fldChar w:fldCharType="separate"/>
            </w:r>
            <w:r>
              <w:rPr>
                <w:noProof/>
                <w:webHidden/>
              </w:rPr>
              <w:t>44</w:t>
            </w:r>
            <w:r>
              <w:rPr>
                <w:noProof/>
                <w:webHidden/>
              </w:rPr>
              <w:fldChar w:fldCharType="end"/>
            </w:r>
          </w:hyperlink>
        </w:p>
        <w:p w14:paraId="75E9B961" w14:textId="46EA333E" w:rsidR="00EE5807" w:rsidRDefault="00EE5807">
          <w:pPr>
            <w:pStyle w:val="TOC1"/>
            <w:rPr>
              <w:rFonts w:asciiTheme="minorHAnsi" w:eastAsiaTheme="minorEastAsia" w:hAnsiTheme="minorHAnsi" w:cstheme="minorBidi"/>
              <w:b w:val="0"/>
              <w:noProof/>
              <w:kern w:val="2"/>
              <w:sz w:val="24"/>
              <w:szCs w:val="24"/>
              <w:lang w:eastAsia="en-AU"/>
              <w14:ligatures w14:val="standardContextual"/>
            </w:rPr>
          </w:pPr>
          <w:hyperlink w:anchor="_Toc176339494" w:history="1">
            <w:r w:rsidRPr="00547300">
              <w:rPr>
                <w:rStyle w:val="Hyperlink"/>
                <w:noProof/>
              </w:rPr>
              <w:t>Appendix A – Template Forms</w:t>
            </w:r>
            <w:r>
              <w:rPr>
                <w:noProof/>
                <w:webHidden/>
              </w:rPr>
              <w:tab/>
            </w:r>
            <w:r>
              <w:rPr>
                <w:noProof/>
                <w:webHidden/>
              </w:rPr>
              <w:fldChar w:fldCharType="begin"/>
            </w:r>
            <w:r>
              <w:rPr>
                <w:noProof/>
                <w:webHidden/>
              </w:rPr>
              <w:instrText xml:space="preserve"> PAGEREF _Toc176339494 \h </w:instrText>
            </w:r>
            <w:r>
              <w:rPr>
                <w:noProof/>
                <w:webHidden/>
              </w:rPr>
            </w:r>
            <w:r>
              <w:rPr>
                <w:noProof/>
                <w:webHidden/>
              </w:rPr>
              <w:fldChar w:fldCharType="separate"/>
            </w:r>
            <w:r>
              <w:rPr>
                <w:noProof/>
                <w:webHidden/>
              </w:rPr>
              <w:t>45</w:t>
            </w:r>
            <w:r>
              <w:rPr>
                <w:noProof/>
                <w:webHidden/>
              </w:rPr>
              <w:fldChar w:fldCharType="end"/>
            </w:r>
          </w:hyperlink>
        </w:p>
        <w:p w14:paraId="2279A5DE" w14:textId="2B1F41DE" w:rsidR="00EE5807" w:rsidRDefault="00EE5807">
          <w:pPr>
            <w:pStyle w:val="TOC2"/>
            <w:rPr>
              <w:rFonts w:eastAsiaTheme="minorEastAsia" w:cstheme="minorBidi"/>
              <w:noProof/>
              <w:kern w:val="2"/>
              <w:sz w:val="24"/>
              <w:szCs w:val="24"/>
              <w:lang w:eastAsia="en-AU"/>
              <w14:ligatures w14:val="standardContextual"/>
            </w:rPr>
          </w:pPr>
          <w:hyperlink w:anchor="_Toc176339495" w:history="1">
            <w:r w:rsidRPr="00547300">
              <w:rPr>
                <w:rStyle w:val="Hyperlink"/>
                <w:noProof/>
              </w:rPr>
              <w:t>Declaration of Private Interests Form</w:t>
            </w:r>
            <w:r>
              <w:rPr>
                <w:noProof/>
                <w:webHidden/>
              </w:rPr>
              <w:tab/>
            </w:r>
            <w:r>
              <w:rPr>
                <w:noProof/>
                <w:webHidden/>
              </w:rPr>
              <w:fldChar w:fldCharType="begin"/>
            </w:r>
            <w:r>
              <w:rPr>
                <w:noProof/>
                <w:webHidden/>
              </w:rPr>
              <w:instrText xml:space="preserve"> PAGEREF _Toc176339495 \h </w:instrText>
            </w:r>
            <w:r>
              <w:rPr>
                <w:noProof/>
                <w:webHidden/>
              </w:rPr>
            </w:r>
            <w:r>
              <w:rPr>
                <w:noProof/>
                <w:webHidden/>
              </w:rPr>
              <w:fldChar w:fldCharType="separate"/>
            </w:r>
            <w:r>
              <w:rPr>
                <w:noProof/>
                <w:webHidden/>
              </w:rPr>
              <w:t>45</w:t>
            </w:r>
            <w:r>
              <w:rPr>
                <w:noProof/>
                <w:webHidden/>
              </w:rPr>
              <w:fldChar w:fldCharType="end"/>
            </w:r>
          </w:hyperlink>
        </w:p>
        <w:p w14:paraId="2FDCF138" w14:textId="5905A5CF" w:rsidR="00EE5807" w:rsidRDefault="00EE5807">
          <w:pPr>
            <w:pStyle w:val="TOC2"/>
            <w:rPr>
              <w:rFonts w:eastAsiaTheme="minorEastAsia" w:cstheme="minorBidi"/>
              <w:noProof/>
              <w:kern w:val="2"/>
              <w:sz w:val="24"/>
              <w:szCs w:val="24"/>
              <w:lang w:eastAsia="en-AU"/>
              <w14:ligatures w14:val="standardContextual"/>
            </w:rPr>
          </w:pPr>
          <w:hyperlink w:anchor="_Toc176339496" w:history="1">
            <w:r w:rsidRPr="00547300">
              <w:rPr>
                <w:rStyle w:val="Hyperlink"/>
                <w:noProof/>
              </w:rPr>
              <w:t>Personal Information and Privacy Consent Form</w:t>
            </w:r>
            <w:r>
              <w:rPr>
                <w:noProof/>
                <w:webHidden/>
              </w:rPr>
              <w:tab/>
            </w:r>
            <w:r>
              <w:rPr>
                <w:noProof/>
                <w:webHidden/>
              </w:rPr>
              <w:fldChar w:fldCharType="begin"/>
            </w:r>
            <w:r>
              <w:rPr>
                <w:noProof/>
                <w:webHidden/>
              </w:rPr>
              <w:instrText xml:space="preserve"> PAGEREF _Toc176339496 \h </w:instrText>
            </w:r>
            <w:r>
              <w:rPr>
                <w:noProof/>
                <w:webHidden/>
              </w:rPr>
            </w:r>
            <w:r>
              <w:rPr>
                <w:noProof/>
                <w:webHidden/>
              </w:rPr>
              <w:fldChar w:fldCharType="separate"/>
            </w:r>
            <w:r>
              <w:rPr>
                <w:noProof/>
                <w:webHidden/>
              </w:rPr>
              <w:t>45</w:t>
            </w:r>
            <w:r>
              <w:rPr>
                <w:noProof/>
                <w:webHidden/>
              </w:rPr>
              <w:fldChar w:fldCharType="end"/>
            </w:r>
          </w:hyperlink>
        </w:p>
        <w:p w14:paraId="4A1EB454" w14:textId="2488BFAD" w:rsidR="00EE5807" w:rsidRDefault="00EE5807">
          <w:pPr>
            <w:pStyle w:val="TOC1"/>
            <w:rPr>
              <w:rFonts w:asciiTheme="minorHAnsi" w:eastAsiaTheme="minorEastAsia" w:hAnsiTheme="minorHAnsi" w:cstheme="minorBidi"/>
              <w:b w:val="0"/>
              <w:noProof/>
              <w:kern w:val="2"/>
              <w:sz w:val="24"/>
              <w:szCs w:val="24"/>
              <w:lang w:eastAsia="en-AU"/>
              <w14:ligatures w14:val="standardContextual"/>
            </w:rPr>
          </w:pPr>
          <w:hyperlink w:anchor="_Toc176339497" w:history="1">
            <w:r w:rsidRPr="00547300">
              <w:rPr>
                <w:rStyle w:val="Hyperlink"/>
                <w:noProof/>
              </w:rPr>
              <w:t>Appendix B – Checklist</w:t>
            </w:r>
            <w:r>
              <w:rPr>
                <w:noProof/>
                <w:webHidden/>
              </w:rPr>
              <w:tab/>
            </w:r>
            <w:r>
              <w:rPr>
                <w:noProof/>
                <w:webHidden/>
              </w:rPr>
              <w:fldChar w:fldCharType="begin"/>
            </w:r>
            <w:r>
              <w:rPr>
                <w:noProof/>
                <w:webHidden/>
              </w:rPr>
              <w:instrText xml:space="preserve"> PAGEREF _Toc176339497 \h </w:instrText>
            </w:r>
            <w:r>
              <w:rPr>
                <w:noProof/>
                <w:webHidden/>
              </w:rPr>
            </w:r>
            <w:r>
              <w:rPr>
                <w:noProof/>
                <w:webHidden/>
              </w:rPr>
              <w:fldChar w:fldCharType="separate"/>
            </w:r>
            <w:r>
              <w:rPr>
                <w:noProof/>
                <w:webHidden/>
              </w:rPr>
              <w:t>46</w:t>
            </w:r>
            <w:r>
              <w:rPr>
                <w:noProof/>
                <w:webHidden/>
              </w:rPr>
              <w:fldChar w:fldCharType="end"/>
            </w:r>
          </w:hyperlink>
        </w:p>
        <w:p w14:paraId="4BC95A58" w14:textId="16F8E331" w:rsidR="00474864" w:rsidRDefault="003E7B8D" w:rsidP="00474864">
          <w:pPr>
            <w:pStyle w:val="BodyText"/>
            <w:rPr>
              <w:noProof/>
            </w:rPr>
          </w:pPr>
          <w:r>
            <w:rPr>
              <w:rFonts w:asciiTheme="majorHAnsi" w:eastAsia="Calibri" w:hAnsiTheme="majorHAnsi" w:cs="Calibri"/>
              <w:b/>
              <w:color w:val="0072CE" w:themeColor="accent1"/>
            </w:rPr>
            <w:fldChar w:fldCharType="end"/>
          </w:r>
        </w:p>
      </w:sdtContent>
    </w:sdt>
    <w:p w14:paraId="069BC720" w14:textId="77777777" w:rsidR="00345BF7" w:rsidRDefault="00345BF7" w:rsidP="000A5A67">
      <w:pPr>
        <w:pStyle w:val="BodyText"/>
      </w:pPr>
    </w:p>
    <w:p w14:paraId="2132D258" w14:textId="77777777" w:rsidR="00281903" w:rsidRPr="00281903" w:rsidRDefault="00281903" w:rsidP="00281903">
      <w:pPr>
        <w:pStyle w:val="BodyText"/>
        <w:sectPr w:rsidR="00281903" w:rsidRPr="00281903" w:rsidSect="006F3B0F">
          <w:footerReference w:type="even" r:id="rId18"/>
          <w:footerReference w:type="first" r:id="rId19"/>
          <w:pgSz w:w="11906" w:h="16838" w:code="9"/>
          <w:pgMar w:top="851" w:right="851" w:bottom="851" w:left="851" w:header="397" w:footer="454" w:gutter="0"/>
          <w:pgNumType w:start="0"/>
          <w:cols w:space="708"/>
          <w:titlePg/>
          <w:docGrid w:linePitch="360"/>
        </w:sectPr>
      </w:pPr>
    </w:p>
    <w:p w14:paraId="0E607371" w14:textId="77777777" w:rsidR="0054547D" w:rsidRPr="00B573C5" w:rsidRDefault="0054547D" w:rsidP="0054547D">
      <w:pPr>
        <w:pStyle w:val="Heading1"/>
        <w:numPr>
          <w:ilvl w:val="0"/>
          <w:numId w:val="19"/>
        </w:numPr>
        <w:ind w:left="426" w:hanging="425"/>
      </w:pPr>
      <w:bookmarkStart w:id="3" w:name="_Toc147909813"/>
      <w:bookmarkStart w:id="4" w:name="_Toc176339423"/>
      <w:r>
        <w:lastRenderedPageBreak/>
        <w:t>The Guidelines support good governance of Victorian government entities</w:t>
      </w:r>
      <w:bookmarkEnd w:id="3"/>
      <w:bookmarkEnd w:id="4"/>
    </w:p>
    <w:p w14:paraId="2539772A" w14:textId="77777777" w:rsidR="0054547D" w:rsidRDefault="0054547D" w:rsidP="0054547D">
      <w:pPr>
        <w:pStyle w:val="DPCbody"/>
        <w:numPr>
          <w:ilvl w:val="1"/>
          <w:numId w:val="18"/>
        </w:numPr>
        <w:ind w:left="851" w:hanging="567"/>
      </w:pPr>
      <w:r>
        <w:t xml:space="preserve">These Guidelines are issued by the Premier to </w:t>
      </w:r>
      <w:r w:rsidRPr="0065764A">
        <w:t>support good governance in Victoria by outlining the standard processes and principles to appoint and remunerate appointees to Victorian government non-departmental entities</w:t>
      </w:r>
      <w:r w:rsidRPr="008C748D">
        <w:t>.</w:t>
      </w:r>
    </w:p>
    <w:p w14:paraId="289D5A2E" w14:textId="77777777" w:rsidR="0054547D" w:rsidRPr="00BA5151" w:rsidRDefault="0054547D" w:rsidP="0054547D">
      <w:pPr>
        <w:pStyle w:val="DPCbody"/>
        <w:numPr>
          <w:ilvl w:val="1"/>
          <w:numId w:val="18"/>
        </w:numPr>
        <w:ind w:left="851" w:hanging="567"/>
        <w:rPr>
          <w:rStyle w:val="Hyperlink"/>
        </w:rPr>
      </w:pPr>
      <w:r w:rsidRPr="00BA5151">
        <w:t xml:space="preserve">Non-departmental entities play an important role in the Victorian government. These entities often manage significant services and funds on behalf of the community or provide advice to assist with significant government policy decision making. Further detail on the types of entities that are within scope of the Guidelines is at </w:t>
      </w:r>
      <w:hyperlink w:anchor="_The_Guidelines_apply">
        <w:r w:rsidRPr="00760C67">
          <w:rPr>
            <w:rStyle w:val="Hyperlink"/>
            <w:color w:val="0072CE" w:themeColor="accent1"/>
            <w:u w:val="single"/>
          </w:rPr>
          <w:t>section 2</w:t>
        </w:r>
        <w:r w:rsidRPr="00BA5151">
          <w:rPr>
            <w:rStyle w:val="Hyperlink"/>
          </w:rPr>
          <w:t>.</w:t>
        </w:r>
      </w:hyperlink>
    </w:p>
    <w:p w14:paraId="37995AF9" w14:textId="77777777" w:rsidR="0054547D" w:rsidRDefault="0054547D" w:rsidP="0054547D">
      <w:pPr>
        <w:pStyle w:val="DPCbody"/>
        <w:numPr>
          <w:ilvl w:val="1"/>
          <w:numId w:val="18"/>
        </w:numPr>
        <w:ind w:left="851" w:hanging="567"/>
      </w:pPr>
      <w:r w:rsidRPr="008717DA">
        <w:t>The</w:t>
      </w:r>
      <w:r>
        <w:t xml:space="preserve"> standard processes in the</w:t>
      </w:r>
      <w:r w:rsidRPr="008717DA">
        <w:t>se Guidelines ensure the integrity of</w:t>
      </w:r>
      <w:r>
        <w:t xml:space="preserve"> </w:t>
      </w:r>
      <w:r w:rsidRPr="008717DA">
        <w:t>appointment</w:t>
      </w:r>
      <w:r>
        <w:t>s</w:t>
      </w:r>
      <w:r w:rsidRPr="00B10CFE">
        <w:t>,</w:t>
      </w:r>
      <w:r w:rsidRPr="008717DA">
        <w:t xml:space="preserve"> and a fair and consistent approach to appointments </w:t>
      </w:r>
      <w:r>
        <w:t>to non-departmental entities</w:t>
      </w:r>
      <w:r w:rsidRPr="008717DA">
        <w:t>.</w:t>
      </w:r>
    </w:p>
    <w:p w14:paraId="25F0A092" w14:textId="4632D0E3" w:rsidR="0046601D" w:rsidRDefault="0054547D" w:rsidP="0046601D">
      <w:pPr>
        <w:pStyle w:val="DPCbody"/>
        <w:numPr>
          <w:ilvl w:val="1"/>
          <w:numId w:val="18"/>
        </w:numPr>
        <w:ind w:left="851" w:hanging="567"/>
      </w:pPr>
      <w:r>
        <w:t>These Guidelines are issued by the Premier and administered by t</w:t>
      </w:r>
      <w:r w:rsidRPr="00310CEF">
        <w:t>he</w:t>
      </w:r>
      <w:r>
        <w:t xml:space="preserve"> Public Sector Governance team, Governance Branch,</w:t>
      </w:r>
      <w:r w:rsidRPr="00310CEF">
        <w:t xml:space="preserve"> Department of Premier and Cabinet (DPC)</w:t>
      </w:r>
      <w:r>
        <w:t xml:space="preserve">, </w:t>
      </w:r>
      <w:hyperlink r:id="rId20" w:history="1">
        <w:r w:rsidRPr="00A02272">
          <w:rPr>
            <w:rStyle w:val="Hyperlink"/>
            <w:color w:val="0072CE" w:themeColor="accent1"/>
            <w:u w:val="single"/>
          </w:rPr>
          <w:t>publicsectorgovernance@dpc.vic.gov.au</w:t>
        </w:r>
      </w:hyperlink>
      <w:r w:rsidRPr="00310CEF">
        <w:t>.</w:t>
      </w:r>
    </w:p>
    <w:p w14:paraId="52AA69C2" w14:textId="77777777" w:rsidR="0054547D" w:rsidRDefault="0054547D" w:rsidP="0054547D">
      <w:pPr>
        <w:pStyle w:val="Heading2"/>
      </w:pPr>
      <w:bookmarkStart w:id="5" w:name="_Toc147909814"/>
      <w:bookmarkStart w:id="6" w:name="_Toc176339424"/>
      <w:r>
        <w:t>Key contacts for help and advice</w:t>
      </w:r>
      <w:bookmarkEnd w:id="5"/>
      <w:bookmarkEnd w:id="6"/>
    </w:p>
    <w:p w14:paraId="6EA80B3E" w14:textId="77777777" w:rsidR="0054547D" w:rsidRPr="008C748D" w:rsidRDefault="0054547D" w:rsidP="0054547D">
      <w:pPr>
        <w:pStyle w:val="DPCbody"/>
        <w:numPr>
          <w:ilvl w:val="1"/>
          <w:numId w:val="18"/>
        </w:numPr>
      </w:pPr>
      <w:r>
        <w:t>In the first instance departmental ministerial services or governance teams can assist with any queries relating to these Guidelines.</w:t>
      </w:r>
      <w:r w:rsidRPr="00310CEF">
        <w:t xml:space="preserve"> </w:t>
      </w:r>
      <w:r w:rsidRPr="000440EB">
        <w:t xml:space="preserve">Departmental contact details are outlined below. </w:t>
      </w:r>
    </w:p>
    <w:tbl>
      <w:tblPr>
        <w:tblStyle w:val="DPCDefaulttable"/>
        <w:tblW w:w="0" w:type="auto"/>
        <w:tblInd w:w="539" w:type="dxa"/>
        <w:tblLook w:val="04A0" w:firstRow="1" w:lastRow="0" w:firstColumn="1" w:lastColumn="0" w:noHBand="0" w:noVBand="1"/>
      </w:tblPr>
      <w:tblGrid>
        <w:gridCol w:w="4030"/>
        <w:gridCol w:w="5630"/>
      </w:tblGrid>
      <w:tr w:rsidR="0054547D" w:rsidRPr="002C50DC" w14:paraId="539D59A1" w14:textId="77777777" w:rsidTr="005454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3FC44C93" w14:textId="0301DB69" w:rsidR="0054547D" w:rsidRPr="0054547D" w:rsidRDefault="0054547D">
            <w:pPr>
              <w:pStyle w:val="DPCbody"/>
              <w:spacing w:before="60" w:after="60"/>
              <w:rPr>
                <w:rFonts w:cstheme="minorHAnsi"/>
                <w:b w:val="0"/>
                <w:bCs/>
                <w:color w:val="auto"/>
              </w:rPr>
            </w:pPr>
            <w:r w:rsidRPr="0054547D">
              <w:rPr>
                <w:rFonts w:cstheme="minorHAnsi"/>
                <w:bCs/>
                <w:color w:val="auto"/>
              </w:rPr>
              <w:t>Depar</w:t>
            </w:r>
            <w:r>
              <w:rPr>
                <w:rFonts w:cstheme="minorHAnsi"/>
                <w:bCs/>
                <w:color w:val="auto"/>
              </w:rPr>
              <w:t>tm</w:t>
            </w:r>
            <w:r w:rsidRPr="0054547D">
              <w:rPr>
                <w:rFonts w:cstheme="minorHAnsi"/>
                <w:bCs/>
                <w:color w:val="auto"/>
              </w:rPr>
              <w:t xml:space="preserve">ent </w:t>
            </w:r>
          </w:p>
        </w:tc>
        <w:tc>
          <w:tcPr>
            <w:tcW w:w="5148" w:type="dxa"/>
          </w:tcPr>
          <w:p w14:paraId="68BA7167" w14:textId="77777777" w:rsidR="0054547D" w:rsidRPr="0054547D" w:rsidRDefault="0054547D">
            <w:pPr>
              <w:pStyle w:val="DPCbody"/>
              <w:spacing w:before="60" w:after="60"/>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54547D">
              <w:rPr>
                <w:rFonts w:cstheme="minorHAnsi"/>
                <w:bCs/>
                <w:color w:val="auto"/>
              </w:rPr>
              <w:t xml:space="preserve">Contact details </w:t>
            </w:r>
          </w:p>
        </w:tc>
      </w:tr>
      <w:tr w:rsidR="0054547D" w:rsidRPr="002C50DC" w14:paraId="28739404" w14:textId="77777777" w:rsidTr="005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56844DD4" w14:textId="77777777" w:rsidR="0054547D" w:rsidRPr="0094625C" w:rsidRDefault="0054547D">
            <w:pPr>
              <w:pStyle w:val="DPCbody"/>
              <w:spacing w:before="60" w:after="60"/>
              <w:rPr>
                <w:rFonts w:cstheme="minorHAnsi"/>
              </w:rPr>
            </w:pPr>
            <w:r w:rsidRPr="001768F9">
              <w:rPr>
                <w:rFonts w:cstheme="minorHAnsi"/>
              </w:rPr>
              <w:t xml:space="preserve">Education </w:t>
            </w:r>
          </w:p>
        </w:tc>
        <w:tc>
          <w:tcPr>
            <w:tcW w:w="5148" w:type="dxa"/>
          </w:tcPr>
          <w:p w14:paraId="2CAA9DC7" w14:textId="77777777" w:rsidR="0054547D" w:rsidRPr="00A02272" w:rsidRDefault="0054547D">
            <w:pPr>
              <w:pStyle w:val="DPCbody"/>
              <w:spacing w:before="60" w:after="60"/>
              <w:cnfStyle w:val="000000100000" w:firstRow="0" w:lastRow="0" w:firstColumn="0" w:lastColumn="0" w:oddVBand="0" w:evenVBand="0" w:oddHBand="1" w:evenHBand="0" w:firstRowFirstColumn="0" w:firstRowLastColumn="0" w:lastRowFirstColumn="0" w:lastRowLastColumn="0"/>
              <w:rPr>
                <w:rFonts w:cstheme="minorHAnsi"/>
                <w:color w:val="0072CE" w:themeColor="accent1"/>
                <w:u w:val="single"/>
              </w:rPr>
            </w:pPr>
            <w:hyperlink r:id="rId21" w:history="1">
              <w:r w:rsidRPr="00A02272">
                <w:rPr>
                  <w:rStyle w:val="Hyperlink"/>
                  <w:rFonts w:cstheme="minorHAnsi"/>
                  <w:color w:val="0072CE" w:themeColor="accent1"/>
                  <w:u w:val="single"/>
                </w:rPr>
                <w:t>cabinet@education.vic.gov.au</w:t>
              </w:r>
            </w:hyperlink>
          </w:p>
        </w:tc>
      </w:tr>
      <w:tr w:rsidR="0054547D" w:rsidRPr="002C50DC" w14:paraId="3735DBB8" w14:textId="77777777" w:rsidTr="005454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7502242F" w14:textId="77777777" w:rsidR="0054547D" w:rsidRPr="002C50DC" w:rsidRDefault="0054547D">
            <w:pPr>
              <w:pStyle w:val="DPCbody"/>
              <w:spacing w:before="60" w:after="60"/>
              <w:rPr>
                <w:rFonts w:cstheme="minorHAnsi"/>
              </w:rPr>
            </w:pPr>
            <w:r w:rsidRPr="00EE7605">
              <w:rPr>
                <w:rFonts w:cstheme="minorHAnsi"/>
              </w:rPr>
              <w:t>Energy, Environment and Climate Action</w:t>
            </w:r>
          </w:p>
        </w:tc>
        <w:tc>
          <w:tcPr>
            <w:tcW w:w="5148" w:type="dxa"/>
          </w:tcPr>
          <w:p w14:paraId="6E330AE5" w14:textId="77777777" w:rsidR="0054547D" w:rsidRPr="00A02272" w:rsidRDefault="0054547D">
            <w:pPr>
              <w:pStyle w:val="DPCbody"/>
              <w:spacing w:before="120" w:after="120"/>
              <w:cnfStyle w:val="000000010000" w:firstRow="0" w:lastRow="0" w:firstColumn="0" w:lastColumn="0" w:oddVBand="0" w:evenVBand="0" w:oddHBand="0" w:evenHBand="1" w:firstRowFirstColumn="0" w:firstRowLastColumn="0" w:lastRowFirstColumn="0" w:lastRowLastColumn="0"/>
              <w:rPr>
                <w:rFonts w:cstheme="minorHAnsi"/>
                <w:color w:val="0072CE" w:themeColor="accent1"/>
                <w:u w:val="single"/>
              </w:rPr>
            </w:pPr>
            <w:hyperlink r:id="rId22" w:history="1">
              <w:r w:rsidRPr="00A02272">
                <w:rPr>
                  <w:rStyle w:val="Hyperlink"/>
                  <w:rFonts w:cstheme="minorHAnsi"/>
                  <w:color w:val="0072CE" w:themeColor="accent1"/>
                  <w:u w:val="single"/>
                </w:rPr>
                <w:t>governance@delwp.vic.gov.au</w:t>
              </w:r>
            </w:hyperlink>
          </w:p>
        </w:tc>
      </w:tr>
      <w:tr w:rsidR="0054547D" w:rsidRPr="002C50DC" w14:paraId="44B44E64" w14:textId="77777777" w:rsidTr="005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283AE44F" w14:textId="77777777" w:rsidR="0054547D" w:rsidRPr="0094625C" w:rsidRDefault="0054547D">
            <w:pPr>
              <w:pStyle w:val="DPCbody"/>
              <w:spacing w:before="60" w:after="60"/>
              <w:rPr>
                <w:rFonts w:cstheme="minorHAnsi"/>
              </w:rPr>
            </w:pPr>
            <w:r w:rsidRPr="001768F9">
              <w:rPr>
                <w:rFonts w:cstheme="minorHAnsi"/>
              </w:rPr>
              <w:t>Families</w:t>
            </w:r>
            <w:r w:rsidRPr="0094625C">
              <w:rPr>
                <w:rFonts w:cstheme="minorHAnsi"/>
              </w:rPr>
              <w:t>, Fairness and Housing</w:t>
            </w:r>
          </w:p>
        </w:tc>
        <w:tc>
          <w:tcPr>
            <w:tcW w:w="5148" w:type="dxa"/>
          </w:tcPr>
          <w:p w14:paraId="76556298" w14:textId="77777777" w:rsidR="0054547D" w:rsidRPr="00A02272" w:rsidRDefault="0054547D">
            <w:pPr>
              <w:pStyle w:val="DPCbody"/>
              <w:spacing w:before="60" w:after="60"/>
              <w:cnfStyle w:val="000000100000" w:firstRow="0" w:lastRow="0" w:firstColumn="0" w:lastColumn="0" w:oddVBand="0" w:evenVBand="0" w:oddHBand="1" w:evenHBand="0" w:firstRowFirstColumn="0" w:firstRowLastColumn="0" w:lastRowFirstColumn="0" w:lastRowLastColumn="0"/>
              <w:rPr>
                <w:rFonts w:cstheme="minorHAnsi"/>
                <w:color w:val="0072CE" w:themeColor="accent1"/>
                <w:u w:val="single"/>
              </w:rPr>
            </w:pPr>
            <w:hyperlink r:id="rId23" w:history="1">
              <w:r w:rsidRPr="00A02272">
                <w:rPr>
                  <w:rStyle w:val="Hyperlink"/>
                  <w:rFonts w:cstheme="minorHAnsi"/>
                  <w:color w:val="0072CE" w:themeColor="accent1"/>
                  <w:u w:val="single"/>
                </w:rPr>
                <w:t>appointments@dffh.vic.gov.au</w:t>
              </w:r>
            </w:hyperlink>
          </w:p>
        </w:tc>
      </w:tr>
      <w:tr w:rsidR="0054547D" w:rsidRPr="002C50DC" w14:paraId="1E62591A" w14:textId="77777777" w:rsidTr="005454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54301ED4" w14:textId="77777777" w:rsidR="0054547D" w:rsidRPr="001768F9" w:rsidRDefault="0054547D">
            <w:pPr>
              <w:pStyle w:val="DPCbody"/>
              <w:spacing w:before="60" w:after="60"/>
              <w:rPr>
                <w:rFonts w:cstheme="minorHAnsi"/>
              </w:rPr>
            </w:pPr>
            <w:r>
              <w:rPr>
                <w:rFonts w:cstheme="minorHAnsi"/>
              </w:rPr>
              <w:t>Government Services</w:t>
            </w:r>
          </w:p>
        </w:tc>
        <w:tc>
          <w:tcPr>
            <w:tcW w:w="5148" w:type="dxa"/>
          </w:tcPr>
          <w:p w14:paraId="551B9650" w14:textId="77777777" w:rsidR="0054547D" w:rsidRPr="00A02272" w:rsidRDefault="0054547D">
            <w:pPr>
              <w:pStyle w:val="DPCbody"/>
              <w:spacing w:before="60" w:after="60"/>
              <w:cnfStyle w:val="000000010000" w:firstRow="0" w:lastRow="0" w:firstColumn="0" w:lastColumn="0" w:oddVBand="0" w:evenVBand="0" w:oddHBand="0" w:evenHBand="1" w:firstRowFirstColumn="0" w:firstRowLastColumn="0" w:lastRowFirstColumn="0" w:lastRowLastColumn="0"/>
              <w:rPr>
                <w:color w:val="0072CE" w:themeColor="accent1"/>
                <w:u w:val="single"/>
              </w:rPr>
            </w:pPr>
            <w:hyperlink r:id="rId24" w:history="1">
              <w:r w:rsidRPr="00A02272">
                <w:rPr>
                  <w:rStyle w:val="Hyperlink"/>
                  <w:color w:val="0072CE" w:themeColor="accent1"/>
                  <w:u w:val="single"/>
                </w:rPr>
                <w:t>statutoryappointments@dgs.vic.gov.au</w:t>
              </w:r>
            </w:hyperlink>
            <w:r w:rsidRPr="00A02272">
              <w:rPr>
                <w:color w:val="0072CE" w:themeColor="accent1"/>
                <w:u w:val="single"/>
              </w:rPr>
              <w:t xml:space="preserve"> </w:t>
            </w:r>
          </w:p>
        </w:tc>
      </w:tr>
      <w:tr w:rsidR="0054547D" w:rsidRPr="002C50DC" w14:paraId="4783E777" w14:textId="77777777" w:rsidTr="005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3E00EC59" w14:textId="77777777" w:rsidR="0054547D" w:rsidRPr="0094625C" w:rsidRDefault="0054547D">
            <w:pPr>
              <w:pStyle w:val="DPCbody"/>
              <w:spacing w:before="60" w:after="60"/>
              <w:rPr>
                <w:rFonts w:cstheme="minorHAnsi"/>
              </w:rPr>
            </w:pPr>
            <w:r w:rsidRPr="001768F9">
              <w:rPr>
                <w:rFonts w:cstheme="minorHAnsi"/>
              </w:rPr>
              <w:t>He</w:t>
            </w:r>
            <w:r w:rsidRPr="0094625C">
              <w:rPr>
                <w:rFonts w:cstheme="minorHAnsi"/>
              </w:rPr>
              <w:t>alth</w:t>
            </w:r>
          </w:p>
        </w:tc>
        <w:tc>
          <w:tcPr>
            <w:tcW w:w="5148" w:type="dxa"/>
          </w:tcPr>
          <w:p w14:paraId="4477EB1F" w14:textId="77777777" w:rsidR="0054547D" w:rsidRPr="00A02272" w:rsidRDefault="0054547D">
            <w:pPr>
              <w:pStyle w:val="DPCbody"/>
              <w:spacing w:before="60" w:after="60"/>
              <w:cnfStyle w:val="000000100000" w:firstRow="0" w:lastRow="0" w:firstColumn="0" w:lastColumn="0" w:oddVBand="0" w:evenVBand="0" w:oddHBand="1" w:evenHBand="0" w:firstRowFirstColumn="0" w:firstRowLastColumn="0" w:lastRowFirstColumn="0" w:lastRowLastColumn="0"/>
              <w:rPr>
                <w:rFonts w:cstheme="minorHAnsi"/>
                <w:color w:val="0072CE" w:themeColor="accent1"/>
                <w:u w:val="single"/>
              </w:rPr>
            </w:pPr>
            <w:hyperlink r:id="rId25" w:history="1">
              <w:r w:rsidRPr="00A02272">
                <w:rPr>
                  <w:rStyle w:val="Hyperlink"/>
                  <w:rFonts w:cstheme="minorHAnsi"/>
                  <w:color w:val="0072CE" w:themeColor="accent1"/>
                  <w:u w:val="single"/>
                </w:rPr>
                <w:t>appointments@health.vic.gov.au</w:t>
              </w:r>
            </w:hyperlink>
          </w:p>
        </w:tc>
      </w:tr>
      <w:tr w:rsidR="0054547D" w:rsidRPr="002C50DC" w14:paraId="24F60B75" w14:textId="77777777" w:rsidTr="005454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2A53ACF4" w14:textId="77777777" w:rsidR="0054547D" w:rsidRPr="0094625C" w:rsidRDefault="0054547D">
            <w:pPr>
              <w:pStyle w:val="DPCbody"/>
              <w:spacing w:before="60" w:after="60"/>
              <w:rPr>
                <w:rFonts w:cstheme="minorHAnsi"/>
              </w:rPr>
            </w:pPr>
            <w:r w:rsidRPr="00E86A92">
              <w:rPr>
                <w:rFonts w:cstheme="minorHAnsi"/>
              </w:rPr>
              <w:t>Jobs, Skills, Industry and Regions</w:t>
            </w:r>
          </w:p>
        </w:tc>
        <w:tc>
          <w:tcPr>
            <w:tcW w:w="5148" w:type="dxa"/>
          </w:tcPr>
          <w:p w14:paraId="671ED59E" w14:textId="7029A049" w:rsidR="0054547D" w:rsidRPr="00A02272" w:rsidRDefault="1B25D71E">
            <w:pPr>
              <w:pStyle w:val="DPCbody"/>
              <w:spacing w:before="60" w:after="60"/>
              <w:cnfStyle w:val="000000010000" w:firstRow="0" w:lastRow="0" w:firstColumn="0" w:lastColumn="0" w:oddVBand="0" w:evenVBand="0" w:oddHBand="0" w:evenHBand="1" w:firstRowFirstColumn="0" w:firstRowLastColumn="0" w:lastRowFirstColumn="0" w:lastRowLastColumn="0"/>
              <w:rPr>
                <w:rFonts w:cstheme="minorBidi"/>
                <w:color w:val="0072CE" w:themeColor="accent1"/>
                <w:u w:val="single"/>
              </w:rPr>
            </w:pPr>
            <w:r w:rsidRPr="00A02272">
              <w:rPr>
                <w:rFonts w:cstheme="minorBidi"/>
                <w:color w:val="0072CE" w:themeColor="accent1"/>
                <w:u w:val="single"/>
              </w:rPr>
              <w:t>boardappointments@ecodev.vic.gov.au</w:t>
            </w:r>
          </w:p>
        </w:tc>
      </w:tr>
      <w:tr w:rsidR="0054547D" w:rsidRPr="002C50DC" w14:paraId="00CCAC19" w14:textId="77777777" w:rsidTr="005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0E22410D" w14:textId="77777777" w:rsidR="0054547D" w:rsidRPr="0094625C" w:rsidRDefault="0054547D">
            <w:pPr>
              <w:pStyle w:val="DPCbody"/>
              <w:spacing w:before="60" w:after="60"/>
              <w:rPr>
                <w:rFonts w:cstheme="minorHAnsi"/>
              </w:rPr>
            </w:pPr>
            <w:r w:rsidRPr="001768F9">
              <w:rPr>
                <w:rFonts w:cstheme="minorHAnsi"/>
              </w:rPr>
              <w:t>Justice and Community Safe</w:t>
            </w:r>
            <w:r w:rsidRPr="0094625C">
              <w:rPr>
                <w:rFonts w:cstheme="minorHAnsi"/>
              </w:rPr>
              <w:t>ty</w:t>
            </w:r>
          </w:p>
        </w:tc>
        <w:tc>
          <w:tcPr>
            <w:tcW w:w="5148" w:type="dxa"/>
          </w:tcPr>
          <w:p w14:paraId="53265661" w14:textId="77777777" w:rsidR="0054547D" w:rsidRPr="00A02272" w:rsidRDefault="0054547D">
            <w:pPr>
              <w:pStyle w:val="DPCbody"/>
              <w:spacing w:before="60" w:after="60"/>
              <w:cnfStyle w:val="000000100000" w:firstRow="0" w:lastRow="0" w:firstColumn="0" w:lastColumn="0" w:oddVBand="0" w:evenVBand="0" w:oddHBand="1" w:evenHBand="0" w:firstRowFirstColumn="0" w:firstRowLastColumn="0" w:lastRowFirstColumn="0" w:lastRowLastColumn="0"/>
              <w:rPr>
                <w:rFonts w:cstheme="minorHAnsi"/>
                <w:color w:val="0072CE" w:themeColor="accent1"/>
                <w:u w:val="single"/>
              </w:rPr>
            </w:pPr>
            <w:hyperlink r:id="rId26" w:history="1">
              <w:r w:rsidRPr="00A02272">
                <w:rPr>
                  <w:rStyle w:val="Hyperlink"/>
                  <w:rFonts w:cstheme="minorHAnsi"/>
                  <w:color w:val="0072CE" w:themeColor="accent1"/>
                  <w:u w:val="single"/>
                  <w:lang w:val="en-US"/>
                </w:rPr>
                <w:t>statutoryappointments@justice.vic.gov.au</w:t>
              </w:r>
            </w:hyperlink>
          </w:p>
        </w:tc>
      </w:tr>
      <w:tr w:rsidR="0054547D" w:rsidRPr="002C50DC" w14:paraId="50521A43" w14:textId="77777777" w:rsidTr="005454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46F2DAED" w14:textId="77777777" w:rsidR="0054547D" w:rsidRPr="001768F9" w:rsidRDefault="0054547D">
            <w:pPr>
              <w:pStyle w:val="DPCbody"/>
              <w:spacing w:before="60" w:after="60"/>
              <w:rPr>
                <w:rFonts w:cstheme="minorHAnsi"/>
              </w:rPr>
            </w:pPr>
            <w:r>
              <w:rPr>
                <w:rFonts w:cstheme="minorHAnsi"/>
              </w:rPr>
              <w:t xml:space="preserve">Premier and Cabinet </w:t>
            </w:r>
          </w:p>
        </w:tc>
        <w:tc>
          <w:tcPr>
            <w:tcW w:w="5148" w:type="dxa"/>
          </w:tcPr>
          <w:p w14:paraId="6DC59781" w14:textId="77777777" w:rsidR="0054547D" w:rsidRPr="00A02272" w:rsidRDefault="0054547D">
            <w:pPr>
              <w:pStyle w:val="DPCbody"/>
              <w:spacing w:before="60" w:after="60"/>
              <w:cnfStyle w:val="000000010000" w:firstRow="0" w:lastRow="0" w:firstColumn="0" w:lastColumn="0" w:oddVBand="0" w:evenVBand="0" w:oddHBand="0" w:evenHBand="1" w:firstRowFirstColumn="0" w:firstRowLastColumn="0" w:lastRowFirstColumn="0" w:lastRowLastColumn="0"/>
              <w:rPr>
                <w:rFonts w:cstheme="minorHAnsi"/>
                <w:color w:val="0072CE" w:themeColor="accent1"/>
                <w:u w:val="single"/>
                <w:lang w:val="en-US"/>
              </w:rPr>
            </w:pPr>
            <w:hyperlink r:id="rId27" w:history="1">
              <w:r w:rsidRPr="00A02272">
                <w:rPr>
                  <w:rStyle w:val="Hyperlink"/>
                  <w:rFonts w:cstheme="minorHAnsi"/>
                  <w:color w:val="0072CE" w:themeColor="accent1"/>
                  <w:u w:val="single"/>
                  <w:lang w:val="en-US"/>
                </w:rPr>
                <w:t>publicsectorgovernance@dpc.vic.gov.au</w:t>
              </w:r>
            </w:hyperlink>
            <w:r w:rsidRPr="00A02272">
              <w:rPr>
                <w:rFonts w:cstheme="minorHAnsi"/>
                <w:color w:val="0072CE" w:themeColor="accent1"/>
                <w:u w:val="single"/>
                <w:lang w:val="en-US"/>
              </w:rPr>
              <w:t xml:space="preserve"> </w:t>
            </w:r>
          </w:p>
        </w:tc>
      </w:tr>
      <w:tr w:rsidR="0054547D" w:rsidRPr="002C50DC" w14:paraId="47994914" w14:textId="77777777" w:rsidTr="005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78C6537A" w14:textId="77777777" w:rsidR="0054547D" w:rsidRPr="0094625C" w:rsidRDefault="0054547D">
            <w:pPr>
              <w:pStyle w:val="DPCbody"/>
              <w:spacing w:before="60" w:after="60"/>
              <w:rPr>
                <w:rFonts w:cstheme="minorHAnsi"/>
              </w:rPr>
            </w:pPr>
            <w:r w:rsidRPr="001E740C">
              <w:rPr>
                <w:rFonts w:cstheme="minorHAnsi"/>
              </w:rPr>
              <w:t>Transport and Planning</w:t>
            </w:r>
          </w:p>
        </w:tc>
        <w:tc>
          <w:tcPr>
            <w:tcW w:w="5148" w:type="dxa"/>
          </w:tcPr>
          <w:p w14:paraId="6B7D7909" w14:textId="77777777" w:rsidR="0054547D" w:rsidRPr="00A02272" w:rsidRDefault="0054547D">
            <w:pPr>
              <w:pStyle w:val="DPCbody"/>
              <w:spacing w:before="120" w:after="120"/>
              <w:cnfStyle w:val="000000100000" w:firstRow="0" w:lastRow="0" w:firstColumn="0" w:lastColumn="0" w:oddVBand="0" w:evenVBand="0" w:oddHBand="1" w:evenHBand="0" w:firstRowFirstColumn="0" w:firstRowLastColumn="0" w:lastRowFirstColumn="0" w:lastRowLastColumn="0"/>
              <w:rPr>
                <w:rFonts w:cstheme="minorHAnsi"/>
                <w:color w:val="0072CE" w:themeColor="accent1"/>
                <w:u w:val="single"/>
                <w:lang w:eastAsia="en-AU"/>
              </w:rPr>
            </w:pPr>
            <w:hyperlink r:id="rId28" w:history="1">
              <w:r w:rsidRPr="00A02272">
                <w:rPr>
                  <w:rStyle w:val="Hyperlink"/>
                  <w:color w:val="0072CE" w:themeColor="accent1"/>
                  <w:u w:val="single"/>
                </w:rPr>
                <w:t>apptsandexco@transport.vic.gov.au</w:t>
              </w:r>
            </w:hyperlink>
          </w:p>
        </w:tc>
      </w:tr>
      <w:tr w:rsidR="0054547D" w:rsidRPr="002C50DC" w14:paraId="5C052741" w14:textId="77777777" w:rsidTr="005454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5E955304" w14:textId="77777777" w:rsidR="0054547D" w:rsidRPr="0094625C" w:rsidRDefault="0054547D">
            <w:pPr>
              <w:pStyle w:val="DPCbody"/>
              <w:spacing w:before="60" w:after="60"/>
              <w:rPr>
                <w:rFonts w:cstheme="minorHAnsi"/>
              </w:rPr>
            </w:pPr>
            <w:r w:rsidRPr="001768F9">
              <w:rPr>
                <w:rFonts w:cstheme="minorHAnsi"/>
              </w:rPr>
              <w:t xml:space="preserve">Treasury </w:t>
            </w:r>
            <w:r w:rsidRPr="0094625C">
              <w:rPr>
                <w:rFonts w:cstheme="minorHAnsi"/>
              </w:rPr>
              <w:t>and Finance</w:t>
            </w:r>
          </w:p>
        </w:tc>
        <w:tc>
          <w:tcPr>
            <w:tcW w:w="5148" w:type="dxa"/>
          </w:tcPr>
          <w:p w14:paraId="219E969F" w14:textId="77777777" w:rsidR="0054547D" w:rsidRPr="00A02272" w:rsidRDefault="0054547D">
            <w:pPr>
              <w:pStyle w:val="DPCbody"/>
              <w:spacing w:before="120" w:after="120"/>
              <w:cnfStyle w:val="000000010000" w:firstRow="0" w:lastRow="0" w:firstColumn="0" w:lastColumn="0" w:oddVBand="0" w:evenVBand="0" w:oddHBand="0" w:evenHBand="1" w:firstRowFirstColumn="0" w:firstRowLastColumn="0" w:lastRowFirstColumn="0" w:lastRowLastColumn="0"/>
              <w:rPr>
                <w:rFonts w:cstheme="minorHAnsi"/>
                <w:color w:val="0072CE" w:themeColor="accent1"/>
                <w:u w:val="single"/>
              </w:rPr>
            </w:pPr>
            <w:hyperlink r:id="rId29" w:history="1">
              <w:r w:rsidRPr="00A02272">
                <w:rPr>
                  <w:rStyle w:val="Hyperlink"/>
                  <w:rFonts w:cstheme="minorHAnsi"/>
                  <w:color w:val="0072CE" w:themeColor="accent1"/>
                  <w:u w:val="single"/>
                </w:rPr>
                <w:t>CabinetAnd.ParliamentaryServices@dtf.vic.gov.au</w:t>
              </w:r>
            </w:hyperlink>
          </w:p>
        </w:tc>
      </w:tr>
    </w:tbl>
    <w:p w14:paraId="4CBFCC1E" w14:textId="77777777" w:rsidR="0054547D" w:rsidRDefault="0054547D" w:rsidP="0054547D">
      <w:pPr>
        <w:pStyle w:val="DPCbullet1"/>
        <w:numPr>
          <w:ilvl w:val="0"/>
          <w:numId w:val="0"/>
        </w:numPr>
      </w:pPr>
    </w:p>
    <w:p w14:paraId="75067D20" w14:textId="77777777" w:rsidR="0054547D" w:rsidRDefault="0054547D" w:rsidP="0054547D">
      <w:pPr>
        <w:rPr>
          <w:rFonts w:eastAsia="Times" w:cs="Arial"/>
          <w:color w:val="000000" w:themeColor="text1"/>
          <w:sz w:val="22"/>
          <w:szCs w:val="22"/>
        </w:rPr>
      </w:pPr>
      <w:r>
        <w:br w:type="page"/>
      </w:r>
    </w:p>
    <w:p w14:paraId="14FB39DA" w14:textId="77777777" w:rsidR="0054547D" w:rsidRDefault="0054547D" w:rsidP="0054547D">
      <w:pPr>
        <w:pStyle w:val="DPCbody"/>
        <w:numPr>
          <w:ilvl w:val="1"/>
          <w:numId w:val="18"/>
        </w:numPr>
      </w:pPr>
      <w:r>
        <w:lastRenderedPageBreak/>
        <w:t>Other contacts that can assist are outlined below</w:t>
      </w:r>
    </w:p>
    <w:tbl>
      <w:tblPr>
        <w:tblStyle w:val="DPCDefaulttable"/>
        <w:tblW w:w="9606" w:type="dxa"/>
        <w:tblInd w:w="572" w:type="dxa"/>
        <w:tblLook w:val="04A0" w:firstRow="1" w:lastRow="0" w:firstColumn="1" w:lastColumn="0" w:noHBand="0" w:noVBand="1"/>
      </w:tblPr>
      <w:tblGrid>
        <w:gridCol w:w="4461"/>
        <w:gridCol w:w="5145"/>
      </w:tblGrid>
      <w:tr w:rsidR="0054547D" w:rsidRPr="0094625C" w14:paraId="349CB51C" w14:textId="77777777" w:rsidTr="005454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Pr>
          <w:p w14:paraId="04E7122D" w14:textId="77777777" w:rsidR="0054547D" w:rsidRPr="0054547D" w:rsidRDefault="0054547D">
            <w:pPr>
              <w:pStyle w:val="DPCbody"/>
              <w:spacing w:before="60" w:after="60"/>
              <w:rPr>
                <w:rFonts w:cstheme="minorHAnsi"/>
                <w:b w:val="0"/>
                <w:bCs/>
                <w:color w:val="auto"/>
              </w:rPr>
            </w:pPr>
            <w:r w:rsidRPr="0054547D">
              <w:rPr>
                <w:rFonts w:cstheme="minorHAnsi"/>
                <w:bCs/>
                <w:color w:val="auto"/>
              </w:rPr>
              <w:t xml:space="preserve">Area </w:t>
            </w:r>
          </w:p>
        </w:tc>
        <w:tc>
          <w:tcPr>
            <w:tcW w:w="5145" w:type="dxa"/>
          </w:tcPr>
          <w:p w14:paraId="2FB101BE" w14:textId="77777777" w:rsidR="0054547D" w:rsidRPr="0054547D" w:rsidRDefault="0054547D">
            <w:pPr>
              <w:pStyle w:val="DPCbody"/>
              <w:spacing w:before="60" w:after="60"/>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54547D">
              <w:rPr>
                <w:rFonts w:cstheme="minorHAnsi"/>
                <w:bCs/>
                <w:color w:val="auto"/>
              </w:rPr>
              <w:t xml:space="preserve">Contact details </w:t>
            </w:r>
          </w:p>
        </w:tc>
      </w:tr>
      <w:tr w:rsidR="0054547D" w:rsidRPr="001768F9" w14:paraId="7CA6412F" w14:textId="77777777" w:rsidTr="005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Pr>
          <w:p w14:paraId="7ADCB9E7" w14:textId="77777777" w:rsidR="0054547D" w:rsidRPr="002C50DC" w:rsidRDefault="0054547D">
            <w:pPr>
              <w:pStyle w:val="DPCbody"/>
              <w:spacing w:before="60" w:after="60"/>
              <w:rPr>
                <w:rFonts w:cstheme="minorBidi"/>
              </w:rPr>
            </w:pPr>
            <w:r w:rsidRPr="105251A8">
              <w:rPr>
                <w:rFonts w:cstheme="minorBidi"/>
              </w:rPr>
              <w:t xml:space="preserve">Governance </w:t>
            </w:r>
            <w:r w:rsidRPr="00B10CFE">
              <w:rPr>
                <w:rFonts w:cstheme="minorBidi"/>
              </w:rPr>
              <w:t>B</w:t>
            </w:r>
            <w:r w:rsidRPr="105251A8">
              <w:rPr>
                <w:rFonts w:cstheme="minorBidi"/>
              </w:rPr>
              <w:t>ranch, DPC</w:t>
            </w:r>
          </w:p>
        </w:tc>
        <w:tc>
          <w:tcPr>
            <w:tcW w:w="5145" w:type="dxa"/>
          </w:tcPr>
          <w:p w14:paraId="00D4BEBE" w14:textId="77777777" w:rsidR="0054547D" w:rsidRPr="00A02272" w:rsidRDefault="0054547D">
            <w:pPr>
              <w:pStyle w:val="DPCbody"/>
              <w:spacing w:before="120" w:after="120"/>
              <w:cnfStyle w:val="000000100000" w:firstRow="0" w:lastRow="0" w:firstColumn="0" w:lastColumn="0" w:oddVBand="0" w:evenVBand="0" w:oddHBand="1" w:evenHBand="0" w:firstRowFirstColumn="0" w:firstRowLastColumn="0" w:lastRowFirstColumn="0" w:lastRowLastColumn="0"/>
              <w:rPr>
                <w:rFonts w:cstheme="minorHAnsi"/>
                <w:color w:val="0072CE" w:themeColor="accent1"/>
                <w:u w:val="single"/>
              </w:rPr>
            </w:pPr>
            <w:hyperlink r:id="rId30" w:history="1">
              <w:r w:rsidRPr="00A02272">
                <w:rPr>
                  <w:rStyle w:val="Hyperlink"/>
                  <w:rFonts w:cstheme="minorHAnsi"/>
                  <w:color w:val="0072CE" w:themeColor="accent1"/>
                  <w:u w:val="single"/>
                  <w:lang w:val="en-US"/>
                </w:rPr>
                <w:t>publicsectorgovernance@dpc.vic.gov.au</w:t>
              </w:r>
            </w:hyperlink>
          </w:p>
        </w:tc>
      </w:tr>
      <w:tr w:rsidR="0054547D" w:rsidRPr="000440EB" w14:paraId="44884BED" w14:textId="77777777" w:rsidTr="005454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Pr>
          <w:p w14:paraId="111F90D4" w14:textId="77777777" w:rsidR="0054547D" w:rsidRPr="0094625C" w:rsidRDefault="0054547D">
            <w:pPr>
              <w:pStyle w:val="DPCbody"/>
              <w:spacing w:before="60" w:after="60"/>
              <w:rPr>
                <w:rFonts w:cstheme="minorHAnsi"/>
              </w:rPr>
            </w:pPr>
            <w:r w:rsidRPr="003E3FC7">
              <w:t>Cabinet Office, DPC</w:t>
            </w:r>
          </w:p>
        </w:tc>
        <w:tc>
          <w:tcPr>
            <w:tcW w:w="5145" w:type="dxa"/>
          </w:tcPr>
          <w:p w14:paraId="0303D17D" w14:textId="77777777" w:rsidR="0054547D" w:rsidRPr="000440EB" w:rsidRDefault="0054547D">
            <w:pPr>
              <w:pStyle w:val="DPCbody"/>
              <w:spacing w:before="60" w:after="60"/>
              <w:cnfStyle w:val="000000010000" w:firstRow="0" w:lastRow="0" w:firstColumn="0" w:lastColumn="0" w:oddVBand="0" w:evenVBand="0" w:oddHBand="0" w:evenHBand="1" w:firstRowFirstColumn="0" w:firstRowLastColumn="0" w:lastRowFirstColumn="0" w:lastRowLastColumn="0"/>
              <w:rPr>
                <w:rFonts w:cstheme="minorHAnsi"/>
              </w:rPr>
            </w:pPr>
            <w:proofErr w:type="spellStart"/>
            <w:r w:rsidRPr="003E3FC7">
              <w:t>ph</w:t>
            </w:r>
            <w:proofErr w:type="spellEnd"/>
            <w:r w:rsidRPr="003E3FC7">
              <w:t xml:space="preserve">: </w:t>
            </w:r>
            <w:r w:rsidRPr="00616B5B">
              <w:t>9922 7213</w:t>
            </w:r>
          </w:p>
        </w:tc>
      </w:tr>
      <w:tr w:rsidR="0054547D" w:rsidRPr="000440EB" w14:paraId="59AD1C24" w14:textId="77777777" w:rsidTr="005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Pr>
          <w:p w14:paraId="3BD5A0B0" w14:textId="77777777" w:rsidR="0054547D" w:rsidRPr="0094625C" w:rsidRDefault="0054547D">
            <w:pPr>
              <w:pStyle w:val="DPCbody"/>
              <w:spacing w:before="60" w:after="60"/>
              <w:rPr>
                <w:rFonts w:cstheme="minorHAnsi"/>
              </w:rPr>
            </w:pPr>
            <w:r w:rsidRPr="003E3FC7">
              <w:t>Clerk of the Executive Council, DPC</w:t>
            </w:r>
          </w:p>
        </w:tc>
        <w:tc>
          <w:tcPr>
            <w:tcW w:w="5145" w:type="dxa"/>
          </w:tcPr>
          <w:p w14:paraId="0D824566" w14:textId="77777777" w:rsidR="0054547D" w:rsidRPr="00A02272" w:rsidRDefault="0054547D">
            <w:pPr>
              <w:pStyle w:val="DPCbody"/>
              <w:spacing w:before="60" w:after="60"/>
              <w:cnfStyle w:val="000000100000" w:firstRow="0" w:lastRow="0" w:firstColumn="0" w:lastColumn="0" w:oddVBand="0" w:evenVBand="0" w:oddHBand="1" w:evenHBand="0" w:firstRowFirstColumn="0" w:firstRowLastColumn="0" w:lastRowFirstColumn="0" w:lastRowLastColumn="0"/>
              <w:rPr>
                <w:rFonts w:cstheme="minorHAnsi"/>
                <w:color w:val="0072CE" w:themeColor="accent1"/>
                <w:u w:val="single"/>
              </w:rPr>
            </w:pPr>
            <w:hyperlink r:id="rId31" w:history="1">
              <w:r w:rsidRPr="00A02272">
                <w:rPr>
                  <w:rStyle w:val="Hyperlink"/>
                  <w:color w:val="0072CE" w:themeColor="accent1"/>
                  <w:u w:val="single"/>
                </w:rPr>
                <w:t>executivecouncil@dpc.vic.gov.au</w:t>
              </w:r>
            </w:hyperlink>
          </w:p>
        </w:tc>
      </w:tr>
      <w:tr w:rsidR="0054547D" w:rsidRPr="001768F9" w14:paraId="5359D6CC" w14:textId="77777777" w:rsidTr="005454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Pr>
          <w:p w14:paraId="611D72DC" w14:textId="77777777" w:rsidR="0054547D" w:rsidRPr="0094625C" w:rsidRDefault="0054547D">
            <w:pPr>
              <w:pStyle w:val="DPCbody"/>
              <w:spacing w:before="60" w:after="60"/>
              <w:rPr>
                <w:rFonts w:cstheme="minorHAnsi"/>
              </w:rPr>
            </w:pPr>
            <w:r>
              <w:rPr>
                <w:rFonts w:cstheme="minorHAnsi"/>
              </w:rPr>
              <w:t xml:space="preserve">Diversity on boards (Women, </w:t>
            </w:r>
            <w:r w:rsidRPr="0099527D">
              <w:rPr>
                <w:rFonts w:ascii="Arial" w:hAnsi="Arial"/>
              </w:rPr>
              <w:t>Multicultural Equality</w:t>
            </w:r>
            <w:r>
              <w:rPr>
                <w:rFonts w:ascii="Arial" w:hAnsi="Arial"/>
              </w:rPr>
              <w:t xml:space="preserve">, Youth and Disability), </w:t>
            </w:r>
            <w:r>
              <w:rPr>
                <w:rFonts w:cstheme="minorHAnsi"/>
              </w:rPr>
              <w:t>DFFH</w:t>
            </w:r>
          </w:p>
        </w:tc>
        <w:tc>
          <w:tcPr>
            <w:tcW w:w="5145" w:type="dxa"/>
          </w:tcPr>
          <w:p w14:paraId="41CC3D56" w14:textId="77777777" w:rsidR="0054547D" w:rsidRPr="00A02272" w:rsidRDefault="0054547D">
            <w:pPr>
              <w:pStyle w:val="DPCbody"/>
              <w:spacing w:before="60" w:after="60"/>
              <w:cnfStyle w:val="000000010000" w:firstRow="0" w:lastRow="0" w:firstColumn="0" w:lastColumn="0" w:oddVBand="0" w:evenVBand="0" w:oddHBand="0" w:evenHBand="1" w:firstRowFirstColumn="0" w:firstRowLastColumn="0" w:lastRowFirstColumn="0" w:lastRowLastColumn="0"/>
              <w:rPr>
                <w:rFonts w:cstheme="minorHAnsi"/>
                <w:color w:val="0072CE" w:themeColor="accent1"/>
                <w:u w:val="single"/>
              </w:rPr>
            </w:pPr>
            <w:hyperlink r:id="rId32" w:history="1">
              <w:r w:rsidRPr="00A02272">
                <w:rPr>
                  <w:rStyle w:val="Hyperlink"/>
                  <w:rFonts w:eastAsia="Times New Roman"/>
                  <w:color w:val="0072CE" w:themeColor="accent1"/>
                  <w:u w:val="single"/>
                </w:rPr>
                <w:t>diversityonboards@dffh.vic.gov.au</w:t>
              </w:r>
            </w:hyperlink>
          </w:p>
        </w:tc>
      </w:tr>
      <w:tr w:rsidR="0054547D" w:rsidRPr="001768F9" w14:paraId="312E38A6" w14:textId="77777777" w:rsidTr="005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Pr>
          <w:p w14:paraId="38921FAF" w14:textId="77777777" w:rsidR="0054547D" w:rsidRPr="0094625C" w:rsidRDefault="0054547D">
            <w:pPr>
              <w:pStyle w:val="DPCbody"/>
              <w:spacing w:before="60" w:after="60"/>
              <w:rPr>
                <w:rFonts w:cstheme="minorBidi"/>
              </w:rPr>
            </w:pPr>
            <w:r w:rsidRPr="35CDCDA0">
              <w:rPr>
                <w:rFonts w:cstheme="minorBidi"/>
              </w:rPr>
              <w:t xml:space="preserve">Diversity on boards (Aboriginal), First Peoples </w:t>
            </w:r>
            <w:r w:rsidRPr="42298607">
              <w:rPr>
                <w:rFonts w:cstheme="minorBidi"/>
              </w:rPr>
              <w:t xml:space="preserve">- </w:t>
            </w:r>
            <w:r>
              <w:t xml:space="preserve">State </w:t>
            </w:r>
            <w:r w:rsidRPr="0019186B">
              <w:t>Relations</w:t>
            </w:r>
            <w:r w:rsidRPr="00B659A7">
              <w:t>, DPC</w:t>
            </w:r>
          </w:p>
        </w:tc>
        <w:tc>
          <w:tcPr>
            <w:tcW w:w="5145" w:type="dxa"/>
          </w:tcPr>
          <w:p w14:paraId="58D652AA" w14:textId="77777777" w:rsidR="0054547D" w:rsidRPr="00A02272" w:rsidRDefault="0054547D">
            <w:pPr>
              <w:pStyle w:val="DPCbody"/>
              <w:spacing w:before="60" w:after="60"/>
              <w:cnfStyle w:val="000000100000" w:firstRow="0" w:lastRow="0" w:firstColumn="0" w:lastColumn="0" w:oddVBand="0" w:evenVBand="0" w:oddHBand="1" w:evenHBand="0" w:firstRowFirstColumn="0" w:firstRowLastColumn="0" w:lastRowFirstColumn="0" w:lastRowLastColumn="0"/>
              <w:rPr>
                <w:rFonts w:eastAsia="Times New Roman"/>
                <w:color w:val="0072CE" w:themeColor="accent1"/>
                <w:u w:val="single"/>
              </w:rPr>
            </w:pPr>
            <w:r w:rsidRPr="00A02272">
              <w:rPr>
                <w:rFonts w:eastAsia="Times New Roman"/>
                <w:color w:val="0072CE" w:themeColor="accent1"/>
                <w:u w:val="single"/>
              </w:rPr>
              <w:t>Secretariat.AA@dpc.vic.gov.au</w:t>
            </w:r>
          </w:p>
        </w:tc>
      </w:tr>
      <w:tr w:rsidR="0054547D" w:rsidRPr="000440EB" w14:paraId="0AEB70CA" w14:textId="77777777" w:rsidTr="005454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Pr>
          <w:p w14:paraId="553FF991" w14:textId="77777777" w:rsidR="0054547D" w:rsidRPr="001768F9" w:rsidRDefault="0054547D">
            <w:pPr>
              <w:pStyle w:val="DPCbody"/>
              <w:spacing w:before="60" w:after="60"/>
              <w:rPr>
                <w:rFonts w:cstheme="minorHAnsi"/>
              </w:rPr>
            </w:pPr>
            <w:r>
              <w:rPr>
                <w:rFonts w:cstheme="minorHAnsi"/>
              </w:rPr>
              <w:t xml:space="preserve">Diversity on boards (Regional), Regional Development Victoria </w:t>
            </w:r>
          </w:p>
        </w:tc>
        <w:tc>
          <w:tcPr>
            <w:tcW w:w="5145" w:type="dxa"/>
          </w:tcPr>
          <w:p w14:paraId="12561189" w14:textId="77777777" w:rsidR="0054547D" w:rsidRPr="00A02272" w:rsidRDefault="0054547D">
            <w:pPr>
              <w:pStyle w:val="DPCbody"/>
              <w:spacing w:before="60" w:after="60"/>
              <w:cnfStyle w:val="000000010000" w:firstRow="0" w:lastRow="0" w:firstColumn="0" w:lastColumn="0" w:oddVBand="0" w:evenVBand="0" w:oddHBand="0" w:evenHBand="1" w:firstRowFirstColumn="0" w:firstRowLastColumn="0" w:lastRowFirstColumn="0" w:lastRowLastColumn="0"/>
              <w:rPr>
                <w:rFonts w:cstheme="minorHAnsi"/>
                <w:color w:val="0072CE" w:themeColor="accent1"/>
                <w:u w:val="single"/>
                <w:lang w:val="en-US"/>
              </w:rPr>
            </w:pPr>
            <w:hyperlink r:id="rId33" w:history="1">
              <w:r w:rsidRPr="00A02272">
                <w:rPr>
                  <w:rStyle w:val="Hyperlink"/>
                  <w:rFonts w:cstheme="minorHAnsi"/>
                  <w:color w:val="0072CE" w:themeColor="accent1"/>
                  <w:u w:val="single"/>
                  <w:lang w:val="en-US"/>
                </w:rPr>
                <w:t>rdv@rdv.vic.gov.au</w:t>
              </w:r>
            </w:hyperlink>
          </w:p>
        </w:tc>
      </w:tr>
      <w:tr w:rsidR="0054547D" w:rsidRPr="000440EB" w14:paraId="4E2033F2" w14:textId="77777777" w:rsidTr="005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Pr>
          <w:p w14:paraId="0552BBD2" w14:textId="77777777" w:rsidR="0054547D" w:rsidRPr="0094625C" w:rsidRDefault="0054547D">
            <w:pPr>
              <w:pStyle w:val="DPCbody"/>
              <w:spacing w:before="60" w:after="60"/>
              <w:rPr>
                <w:rFonts w:cstheme="minorHAnsi"/>
              </w:rPr>
            </w:pPr>
            <w:r w:rsidRPr="00AA0673">
              <w:t>Vic</w:t>
            </w:r>
            <w:r>
              <w:t>torian Public Sector Commission</w:t>
            </w:r>
          </w:p>
        </w:tc>
        <w:tc>
          <w:tcPr>
            <w:tcW w:w="5145" w:type="dxa"/>
          </w:tcPr>
          <w:p w14:paraId="51FC10E0" w14:textId="77777777" w:rsidR="0054547D" w:rsidRPr="00A02272" w:rsidRDefault="0054547D">
            <w:pPr>
              <w:pStyle w:val="DPCbody"/>
              <w:spacing w:before="120" w:after="120"/>
              <w:cnfStyle w:val="000000100000" w:firstRow="0" w:lastRow="0" w:firstColumn="0" w:lastColumn="0" w:oddVBand="0" w:evenVBand="0" w:oddHBand="1" w:evenHBand="0" w:firstRowFirstColumn="0" w:firstRowLastColumn="0" w:lastRowFirstColumn="0" w:lastRowLastColumn="0"/>
              <w:rPr>
                <w:rFonts w:cstheme="minorHAnsi"/>
                <w:color w:val="0072CE" w:themeColor="accent1"/>
                <w:u w:val="single"/>
                <w:lang w:eastAsia="en-AU"/>
              </w:rPr>
            </w:pPr>
            <w:hyperlink r:id="rId34" w:history="1">
              <w:r w:rsidRPr="00A02272">
                <w:rPr>
                  <w:rStyle w:val="Hyperlink"/>
                  <w:color w:val="0072CE" w:themeColor="accent1"/>
                  <w:u w:val="single"/>
                </w:rPr>
                <w:t>info@vpsc.vic.gov.au</w:t>
              </w:r>
            </w:hyperlink>
          </w:p>
        </w:tc>
      </w:tr>
    </w:tbl>
    <w:p w14:paraId="2F5D9900" w14:textId="77777777" w:rsidR="0054547D" w:rsidRPr="0054547D" w:rsidRDefault="0054547D" w:rsidP="0054547D">
      <w:pPr>
        <w:pStyle w:val="DPCbody"/>
        <w:rPr>
          <w:color w:val="auto"/>
        </w:rPr>
      </w:pPr>
    </w:p>
    <w:p w14:paraId="1F88F173" w14:textId="77777777" w:rsidR="0054547D" w:rsidRDefault="0054547D" w:rsidP="0054547D">
      <w:pPr>
        <w:pStyle w:val="Heading2"/>
      </w:pPr>
      <w:bookmarkStart w:id="7" w:name="_Toc147909815"/>
      <w:bookmarkStart w:id="8" w:name="_Toc176339425"/>
      <w:r>
        <w:t>If a new non-departmental entity is being created, the Premier’s Circular on the Creation and Review of Entities applies</w:t>
      </w:r>
      <w:bookmarkEnd w:id="7"/>
      <w:bookmarkEnd w:id="8"/>
    </w:p>
    <w:p w14:paraId="63A39C9F" w14:textId="77777777" w:rsidR="0054547D" w:rsidRDefault="0054547D" w:rsidP="0054547D">
      <w:pPr>
        <w:pStyle w:val="DPCbody"/>
        <w:numPr>
          <w:ilvl w:val="1"/>
          <w:numId w:val="18"/>
        </w:numPr>
        <w:ind w:left="851" w:hanging="567"/>
      </w:pPr>
      <w:r>
        <w:t xml:space="preserve">The Premier’s Circular No. </w:t>
      </w:r>
      <w:r w:rsidRPr="0065764A">
        <w:t xml:space="preserve">2013/2, </w:t>
      </w:r>
      <w:r w:rsidRPr="0065764A">
        <w:rPr>
          <w:i/>
        </w:rPr>
        <w:t xml:space="preserve">Creation and Review of Non-Departmental Entities </w:t>
      </w:r>
      <w:r w:rsidRPr="0065764A">
        <w:rPr>
          <w:iCs/>
        </w:rPr>
        <w:t>applies</w:t>
      </w:r>
      <w:r>
        <w:t xml:space="preserve"> to the creation of new non-departmental entities.</w:t>
      </w:r>
      <w:r w:rsidRPr="0065764A">
        <w:t xml:space="preserve"> Under this Premier’s Circular, </w:t>
      </w:r>
      <w:r>
        <w:t xml:space="preserve">a series of steps, including </w:t>
      </w:r>
      <w:r w:rsidRPr="0065764A">
        <w:t>Cabinet approval</w:t>
      </w:r>
      <w:r>
        <w:t>,</w:t>
      </w:r>
      <w:r w:rsidRPr="0065764A">
        <w:t xml:space="preserve"> is required for the creation of new non-departmental entities</w:t>
      </w:r>
      <w:r>
        <w:t>.</w:t>
      </w:r>
      <w:r w:rsidRPr="0065764A">
        <w:t xml:space="preserve"> </w:t>
      </w:r>
      <w:r>
        <w:t>T</w:t>
      </w:r>
      <w:r w:rsidRPr="0065764A">
        <w:t xml:space="preserve">he Circular </w:t>
      </w:r>
      <w:r>
        <w:t xml:space="preserve">also </w:t>
      </w:r>
      <w:r w:rsidRPr="0065764A">
        <w:t>provides guidance on the creation of new entities</w:t>
      </w:r>
      <w:r>
        <w:t>.</w:t>
      </w:r>
    </w:p>
    <w:p w14:paraId="16BC636B" w14:textId="77777777" w:rsidR="0054547D" w:rsidRDefault="0054547D" w:rsidP="0054547D">
      <w:pPr>
        <w:pStyle w:val="DPCbody"/>
        <w:numPr>
          <w:ilvl w:val="1"/>
          <w:numId w:val="18"/>
        </w:numPr>
        <w:ind w:left="851" w:hanging="567"/>
        <w:rPr>
          <w:iCs/>
        </w:rPr>
      </w:pPr>
      <w:r>
        <w:t xml:space="preserve">A copy of </w:t>
      </w:r>
      <w:r w:rsidRPr="0065764A">
        <w:t xml:space="preserve">the Premier’s Circular No. 2013/2, </w:t>
      </w:r>
      <w:r w:rsidRPr="0065764A">
        <w:rPr>
          <w:i/>
        </w:rPr>
        <w:t>Creation and Review of Non-Departmental Entities</w:t>
      </w:r>
      <w:r w:rsidRPr="0065764A">
        <w:rPr>
          <w:iCs/>
        </w:rPr>
        <w:t xml:space="preserve"> </w:t>
      </w:r>
      <w:r>
        <w:rPr>
          <w:iCs/>
        </w:rPr>
        <w:t xml:space="preserve">and associated process document </w:t>
      </w:r>
      <w:r>
        <w:t xml:space="preserve">is available on request from Governance Branch at </w:t>
      </w:r>
      <w:hyperlink r:id="rId35" w:history="1">
        <w:r w:rsidRPr="00A02272">
          <w:rPr>
            <w:rStyle w:val="Hyperlink"/>
            <w:color w:val="0072CE" w:themeColor="accent1"/>
            <w:u w:val="single"/>
          </w:rPr>
          <w:t>publicsectorgovernance@dpc.vic.gov.au</w:t>
        </w:r>
      </w:hyperlink>
      <w:r>
        <w:t xml:space="preserve"> </w:t>
      </w:r>
    </w:p>
    <w:p w14:paraId="3B008F5F" w14:textId="03963342" w:rsidR="0054547D" w:rsidRDefault="0054547D" w:rsidP="00B7439D">
      <w:pPr>
        <w:pStyle w:val="Introduction"/>
      </w:pPr>
    </w:p>
    <w:p w14:paraId="34392BF1" w14:textId="77777777" w:rsidR="0054547D" w:rsidRDefault="0054547D" w:rsidP="0054547D">
      <w:pPr>
        <w:pStyle w:val="BodyText"/>
        <w:rPr>
          <w:color w:val="201547" w:themeColor="text2"/>
          <w:sz w:val="28"/>
        </w:rPr>
      </w:pPr>
      <w:r>
        <w:br w:type="page"/>
      </w:r>
    </w:p>
    <w:p w14:paraId="6410CBC0" w14:textId="4CF6B7C3" w:rsidR="00B26A74" w:rsidRPr="00F62E31" w:rsidRDefault="005D7B37" w:rsidP="00B26A74">
      <w:pPr>
        <w:pStyle w:val="Heading3"/>
        <w:jc w:val="center"/>
        <w:rPr>
          <w:rFonts w:ascii="Arial" w:hAnsi="Arial" w:cs="Arial"/>
          <w:b w:val="0"/>
          <w:bCs/>
        </w:rPr>
      </w:pPr>
      <w:bookmarkStart w:id="9" w:name="_Toc176339426"/>
      <w:r>
        <w:rPr>
          <w:noProof/>
        </w:rPr>
        <w:lastRenderedPageBreak/>
        <mc:AlternateContent>
          <mc:Choice Requires="wps">
            <w:drawing>
              <wp:anchor distT="0" distB="0" distL="114300" distR="114300" simplePos="0" relativeHeight="251658246" behindDoc="0" locked="0" layoutInCell="1" allowOverlap="1" wp14:anchorId="2DCC7F82" wp14:editId="267C6C11">
                <wp:simplePos x="0" y="0"/>
                <wp:positionH relativeFrom="column">
                  <wp:posOffset>1575849</wp:posOffset>
                </wp:positionH>
                <wp:positionV relativeFrom="paragraph">
                  <wp:posOffset>102345</wp:posOffset>
                </wp:positionV>
                <wp:extent cx="3505489" cy="429370"/>
                <wp:effectExtent l="0" t="0" r="0" b="0"/>
                <wp:wrapNone/>
                <wp:docPr id="1863510825" name="Text Box 1"/>
                <wp:cNvGraphicFramePr/>
                <a:graphic xmlns:a="http://schemas.openxmlformats.org/drawingml/2006/main">
                  <a:graphicData uri="http://schemas.microsoft.com/office/word/2010/wordprocessingShape">
                    <wps:wsp>
                      <wps:cNvSpPr txBox="1"/>
                      <wps:spPr>
                        <a:xfrm>
                          <a:off x="0" y="0"/>
                          <a:ext cx="3505489" cy="429370"/>
                        </a:xfrm>
                        <a:prstGeom prst="rect">
                          <a:avLst/>
                        </a:prstGeom>
                        <a:noFill/>
                        <a:ln w="6350">
                          <a:noFill/>
                        </a:ln>
                      </wps:spPr>
                      <wps:txbx>
                        <w:txbxContent>
                          <w:p w14:paraId="081AE6D3" w14:textId="77777777" w:rsidR="00BC388E" w:rsidRPr="004F163E" w:rsidRDefault="00BC388E" w:rsidP="004F163E">
                            <w:pPr>
                              <w:pStyle w:val="Heading4"/>
                            </w:pPr>
                            <w:bookmarkStart w:id="10" w:name="_Hlk175665074"/>
                            <w:bookmarkStart w:id="11" w:name="_Hlk175665075"/>
                            <w:r w:rsidRPr="004F163E">
                              <w:t>When you become aware of an upcoming vacancy…</w:t>
                            </w:r>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C7F82" id="_x0000_t202" coordsize="21600,21600" o:spt="202" path="m,l,21600r21600,l21600,xe">
                <v:stroke joinstyle="miter"/>
                <v:path gradientshapeok="t" o:connecttype="rect"/>
              </v:shapetype>
              <v:shape id="Text Box 1" o:spid="_x0000_s1026" type="#_x0000_t202" style="position:absolute;left:0;text-align:left;margin-left:124.1pt;margin-top:8.05pt;width:276pt;height:33.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" filled="f" stroked="f" strokeweight=".5pt">
                <v:textbox>
                  <w:txbxContent>
                    <w:p w14:paraId="081AE6D3" w14:textId="77777777" w:rsidR="00BC388E" w:rsidRPr="004F163E" w:rsidRDefault="00BC388E" w:rsidP="004F163E">
                      <w:pPr>
                        <w:pStyle w:val="Heading4"/>
                      </w:pPr>
                      <w:bookmarkStart w:id="12" w:name="_Hlk175665074"/>
                      <w:bookmarkStart w:id="13" w:name="_Hlk175665075"/>
                      <w:r w:rsidRPr="004F163E">
                        <w:t>When you become aware of an upcoming vacancy…</w:t>
                      </w:r>
                      <w:bookmarkEnd w:id="12"/>
                      <w:bookmarkEnd w:id="13"/>
                    </w:p>
                  </w:txbxContent>
                </v:textbox>
              </v:shape>
            </w:pict>
          </mc:Fallback>
        </mc:AlternateContent>
      </w:r>
      <w:r w:rsidR="00B26A74" w:rsidRPr="00F62E31">
        <w:rPr>
          <w:rFonts w:ascii="Arial" w:hAnsi="Arial" w:cs="Arial"/>
        </w:rPr>
        <w:t>Key considerations</w:t>
      </w:r>
      <w:r w:rsidR="00B26A74">
        <w:rPr>
          <w:rFonts w:ascii="Arial" w:hAnsi="Arial" w:cs="Arial"/>
        </w:rPr>
        <w:t xml:space="preserve"> </w:t>
      </w:r>
      <w:r w:rsidR="00B26A74" w:rsidRPr="00F62E31">
        <w:rPr>
          <w:rFonts w:ascii="Arial" w:hAnsi="Arial" w:cs="Arial"/>
        </w:rPr>
        <w:t>in the appointment process</w:t>
      </w:r>
      <w:bookmarkEnd w:id="9"/>
    </w:p>
    <w:p w14:paraId="64AFE9B3" w14:textId="528B8699" w:rsidR="00100033" w:rsidRPr="00194DBF" w:rsidRDefault="00A9270B" w:rsidP="00194DBF">
      <w:pPr>
        <w:pStyle w:val="Heading4"/>
        <w:jc w:val="center"/>
      </w:pPr>
      <w:r>
        <w:rPr>
          <w:noProof/>
        </w:rPr>
        <mc:AlternateContent>
          <mc:Choice Requires="wps">
            <w:drawing>
              <wp:anchor distT="0" distB="0" distL="114300" distR="114300" simplePos="0" relativeHeight="251658253" behindDoc="0" locked="0" layoutInCell="1" allowOverlap="1" wp14:anchorId="26609B3B" wp14:editId="1BEEA4A1">
                <wp:simplePos x="0" y="0"/>
                <wp:positionH relativeFrom="column">
                  <wp:posOffset>16494</wp:posOffset>
                </wp:positionH>
                <wp:positionV relativeFrom="paragraph">
                  <wp:posOffset>314990</wp:posOffset>
                </wp:positionV>
                <wp:extent cx="45719" cy="8299036"/>
                <wp:effectExtent l="76200" t="38100" r="69215" b="64135"/>
                <wp:wrapNone/>
                <wp:docPr id="102837438" name="Straight Arrow Connector 6"/>
                <wp:cNvGraphicFramePr/>
                <a:graphic xmlns:a="http://schemas.openxmlformats.org/drawingml/2006/main">
                  <a:graphicData uri="http://schemas.microsoft.com/office/word/2010/wordprocessingShape">
                    <wps:wsp>
                      <wps:cNvCnPr/>
                      <wps:spPr>
                        <a:xfrm flipH="1">
                          <a:off x="0" y="0"/>
                          <a:ext cx="45719" cy="8299036"/>
                        </a:xfrm>
                        <a:prstGeom prst="straightConnector1">
                          <a:avLst/>
                        </a:prstGeom>
                        <a:ln w="12700">
                          <a:solidFill>
                            <a:srgbClr val="0070C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3E4D6C" id="_x0000_t32" coordsize="21600,21600" o:spt="32" o:oned="t" path="m,l21600,21600e" filled="f">
                <v:path arrowok="t" fillok="f" o:connecttype="none"/>
                <o:lock v:ext="edit" shapetype="t"/>
              </v:shapetype>
              <v:shape id="Straight Arrow Connector 6" o:spid="_x0000_s1026" type="#_x0000_t32" style="position:absolute;margin-left:1.3pt;margin-top:24.8pt;width:3.6pt;height:653.4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" strokecolor="#0070c0" strokeweight="1pt">
                <v:stroke startarrow="block" endarrow="block" joinstyle="miter"/>
              </v:shape>
            </w:pict>
          </mc:Fallback>
        </mc:AlternateContent>
      </w:r>
      <w:r w:rsidR="005D7B37">
        <w:rPr>
          <w:noProof/>
        </w:rPr>
        <mc:AlternateContent>
          <mc:Choice Requires="wps">
            <w:drawing>
              <wp:anchor distT="0" distB="0" distL="114300" distR="114300" simplePos="0" relativeHeight="251658256" behindDoc="0" locked="0" layoutInCell="1" allowOverlap="1" wp14:anchorId="58537BA1" wp14:editId="7CE080C4">
                <wp:simplePos x="0" y="0"/>
                <wp:positionH relativeFrom="column">
                  <wp:posOffset>610401</wp:posOffset>
                </wp:positionH>
                <wp:positionV relativeFrom="paragraph">
                  <wp:posOffset>308610</wp:posOffset>
                </wp:positionV>
                <wp:extent cx="1695450" cy="1591890"/>
                <wp:effectExtent l="0" t="0" r="19050" b="27940"/>
                <wp:wrapNone/>
                <wp:docPr id="706190675" name="Rectangle: Rounded Corners 8"/>
                <wp:cNvGraphicFramePr/>
                <a:graphic xmlns:a="http://schemas.openxmlformats.org/drawingml/2006/main">
                  <a:graphicData uri="http://schemas.microsoft.com/office/word/2010/wordprocessingShape">
                    <wps:wsp>
                      <wps:cNvSpPr/>
                      <wps:spPr>
                        <a:xfrm>
                          <a:off x="0" y="0"/>
                          <a:ext cx="1695450" cy="1591890"/>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0E8DAD" w14:textId="77777777" w:rsidR="00BC388E" w:rsidRPr="00B44D2A" w:rsidRDefault="00BC388E" w:rsidP="0019649D">
                            <w:pPr>
                              <w:pStyle w:val="BodyText"/>
                              <w:jc w:val="center"/>
                            </w:pPr>
                            <w:r w:rsidRPr="00B44D2A">
                              <w:t>Do the Appointment and Remuneration Guidelines apply to the appointment?</w:t>
                            </w:r>
                          </w:p>
                          <w:p w14:paraId="365E02C2" w14:textId="480B5616" w:rsidR="00BC388E" w:rsidRPr="00A26E01" w:rsidRDefault="00BC388E" w:rsidP="00A26E01">
                            <w:pPr>
                              <w:pStyle w:val="BodyText"/>
                              <w:jc w:val="center"/>
                              <w:rPr>
                                <w:b/>
                                <w:bCs/>
                              </w:rPr>
                            </w:pPr>
                            <w:r w:rsidRPr="00A26E01">
                              <w:rPr>
                                <w:b/>
                                <w:bCs/>
                              </w:rPr>
                              <w:t>Pages 8-</w:t>
                            </w:r>
                            <w:r w:rsidR="005D209B">
                              <w:rPr>
                                <w:b/>
                                <w:bCs/>
                              </w:rPr>
                              <w:t>10</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537BA1" id="Rectangle: Rounded Corners 8" o:spid="_x0000_s1027" style="position:absolute;left:0;text-align:left;margin-left:48.05pt;margin-top:24.3pt;width:133.5pt;height:125.3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" filled="f" strokecolor="#0070c0" strokeweight="1.5pt">
                <v:stroke joinstyle="miter"/>
                <v:textbox>
                  <w:txbxContent>
                    <w:p w14:paraId="510E8DAD" w14:textId="77777777" w:rsidR="00BC388E" w:rsidRPr="00B44D2A" w:rsidRDefault="00BC388E" w:rsidP="0019649D">
                      <w:pPr>
                        <w:pStyle w:val="BodyText"/>
                        <w:jc w:val="center"/>
                      </w:pPr>
                      <w:r w:rsidRPr="00B44D2A">
                        <w:t>Do the Appointment and Remuneration Guidelines apply to the appointment?</w:t>
                      </w:r>
                    </w:p>
                    <w:p w14:paraId="365E02C2" w14:textId="480B5616" w:rsidR="00BC388E" w:rsidRPr="00A26E01" w:rsidRDefault="00BC388E" w:rsidP="00A26E01">
                      <w:pPr>
                        <w:pStyle w:val="BodyText"/>
                        <w:jc w:val="center"/>
                        <w:rPr>
                          <w:b/>
                          <w:bCs/>
                        </w:rPr>
                      </w:pPr>
                      <w:r w:rsidRPr="00A26E01">
                        <w:rPr>
                          <w:b/>
                          <w:bCs/>
                        </w:rPr>
                        <w:t>Pages 8-</w:t>
                      </w:r>
                      <w:r w:rsidR="005D209B">
                        <w:rPr>
                          <w:b/>
                          <w:bCs/>
                        </w:rPr>
                        <w:t>10</w:t>
                      </w:r>
                    </w:p>
                  </w:txbxContent>
                </v:textbox>
              </v:roundrect>
            </w:pict>
          </mc:Fallback>
        </mc:AlternateContent>
      </w:r>
      <w:r w:rsidR="005D7B37">
        <w:rPr>
          <w:noProof/>
        </w:rPr>
        <mc:AlternateContent>
          <mc:Choice Requires="wps">
            <w:drawing>
              <wp:anchor distT="0" distB="0" distL="114300" distR="114300" simplePos="0" relativeHeight="251658257" behindDoc="0" locked="0" layoutInCell="1" allowOverlap="1" wp14:anchorId="390F69D6" wp14:editId="47E9D281">
                <wp:simplePos x="0" y="0"/>
                <wp:positionH relativeFrom="column">
                  <wp:posOffset>2435666</wp:posOffset>
                </wp:positionH>
                <wp:positionV relativeFrom="paragraph">
                  <wp:posOffset>308610</wp:posOffset>
                </wp:positionV>
                <wp:extent cx="1695450" cy="1588135"/>
                <wp:effectExtent l="0" t="0" r="19050" b="12065"/>
                <wp:wrapNone/>
                <wp:docPr id="545131799" name="Rectangle: Rounded Corners 9"/>
                <wp:cNvGraphicFramePr/>
                <a:graphic xmlns:a="http://schemas.openxmlformats.org/drawingml/2006/main">
                  <a:graphicData uri="http://schemas.microsoft.com/office/word/2010/wordprocessingShape">
                    <wps:wsp>
                      <wps:cNvSpPr/>
                      <wps:spPr>
                        <a:xfrm>
                          <a:off x="0" y="0"/>
                          <a:ext cx="1695450" cy="1588135"/>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9CAF4E" w14:textId="77777777" w:rsidR="00BC388E" w:rsidRPr="00B44D2A" w:rsidRDefault="00BC388E" w:rsidP="0019649D">
                            <w:pPr>
                              <w:pStyle w:val="BodyText"/>
                              <w:jc w:val="center"/>
                            </w:pPr>
                            <w:r w:rsidRPr="00B44D2A">
                              <w:t>How should a merit-based recruitment process be run?</w:t>
                            </w:r>
                          </w:p>
                          <w:p w14:paraId="48FE3394" w14:textId="1B1DDE14" w:rsidR="00BC388E" w:rsidRPr="00B44D2A" w:rsidRDefault="00BC388E" w:rsidP="0019649D">
                            <w:pPr>
                              <w:pStyle w:val="BodyText"/>
                              <w:jc w:val="center"/>
                              <w:rPr>
                                <w:b/>
                                <w:bCs/>
                              </w:rPr>
                            </w:pPr>
                            <w:r w:rsidRPr="00B44D2A">
                              <w:rPr>
                                <w:b/>
                                <w:bCs/>
                              </w:rPr>
                              <w:t>Pages 1</w:t>
                            </w:r>
                            <w:r w:rsidR="005D209B">
                              <w:rPr>
                                <w:b/>
                                <w:bCs/>
                              </w:rPr>
                              <w:t>1-16</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0F69D6" id="Rectangle: Rounded Corners 9" o:spid="_x0000_s1028" style="position:absolute;left:0;text-align:left;margin-left:191.8pt;margin-top:24.3pt;width:133.5pt;height:125.05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" filled="f" strokecolor="#0070c0" strokeweight="1.5pt">
                <v:stroke joinstyle="miter"/>
                <v:textbox>
                  <w:txbxContent>
                    <w:p w14:paraId="4F9CAF4E" w14:textId="77777777" w:rsidR="00BC388E" w:rsidRPr="00B44D2A" w:rsidRDefault="00BC388E" w:rsidP="0019649D">
                      <w:pPr>
                        <w:pStyle w:val="BodyText"/>
                        <w:jc w:val="center"/>
                      </w:pPr>
                      <w:r w:rsidRPr="00B44D2A">
                        <w:t>How should a merit-based recruitment process be run?</w:t>
                      </w:r>
                    </w:p>
                    <w:p w14:paraId="48FE3394" w14:textId="1B1DDE14" w:rsidR="00BC388E" w:rsidRPr="00B44D2A" w:rsidRDefault="00BC388E" w:rsidP="0019649D">
                      <w:pPr>
                        <w:pStyle w:val="BodyText"/>
                        <w:jc w:val="center"/>
                        <w:rPr>
                          <w:b/>
                          <w:bCs/>
                        </w:rPr>
                      </w:pPr>
                      <w:r w:rsidRPr="00B44D2A">
                        <w:rPr>
                          <w:b/>
                          <w:bCs/>
                        </w:rPr>
                        <w:t>Pages 1</w:t>
                      </w:r>
                      <w:r w:rsidR="005D209B">
                        <w:rPr>
                          <w:b/>
                          <w:bCs/>
                        </w:rPr>
                        <w:t>1-16</w:t>
                      </w:r>
                    </w:p>
                  </w:txbxContent>
                </v:textbox>
              </v:roundrect>
            </w:pict>
          </mc:Fallback>
        </mc:AlternateContent>
      </w:r>
      <w:r w:rsidR="005D7B37">
        <w:rPr>
          <w:noProof/>
        </w:rPr>
        <mc:AlternateContent>
          <mc:Choice Requires="wps">
            <w:drawing>
              <wp:anchor distT="0" distB="0" distL="114300" distR="114300" simplePos="0" relativeHeight="251658247" behindDoc="0" locked="0" layoutInCell="1" allowOverlap="1" wp14:anchorId="6FF615EB" wp14:editId="1E2BBA2F">
                <wp:simplePos x="0" y="0"/>
                <wp:positionH relativeFrom="column">
                  <wp:posOffset>4270182</wp:posOffset>
                </wp:positionH>
                <wp:positionV relativeFrom="paragraph">
                  <wp:posOffset>310239</wp:posOffset>
                </wp:positionV>
                <wp:extent cx="1695450" cy="1588654"/>
                <wp:effectExtent l="0" t="0" r="19050" b="12065"/>
                <wp:wrapNone/>
                <wp:docPr id="1951421282" name="Rectangle: Rounded Corners 2"/>
                <wp:cNvGraphicFramePr/>
                <a:graphic xmlns:a="http://schemas.openxmlformats.org/drawingml/2006/main">
                  <a:graphicData uri="http://schemas.microsoft.com/office/word/2010/wordprocessingShape">
                    <wps:wsp>
                      <wps:cNvSpPr/>
                      <wps:spPr>
                        <a:xfrm>
                          <a:off x="0" y="0"/>
                          <a:ext cx="1695450" cy="1588654"/>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15DAA9" w14:textId="044630A5" w:rsidR="00BC388E" w:rsidRDefault="00BC388E" w:rsidP="0019649D">
                            <w:pPr>
                              <w:pStyle w:val="BodyText"/>
                              <w:jc w:val="center"/>
                            </w:pPr>
                            <w:r>
                              <w:t>For reappointments, how should performance be assessed to determine suitability for reappointment?</w:t>
                            </w:r>
                          </w:p>
                          <w:p w14:paraId="60724D19" w14:textId="061CF03A" w:rsidR="00BC388E" w:rsidRDefault="00BC388E" w:rsidP="0019649D">
                            <w:pPr>
                              <w:pStyle w:val="BodyText"/>
                              <w:jc w:val="center"/>
                              <w:rPr>
                                <w:b/>
                                <w:bCs/>
                              </w:rPr>
                            </w:pPr>
                            <w:r>
                              <w:rPr>
                                <w:b/>
                                <w:bCs/>
                              </w:rPr>
                              <w:t>Pages 1</w:t>
                            </w:r>
                            <w:r w:rsidR="005D209B">
                              <w:rPr>
                                <w:b/>
                                <w:bCs/>
                              </w:rPr>
                              <w:t>4-15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F615EB" id="Rectangle: Rounded Corners 2" o:spid="_x0000_s1029" style="position:absolute;left:0;text-align:left;margin-left:336.25pt;margin-top:24.45pt;width:133.5pt;height:125.1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" filled="f" strokecolor="#0070c0" strokeweight="1.5pt">
                <v:stroke joinstyle="miter"/>
                <v:textbox>
                  <w:txbxContent>
                    <w:p w14:paraId="0B15DAA9" w14:textId="044630A5" w:rsidR="00BC388E" w:rsidRDefault="00BC388E" w:rsidP="0019649D">
                      <w:pPr>
                        <w:pStyle w:val="BodyText"/>
                        <w:jc w:val="center"/>
                      </w:pPr>
                      <w:r>
                        <w:t>For reappointments, how should performance be assessed to determine suitability for reappointment?</w:t>
                      </w:r>
                    </w:p>
                    <w:p w14:paraId="60724D19" w14:textId="061CF03A" w:rsidR="00BC388E" w:rsidRDefault="00BC388E" w:rsidP="0019649D">
                      <w:pPr>
                        <w:pStyle w:val="BodyText"/>
                        <w:jc w:val="center"/>
                        <w:rPr>
                          <w:b/>
                          <w:bCs/>
                        </w:rPr>
                      </w:pPr>
                      <w:r>
                        <w:rPr>
                          <w:b/>
                          <w:bCs/>
                        </w:rPr>
                        <w:t>Pages 1</w:t>
                      </w:r>
                      <w:r w:rsidR="005D209B">
                        <w:rPr>
                          <w:b/>
                          <w:bCs/>
                        </w:rPr>
                        <w:t>4-15</w:t>
                      </w:r>
                    </w:p>
                  </w:txbxContent>
                </v:textbox>
              </v:roundrect>
            </w:pict>
          </mc:Fallback>
        </mc:AlternateContent>
      </w:r>
    </w:p>
    <w:p w14:paraId="4426123B" w14:textId="50FB44CE" w:rsidR="0054547D" w:rsidRDefault="0054547D" w:rsidP="00B7439D">
      <w:pPr>
        <w:pStyle w:val="Introduction"/>
      </w:pPr>
    </w:p>
    <w:p w14:paraId="4FCE45D2" w14:textId="2F1BFB00" w:rsidR="0054547D" w:rsidRDefault="006168EF" w:rsidP="0054547D">
      <w:pPr>
        <w:pStyle w:val="BodyText"/>
        <w:rPr>
          <w:color w:val="201547" w:themeColor="text2"/>
          <w:sz w:val="28"/>
        </w:rPr>
      </w:pPr>
      <w:r>
        <w:rPr>
          <w:noProof/>
        </w:rPr>
        <mc:AlternateContent>
          <mc:Choice Requires="wps">
            <w:drawing>
              <wp:anchor distT="0" distB="0" distL="114300" distR="114300" simplePos="0" relativeHeight="251658260" behindDoc="0" locked="0" layoutInCell="1" allowOverlap="1" wp14:anchorId="0E125B18" wp14:editId="49597D60">
                <wp:simplePos x="0" y="0"/>
                <wp:positionH relativeFrom="column">
                  <wp:posOffset>3403408</wp:posOffset>
                </wp:positionH>
                <wp:positionV relativeFrom="paragraph">
                  <wp:posOffset>3607538</wp:posOffset>
                </wp:positionV>
                <wp:extent cx="2508250" cy="1053465"/>
                <wp:effectExtent l="0" t="0" r="25400" b="13335"/>
                <wp:wrapNone/>
                <wp:docPr id="594787653" name="Rectangle: Rounded Corners 12"/>
                <wp:cNvGraphicFramePr/>
                <a:graphic xmlns:a="http://schemas.openxmlformats.org/drawingml/2006/main">
                  <a:graphicData uri="http://schemas.microsoft.com/office/word/2010/wordprocessingShape">
                    <wps:wsp>
                      <wps:cNvSpPr/>
                      <wps:spPr>
                        <a:xfrm>
                          <a:off x="0" y="0"/>
                          <a:ext cx="2508250" cy="1053465"/>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1028B0" w14:textId="75744055" w:rsidR="00BC388E" w:rsidRPr="00770B16" w:rsidRDefault="00BC388E" w:rsidP="00FD150A">
                            <w:pPr>
                              <w:pStyle w:val="BodyText"/>
                              <w:jc w:val="center"/>
                            </w:pPr>
                            <w:r w:rsidRPr="00770B16">
                              <w:t>Does the preferred candidate reside in Victoria?</w:t>
                            </w:r>
                          </w:p>
                          <w:p w14:paraId="09F5DFD4" w14:textId="165FAD2F" w:rsidR="00BC388E" w:rsidRPr="00770B16" w:rsidRDefault="00BC388E" w:rsidP="00FD150A">
                            <w:pPr>
                              <w:pStyle w:val="BodyText"/>
                              <w:jc w:val="center"/>
                              <w:rPr>
                                <w:b/>
                                <w:bCs/>
                              </w:rPr>
                            </w:pPr>
                            <w:r w:rsidRPr="00770B16">
                              <w:rPr>
                                <w:b/>
                                <w:bCs/>
                              </w:rPr>
                              <w:t xml:space="preserve">Page </w:t>
                            </w:r>
                            <w:r w:rsidR="009E40F1">
                              <w:rPr>
                                <w:b/>
                                <w:bCs/>
                              </w:rPr>
                              <w:t>20</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25B18" id="Rectangle: Rounded Corners 12" o:spid="_x0000_s1030" style="position:absolute;margin-left:268pt;margin-top:284.05pt;width:197.5pt;height:82.9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" filled="f" strokecolor="#0070c0" strokeweight="1.5pt">
                <v:stroke joinstyle="miter"/>
                <v:textbox>
                  <w:txbxContent>
                    <w:p w14:paraId="5F1028B0" w14:textId="75744055" w:rsidR="00BC388E" w:rsidRPr="00770B16" w:rsidRDefault="00BC388E" w:rsidP="00FD150A">
                      <w:pPr>
                        <w:pStyle w:val="BodyText"/>
                        <w:jc w:val="center"/>
                      </w:pPr>
                      <w:r w:rsidRPr="00770B16">
                        <w:t>Does the preferred candidate reside in Victoria?</w:t>
                      </w:r>
                    </w:p>
                    <w:p w14:paraId="09F5DFD4" w14:textId="165FAD2F" w:rsidR="00BC388E" w:rsidRPr="00770B16" w:rsidRDefault="00BC388E" w:rsidP="00FD150A">
                      <w:pPr>
                        <w:pStyle w:val="BodyText"/>
                        <w:jc w:val="center"/>
                        <w:rPr>
                          <w:b/>
                          <w:bCs/>
                        </w:rPr>
                      </w:pPr>
                      <w:r w:rsidRPr="00770B16">
                        <w:rPr>
                          <w:b/>
                          <w:bCs/>
                        </w:rPr>
                        <w:t xml:space="preserve">Page </w:t>
                      </w:r>
                      <w:r w:rsidR="009E40F1">
                        <w:rPr>
                          <w:b/>
                          <w:bCs/>
                        </w:rPr>
                        <w:t>20</w:t>
                      </w:r>
                    </w:p>
                  </w:txbxContent>
                </v:textbox>
              </v:roundrect>
            </w:pict>
          </mc:Fallback>
        </mc:AlternateContent>
      </w:r>
      <w:r w:rsidR="00A9270B">
        <w:rPr>
          <w:noProof/>
        </w:rPr>
        <mc:AlternateContent>
          <mc:Choice Requires="wps">
            <w:drawing>
              <wp:anchor distT="0" distB="0" distL="114300" distR="114300" simplePos="0" relativeHeight="251658245" behindDoc="0" locked="0" layoutInCell="1" allowOverlap="1" wp14:anchorId="1519D0D9" wp14:editId="2A0A86D1">
                <wp:simplePos x="0" y="0"/>
                <wp:positionH relativeFrom="column">
                  <wp:posOffset>-1256007</wp:posOffset>
                </wp:positionH>
                <wp:positionV relativeFrom="paragraph">
                  <wp:posOffset>3138696</wp:posOffset>
                </wp:positionV>
                <wp:extent cx="2028190" cy="389373"/>
                <wp:effectExtent l="317" t="0" r="0" b="0"/>
                <wp:wrapNone/>
                <wp:docPr id="684673686" name="Text Box 1"/>
                <wp:cNvGraphicFramePr/>
                <a:graphic xmlns:a="http://schemas.openxmlformats.org/drawingml/2006/main">
                  <a:graphicData uri="http://schemas.microsoft.com/office/word/2010/wordprocessingShape">
                    <wps:wsp>
                      <wps:cNvSpPr txBox="1"/>
                      <wps:spPr>
                        <a:xfrm rot="16200000">
                          <a:off x="0" y="0"/>
                          <a:ext cx="2028190" cy="389373"/>
                        </a:xfrm>
                        <a:prstGeom prst="rect">
                          <a:avLst/>
                        </a:prstGeom>
                        <a:solidFill>
                          <a:schemeClr val="lt1"/>
                        </a:solidFill>
                        <a:ln w="6350">
                          <a:noFill/>
                        </a:ln>
                      </wps:spPr>
                      <wps:txbx>
                        <w:txbxContent>
                          <w:p w14:paraId="6B24FD46" w14:textId="77777777" w:rsidR="004E09DD" w:rsidRPr="00C6407C" w:rsidRDefault="004E09DD" w:rsidP="00194DBF">
                            <w:pPr>
                              <w:pStyle w:val="Heading4"/>
                            </w:pPr>
                            <w:r w:rsidRPr="00C6407C">
                              <w:t>Approximately six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19D0D9" id="_x0000_s1031" type="#_x0000_t202" style="position:absolute;margin-left:-98.9pt;margin-top:247.15pt;width:159.7pt;height:30.65pt;rotation:-90;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" fillcolor="white [3201]" stroked="f" strokeweight=".5pt">
                <v:textbox>
                  <w:txbxContent>
                    <w:p w14:paraId="6B24FD46" w14:textId="77777777" w:rsidR="004E09DD" w:rsidRPr="00C6407C" w:rsidRDefault="004E09DD" w:rsidP="00194DBF">
                      <w:pPr>
                        <w:pStyle w:val="Heading4"/>
                      </w:pPr>
                      <w:r w:rsidRPr="00C6407C">
                        <w:t>Approximately six months</w:t>
                      </w:r>
                    </w:p>
                  </w:txbxContent>
                </v:textbox>
              </v:shape>
            </w:pict>
          </mc:Fallback>
        </mc:AlternateContent>
      </w:r>
      <w:r w:rsidR="00A9270B">
        <w:rPr>
          <w:noProof/>
        </w:rPr>
        <mc:AlternateContent>
          <mc:Choice Requires="wps">
            <w:drawing>
              <wp:anchor distT="0" distB="0" distL="114300" distR="114300" simplePos="0" relativeHeight="251658251" behindDoc="0" locked="0" layoutInCell="1" allowOverlap="1" wp14:anchorId="687B9719" wp14:editId="32D4D990">
                <wp:simplePos x="0" y="0"/>
                <wp:positionH relativeFrom="column">
                  <wp:posOffset>1602105</wp:posOffset>
                </wp:positionH>
                <wp:positionV relativeFrom="paragraph">
                  <wp:posOffset>4655346</wp:posOffset>
                </wp:positionV>
                <wp:extent cx="3653155" cy="535305"/>
                <wp:effectExtent l="0" t="0" r="0" b="0"/>
                <wp:wrapNone/>
                <wp:docPr id="2137908809" name="Text Box 1"/>
                <wp:cNvGraphicFramePr/>
                <a:graphic xmlns:a="http://schemas.openxmlformats.org/drawingml/2006/main">
                  <a:graphicData uri="http://schemas.microsoft.com/office/word/2010/wordprocessingShape">
                    <wps:wsp>
                      <wps:cNvSpPr txBox="1"/>
                      <wps:spPr>
                        <a:xfrm>
                          <a:off x="0" y="0"/>
                          <a:ext cx="3653155" cy="535305"/>
                        </a:xfrm>
                        <a:prstGeom prst="rect">
                          <a:avLst/>
                        </a:prstGeom>
                        <a:noFill/>
                        <a:ln w="6350">
                          <a:noFill/>
                        </a:ln>
                      </wps:spPr>
                      <wps:txbx>
                        <w:txbxContent>
                          <w:p w14:paraId="517A4382" w14:textId="77777777" w:rsidR="00BC388E" w:rsidRPr="00C6407C" w:rsidRDefault="00BC388E" w:rsidP="004F163E">
                            <w:pPr>
                              <w:pStyle w:val="Heading4"/>
                            </w:pPr>
                            <w:r w:rsidRPr="00C6407C">
                              <w:t>When preparing to appoint the preferred candidate…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B9719" id="_x0000_s1032" type="#_x0000_t202" style="position:absolute;margin-left:126.15pt;margin-top:366.55pt;width:287.65pt;height:42.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" filled="f" stroked="f" strokeweight=".5pt">
                <v:textbox>
                  <w:txbxContent>
                    <w:p w14:paraId="517A4382" w14:textId="77777777" w:rsidR="00BC388E" w:rsidRPr="00C6407C" w:rsidRDefault="00BC388E" w:rsidP="004F163E">
                      <w:pPr>
                        <w:pStyle w:val="Heading4"/>
                      </w:pPr>
                      <w:r w:rsidRPr="00C6407C">
                        <w:t>When preparing to appoint the preferred candidate…</w:t>
                      </w:r>
                    </w:p>
                  </w:txbxContent>
                </v:textbox>
              </v:shape>
            </w:pict>
          </mc:Fallback>
        </mc:AlternateContent>
      </w:r>
      <w:r w:rsidR="00A9270B">
        <w:rPr>
          <w:noProof/>
        </w:rPr>
        <mc:AlternateContent>
          <mc:Choice Requires="wps">
            <w:drawing>
              <wp:anchor distT="0" distB="0" distL="114300" distR="114300" simplePos="0" relativeHeight="251658254" behindDoc="0" locked="0" layoutInCell="1" allowOverlap="1" wp14:anchorId="406DF2CC" wp14:editId="79C789ED">
                <wp:simplePos x="0" y="0"/>
                <wp:positionH relativeFrom="column">
                  <wp:posOffset>2100580</wp:posOffset>
                </wp:positionH>
                <wp:positionV relativeFrom="paragraph">
                  <wp:posOffset>6434294</wp:posOffset>
                </wp:positionV>
                <wp:extent cx="2487295" cy="424815"/>
                <wp:effectExtent l="0" t="0" r="0" b="0"/>
                <wp:wrapNone/>
                <wp:docPr id="189216005" name="Text Box 1"/>
                <wp:cNvGraphicFramePr/>
                <a:graphic xmlns:a="http://schemas.openxmlformats.org/drawingml/2006/main">
                  <a:graphicData uri="http://schemas.microsoft.com/office/word/2010/wordprocessingShape">
                    <wps:wsp>
                      <wps:cNvSpPr txBox="1"/>
                      <wps:spPr>
                        <a:xfrm>
                          <a:off x="0" y="0"/>
                          <a:ext cx="2487295" cy="424815"/>
                        </a:xfrm>
                        <a:prstGeom prst="rect">
                          <a:avLst/>
                        </a:prstGeom>
                        <a:noFill/>
                        <a:ln w="6350">
                          <a:noFill/>
                        </a:ln>
                      </wps:spPr>
                      <wps:txbx>
                        <w:txbxContent>
                          <w:p w14:paraId="3A1BAFBD" w14:textId="77777777" w:rsidR="00BC388E" w:rsidRPr="00C6407C" w:rsidRDefault="00BC388E" w:rsidP="004F163E">
                            <w:pPr>
                              <w:pStyle w:val="Heading4"/>
                            </w:pPr>
                            <w:r w:rsidRPr="00C6407C">
                              <w:t>After the appointment is approved…</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DF2CC" id="_x0000_s1033" type="#_x0000_t202" style="position:absolute;margin-left:165.4pt;margin-top:506.65pt;width:195.85pt;height:33.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" filled="f" stroked="f" strokeweight=".5pt">
                <v:textbox>
                  <w:txbxContent>
                    <w:p w14:paraId="3A1BAFBD" w14:textId="77777777" w:rsidR="00BC388E" w:rsidRPr="00C6407C" w:rsidRDefault="00BC388E" w:rsidP="004F163E">
                      <w:pPr>
                        <w:pStyle w:val="Heading4"/>
                      </w:pPr>
                      <w:r w:rsidRPr="00C6407C">
                        <w:t>After the appointment is approved…</w:t>
                      </w:r>
                    </w:p>
                  </w:txbxContent>
                </v:textbox>
              </v:shape>
            </w:pict>
          </mc:Fallback>
        </mc:AlternateContent>
      </w:r>
      <w:r w:rsidR="00934BC6">
        <w:rPr>
          <w:noProof/>
        </w:rPr>
        <mc:AlternateContent>
          <mc:Choice Requires="wps">
            <w:drawing>
              <wp:anchor distT="0" distB="0" distL="114300" distR="114300" simplePos="0" relativeHeight="251658255" behindDoc="0" locked="0" layoutInCell="1" allowOverlap="1" wp14:anchorId="39BF7501" wp14:editId="7338205A">
                <wp:simplePos x="0" y="0"/>
                <wp:positionH relativeFrom="column">
                  <wp:posOffset>3399790</wp:posOffset>
                </wp:positionH>
                <wp:positionV relativeFrom="paragraph">
                  <wp:posOffset>6869269</wp:posOffset>
                </wp:positionV>
                <wp:extent cx="1685925" cy="1038225"/>
                <wp:effectExtent l="0" t="0" r="28575" b="28575"/>
                <wp:wrapNone/>
                <wp:docPr id="626039788" name="Rectangle: Rounded Corners 7"/>
                <wp:cNvGraphicFramePr/>
                <a:graphic xmlns:a="http://schemas.openxmlformats.org/drawingml/2006/main">
                  <a:graphicData uri="http://schemas.microsoft.com/office/word/2010/wordprocessingShape">
                    <wps:wsp>
                      <wps:cNvSpPr/>
                      <wps:spPr>
                        <a:xfrm>
                          <a:off x="0" y="0"/>
                          <a:ext cx="1685925" cy="1038225"/>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31AB6B" w14:textId="77777777" w:rsidR="00BC388E" w:rsidRDefault="00BC388E" w:rsidP="00D845A6">
                            <w:pPr>
                              <w:pStyle w:val="BodyText"/>
                              <w:jc w:val="center"/>
                            </w:pPr>
                            <w:r>
                              <w:t>What reporting obligations are there for appointments?</w:t>
                            </w:r>
                          </w:p>
                          <w:p w14:paraId="338A05D5" w14:textId="0C0BB14A" w:rsidR="00BC388E" w:rsidRDefault="00BC388E" w:rsidP="00D845A6">
                            <w:pPr>
                              <w:pStyle w:val="BodyText"/>
                              <w:jc w:val="center"/>
                              <w:rPr>
                                <w:b/>
                                <w:bCs/>
                              </w:rPr>
                            </w:pPr>
                            <w:r>
                              <w:rPr>
                                <w:b/>
                                <w:bCs/>
                              </w:rPr>
                              <w:t>Page 3</w:t>
                            </w:r>
                            <w:r w:rsidR="00CB0167">
                              <w:rPr>
                                <w:b/>
                                <w:bCs/>
                              </w:rPr>
                              <w:t>7</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BF7501" id="Rectangle: Rounded Corners 7" o:spid="_x0000_s1034" style="position:absolute;margin-left:267.7pt;margin-top:540.9pt;width:132.75pt;height:81.7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" filled="f" strokecolor="#0070c0" strokeweight="1.5pt">
                <v:stroke joinstyle="miter"/>
                <v:textbox>
                  <w:txbxContent>
                    <w:p w14:paraId="5331AB6B" w14:textId="77777777" w:rsidR="00BC388E" w:rsidRDefault="00BC388E" w:rsidP="00D845A6">
                      <w:pPr>
                        <w:pStyle w:val="BodyText"/>
                        <w:jc w:val="center"/>
                      </w:pPr>
                      <w:r>
                        <w:t>What reporting obligations are there for appointments?</w:t>
                      </w:r>
                    </w:p>
                    <w:p w14:paraId="338A05D5" w14:textId="0C0BB14A" w:rsidR="00BC388E" w:rsidRDefault="00BC388E" w:rsidP="00D845A6">
                      <w:pPr>
                        <w:pStyle w:val="BodyText"/>
                        <w:jc w:val="center"/>
                        <w:rPr>
                          <w:b/>
                          <w:bCs/>
                        </w:rPr>
                      </w:pPr>
                      <w:r>
                        <w:rPr>
                          <w:b/>
                          <w:bCs/>
                        </w:rPr>
                        <w:t>Page 3</w:t>
                      </w:r>
                      <w:r w:rsidR="00CB0167">
                        <w:rPr>
                          <w:b/>
                          <w:bCs/>
                        </w:rPr>
                        <w:t>7</w:t>
                      </w:r>
                    </w:p>
                  </w:txbxContent>
                </v:textbox>
              </v:roundrect>
            </w:pict>
          </mc:Fallback>
        </mc:AlternateContent>
      </w:r>
      <w:r w:rsidR="00934BC6">
        <w:rPr>
          <w:noProof/>
        </w:rPr>
        <mc:AlternateContent>
          <mc:Choice Requires="wps">
            <w:drawing>
              <wp:anchor distT="0" distB="0" distL="114300" distR="114300" simplePos="0" relativeHeight="251658263" behindDoc="0" locked="0" layoutInCell="1" allowOverlap="1" wp14:anchorId="11470FA4" wp14:editId="58DACDD6">
                <wp:simplePos x="0" y="0"/>
                <wp:positionH relativeFrom="column">
                  <wp:posOffset>1482090</wp:posOffset>
                </wp:positionH>
                <wp:positionV relativeFrom="paragraph">
                  <wp:posOffset>6862919</wp:posOffset>
                </wp:positionV>
                <wp:extent cx="1717675" cy="1044575"/>
                <wp:effectExtent l="0" t="0" r="15875" b="22225"/>
                <wp:wrapNone/>
                <wp:docPr id="1413108077" name="Rectangle: Rounded Corners 15"/>
                <wp:cNvGraphicFramePr/>
                <a:graphic xmlns:a="http://schemas.openxmlformats.org/drawingml/2006/main">
                  <a:graphicData uri="http://schemas.microsoft.com/office/word/2010/wordprocessingShape">
                    <wps:wsp>
                      <wps:cNvSpPr/>
                      <wps:spPr>
                        <a:xfrm>
                          <a:off x="0" y="0"/>
                          <a:ext cx="1717675" cy="1044575"/>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9F4BB8" w14:textId="59178E40" w:rsidR="00BC388E" w:rsidRPr="00067B6D" w:rsidRDefault="00BC388E" w:rsidP="00D845A6">
                            <w:pPr>
                              <w:pStyle w:val="BodyText"/>
                              <w:jc w:val="center"/>
                            </w:pPr>
                            <w:r w:rsidRPr="00067B6D">
                              <w:t>What induction does the appointee need?</w:t>
                            </w:r>
                          </w:p>
                          <w:p w14:paraId="5E28A29D" w14:textId="6691D146" w:rsidR="00BC388E" w:rsidRPr="00067B6D" w:rsidRDefault="00BC388E" w:rsidP="00D845A6">
                            <w:pPr>
                              <w:pStyle w:val="BodyText"/>
                              <w:jc w:val="center"/>
                              <w:rPr>
                                <w:b/>
                                <w:bCs/>
                              </w:rPr>
                            </w:pPr>
                            <w:r w:rsidRPr="00067B6D">
                              <w:rPr>
                                <w:b/>
                                <w:bCs/>
                              </w:rPr>
                              <w:t>Pages 3</w:t>
                            </w:r>
                            <w:r w:rsidR="00CB0167">
                              <w:rPr>
                                <w:b/>
                                <w:bCs/>
                              </w:rPr>
                              <w:t>6</w:t>
                            </w:r>
                            <w:r w:rsidRPr="00067B6D">
                              <w:rPr>
                                <w:b/>
                                <w:bCs/>
                              </w:rPr>
                              <w:t>-3</w:t>
                            </w:r>
                            <w:r w:rsidR="00CB0167">
                              <w:rPr>
                                <w:b/>
                                <w:bCs/>
                              </w:rPr>
                              <w:t>7</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70FA4" id="Rectangle: Rounded Corners 15" o:spid="_x0000_s1035" style="position:absolute;margin-left:116.7pt;margin-top:540.4pt;width:135.25pt;height:82.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" filled="f" strokecolor="#0070c0" strokeweight="1.5pt">
                <v:stroke joinstyle="miter"/>
                <v:textbox>
                  <w:txbxContent>
                    <w:p w14:paraId="349F4BB8" w14:textId="59178E40" w:rsidR="00BC388E" w:rsidRPr="00067B6D" w:rsidRDefault="00BC388E" w:rsidP="00D845A6">
                      <w:pPr>
                        <w:pStyle w:val="BodyText"/>
                        <w:jc w:val="center"/>
                      </w:pPr>
                      <w:r w:rsidRPr="00067B6D">
                        <w:t>What induction does the appointee need?</w:t>
                      </w:r>
                    </w:p>
                    <w:p w14:paraId="5E28A29D" w14:textId="6691D146" w:rsidR="00BC388E" w:rsidRPr="00067B6D" w:rsidRDefault="00BC388E" w:rsidP="00D845A6">
                      <w:pPr>
                        <w:pStyle w:val="BodyText"/>
                        <w:jc w:val="center"/>
                        <w:rPr>
                          <w:b/>
                          <w:bCs/>
                        </w:rPr>
                      </w:pPr>
                      <w:r w:rsidRPr="00067B6D">
                        <w:rPr>
                          <w:b/>
                          <w:bCs/>
                        </w:rPr>
                        <w:t>Pages 3</w:t>
                      </w:r>
                      <w:r w:rsidR="00CB0167">
                        <w:rPr>
                          <w:b/>
                          <w:bCs/>
                        </w:rPr>
                        <w:t>6</w:t>
                      </w:r>
                      <w:r w:rsidRPr="00067B6D">
                        <w:rPr>
                          <w:b/>
                          <w:bCs/>
                        </w:rPr>
                        <w:t>-3</w:t>
                      </w:r>
                      <w:r w:rsidR="00CB0167">
                        <w:rPr>
                          <w:b/>
                          <w:bCs/>
                        </w:rPr>
                        <w:t>7</w:t>
                      </w:r>
                    </w:p>
                  </w:txbxContent>
                </v:textbox>
              </v:roundrect>
            </w:pict>
          </mc:Fallback>
        </mc:AlternateContent>
      </w:r>
      <w:r w:rsidR="00311BF3">
        <w:rPr>
          <w:noProof/>
        </w:rPr>
        <mc:AlternateContent>
          <mc:Choice Requires="wps">
            <w:drawing>
              <wp:anchor distT="0" distB="0" distL="114300" distR="114300" simplePos="0" relativeHeight="251658258" behindDoc="0" locked="0" layoutInCell="1" allowOverlap="1" wp14:anchorId="2956DCEA" wp14:editId="62414603">
                <wp:simplePos x="0" y="0"/>
                <wp:positionH relativeFrom="column">
                  <wp:posOffset>607226</wp:posOffset>
                </wp:positionH>
                <wp:positionV relativeFrom="paragraph">
                  <wp:posOffset>1507490</wp:posOffset>
                </wp:positionV>
                <wp:extent cx="1685925" cy="1939290"/>
                <wp:effectExtent l="0" t="0" r="28575" b="22860"/>
                <wp:wrapNone/>
                <wp:docPr id="280575270" name="Rectangle: Rounded Corners 10"/>
                <wp:cNvGraphicFramePr/>
                <a:graphic xmlns:a="http://schemas.openxmlformats.org/drawingml/2006/main">
                  <a:graphicData uri="http://schemas.microsoft.com/office/word/2010/wordprocessingShape">
                    <wps:wsp>
                      <wps:cNvSpPr/>
                      <wps:spPr>
                        <a:xfrm>
                          <a:off x="0" y="0"/>
                          <a:ext cx="1685925" cy="1939290"/>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0D925A" w14:textId="77777777" w:rsidR="00BC388E" w:rsidRPr="00B44D2A" w:rsidRDefault="00BC388E" w:rsidP="007B2B60">
                            <w:pPr>
                              <w:pStyle w:val="BodyText"/>
                              <w:jc w:val="center"/>
                            </w:pPr>
                            <w:r w:rsidRPr="00B44D2A">
                              <w:t>Does the preferred candidate meet the skills mix, legislative/ terms of reference criteria and diversity considerations?</w:t>
                            </w:r>
                          </w:p>
                          <w:p w14:paraId="32B45B84" w14:textId="0B7B7647" w:rsidR="00BC388E" w:rsidRPr="00B44D2A" w:rsidRDefault="00BC388E" w:rsidP="007B2B60">
                            <w:pPr>
                              <w:pStyle w:val="BodyText"/>
                              <w:jc w:val="center"/>
                              <w:rPr>
                                <w:b/>
                                <w:bCs/>
                              </w:rPr>
                            </w:pPr>
                            <w:r w:rsidRPr="00B44D2A">
                              <w:rPr>
                                <w:b/>
                                <w:bCs/>
                              </w:rPr>
                              <w:t>Pages 1</w:t>
                            </w:r>
                            <w:r w:rsidR="00DE2B25">
                              <w:rPr>
                                <w:b/>
                                <w:bCs/>
                              </w:rPr>
                              <w:t>1-12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56DCEA" id="Rectangle: Rounded Corners 10" o:spid="_x0000_s1036" style="position:absolute;margin-left:47.8pt;margin-top:118.7pt;width:132.75pt;height:152.7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" filled="f" strokecolor="#0070c0" strokeweight="1.5pt">
                <v:stroke joinstyle="miter"/>
                <v:textbox>
                  <w:txbxContent>
                    <w:p w14:paraId="5B0D925A" w14:textId="77777777" w:rsidR="00BC388E" w:rsidRPr="00B44D2A" w:rsidRDefault="00BC388E" w:rsidP="007B2B60">
                      <w:pPr>
                        <w:pStyle w:val="BodyText"/>
                        <w:jc w:val="center"/>
                      </w:pPr>
                      <w:r w:rsidRPr="00B44D2A">
                        <w:t>Does the preferred candidate meet the skills mix, legislative/ terms of reference criteria and diversity considerations?</w:t>
                      </w:r>
                    </w:p>
                    <w:p w14:paraId="32B45B84" w14:textId="0B7B7647" w:rsidR="00BC388E" w:rsidRPr="00B44D2A" w:rsidRDefault="00BC388E" w:rsidP="007B2B60">
                      <w:pPr>
                        <w:pStyle w:val="BodyText"/>
                        <w:jc w:val="center"/>
                        <w:rPr>
                          <w:b/>
                          <w:bCs/>
                        </w:rPr>
                      </w:pPr>
                      <w:r w:rsidRPr="00B44D2A">
                        <w:rPr>
                          <w:b/>
                          <w:bCs/>
                        </w:rPr>
                        <w:t>Pages 1</w:t>
                      </w:r>
                      <w:r w:rsidR="00DE2B25">
                        <w:rPr>
                          <w:b/>
                          <w:bCs/>
                        </w:rPr>
                        <w:t>1-12</w:t>
                      </w:r>
                    </w:p>
                  </w:txbxContent>
                </v:textbox>
              </v:roundrect>
            </w:pict>
          </mc:Fallback>
        </mc:AlternateContent>
      </w:r>
      <w:r w:rsidR="00311BF3">
        <w:rPr>
          <w:noProof/>
        </w:rPr>
        <mc:AlternateContent>
          <mc:Choice Requires="wps">
            <w:drawing>
              <wp:anchor distT="0" distB="0" distL="114300" distR="114300" simplePos="0" relativeHeight="251658259" behindDoc="0" locked="0" layoutInCell="1" allowOverlap="1" wp14:anchorId="5157BB5B" wp14:editId="5AF67654">
                <wp:simplePos x="0" y="0"/>
                <wp:positionH relativeFrom="column">
                  <wp:posOffset>4276559</wp:posOffset>
                </wp:positionH>
                <wp:positionV relativeFrom="paragraph">
                  <wp:posOffset>1495425</wp:posOffset>
                </wp:positionV>
                <wp:extent cx="1685925" cy="1951217"/>
                <wp:effectExtent l="0" t="0" r="28575" b="11430"/>
                <wp:wrapNone/>
                <wp:docPr id="668491307" name="Rectangle: Rounded Corners 11"/>
                <wp:cNvGraphicFramePr/>
                <a:graphic xmlns:a="http://schemas.openxmlformats.org/drawingml/2006/main">
                  <a:graphicData uri="http://schemas.microsoft.com/office/word/2010/wordprocessingShape">
                    <wps:wsp>
                      <wps:cNvSpPr/>
                      <wps:spPr>
                        <a:xfrm>
                          <a:off x="0" y="0"/>
                          <a:ext cx="1685925" cy="1951217"/>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27A21B" w14:textId="77777777" w:rsidR="00BC388E" w:rsidRPr="00B44D2A" w:rsidRDefault="00BC388E" w:rsidP="002076B2">
                            <w:pPr>
                              <w:pStyle w:val="BodyText"/>
                              <w:jc w:val="center"/>
                            </w:pPr>
                            <w:r w:rsidRPr="00B44D2A">
                              <w:t>Can the preferred candidate meet the commitments required of this board (e.g. 75% meeting attendance)</w:t>
                            </w:r>
                            <w:r>
                              <w:t>?</w:t>
                            </w:r>
                          </w:p>
                          <w:p w14:paraId="2782C6C5" w14:textId="56470CB4" w:rsidR="00BC388E" w:rsidRPr="00B44D2A" w:rsidRDefault="00BC388E" w:rsidP="002076B2">
                            <w:pPr>
                              <w:pStyle w:val="BodyText"/>
                              <w:jc w:val="center"/>
                              <w:rPr>
                                <w:b/>
                                <w:bCs/>
                              </w:rPr>
                            </w:pPr>
                            <w:r w:rsidRPr="00B44D2A">
                              <w:rPr>
                                <w:b/>
                                <w:bCs/>
                              </w:rPr>
                              <w:t>Page 1</w:t>
                            </w:r>
                            <w:r w:rsidR="008513BF">
                              <w:rPr>
                                <w:b/>
                                <w:bCs/>
                              </w:rPr>
                              <w:t>7</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57BB5B" id="Rectangle: Rounded Corners 11" o:spid="_x0000_s1037" style="position:absolute;margin-left:336.75pt;margin-top:117.75pt;width:132.75pt;height:153.6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" filled="f" strokecolor="#0070c0" strokeweight="1.5pt">
                <v:stroke joinstyle="miter"/>
                <v:textbox>
                  <w:txbxContent>
                    <w:p w14:paraId="4C27A21B" w14:textId="77777777" w:rsidR="00BC388E" w:rsidRPr="00B44D2A" w:rsidRDefault="00BC388E" w:rsidP="002076B2">
                      <w:pPr>
                        <w:pStyle w:val="BodyText"/>
                        <w:jc w:val="center"/>
                      </w:pPr>
                      <w:r w:rsidRPr="00B44D2A">
                        <w:t>Can the preferred candidate meet the commitments required of this board (e.g. 75% meeting attendance)</w:t>
                      </w:r>
                      <w:r>
                        <w:t>?</w:t>
                      </w:r>
                    </w:p>
                    <w:p w14:paraId="2782C6C5" w14:textId="56470CB4" w:rsidR="00BC388E" w:rsidRPr="00B44D2A" w:rsidRDefault="00BC388E" w:rsidP="002076B2">
                      <w:pPr>
                        <w:pStyle w:val="BodyText"/>
                        <w:jc w:val="center"/>
                        <w:rPr>
                          <w:b/>
                          <w:bCs/>
                        </w:rPr>
                      </w:pPr>
                      <w:r w:rsidRPr="00B44D2A">
                        <w:rPr>
                          <w:b/>
                          <w:bCs/>
                        </w:rPr>
                        <w:t>Page 1</w:t>
                      </w:r>
                      <w:r w:rsidR="008513BF">
                        <w:rPr>
                          <w:b/>
                          <w:bCs/>
                        </w:rPr>
                        <w:t>7</w:t>
                      </w:r>
                    </w:p>
                  </w:txbxContent>
                </v:textbox>
              </v:roundrect>
            </w:pict>
          </mc:Fallback>
        </mc:AlternateContent>
      </w:r>
      <w:r w:rsidR="005D7B37">
        <w:rPr>
          <w:noProof/>
        </w:rPr>
        <mc:AlternateContent>
          <mc:Choice Requires="wps">
            <w:drawing>
              <wp:anchor distT="0" distB="0" distL="114300" distR="114300" simplePos="0" relativeHeight="251658249" behindDoc="0" locked="0" layoutInCell="1" allowOverlap="1" wp14:anchorId="41AF31D6" wp14:editId="3F132BC6">
                <wp:simplePos x="0" y="0"/>
                <wp:positionH relativeFrom="column">
                  <wp:posOffset>2449305</wp:posOffset>
                </wp:positionH>
                <wp:positionV relativeFrom="paragraph">
                  <wp:posOffset>1492029</wp:posOffset>
                </wp:positionV>
                <wp:extent cx="1685925" cy="1956021"/>
                <wp:effectExtent l="0" t="0" r="28575" b="25400"/>
                <wp:wrapNone/>
                <wp:docPr id="1460151436" name="Rectangle: Rounded Corners 3"/>
                <wp:cNvGraphicFramePr/>
                <a:graphic xmlns:a="http://schemas.openxmlformats.org/drawingml/2006/main">
                  <a:graphicData uri="http://schemas.microsoft.com/office/word/2010/wordprocessingShape">
                    <wps:wsp>
                      <wps:cNvSpPr/>
                      <wps:spPr>
                        <a:xfrm>
                          <a:off x="0" y="0"/>
                          <a:ext cx="1685925" cy="1956021"/>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248570" w14:textId="77777777" w:rsidR="00BC388E" w:rsidRPr="00B44D2A" w:rsidRDefault="00BC388E" w:rsidP="002076B2">
                            <w:pPr>
                              <w:pStyle w:val="BodyText"/>
                              <w:jc w:val="center"/>
                            </w:pPr>
                            <w:r w:rsidRPr="00B44D2A">
                              <w:t>Is the preferred candidate serving on other government boards? If so, do they have sufficient time to meet the demands of all appointments?</w:t>
                            </w:r>
                          </w:p>
                          <w:p w14:paraId="432026B4" w14:textId="1C6FB66A" w:rsidR="00BC388E" w:rsidRPr="00B44D2A" w:rsidRDefault="00BC388E" w:rsidP="002076B2">
                            <w:pPr>
                              <w:pStyle w:val="BodyText"/>
                              <w:jc w:val="center"/>
                              <w:rPr>
                                <w:b/>
                                <w:bCs/>
                              </w:rPr>
                            </w:pPr>
                            <w:r w:rsidRPr="00B44D2A">
                              <w:rPr>
                                <w:b/>
                                <w:bCs/>
                              </w:rPr>
                              <w:t>Page 1</w:t>
                            </w:r>
                            <w:r w:rsidR="00DE2B25">
                              <w:rPr>
                                <w:b/>
                                <w:bCs/>
                              </w:rPr>
                              <w:t>7</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AF31D6" id="Rectangle: Rounded Corners 3" o:spid="_x0000_s1038" style="position:absolute;margin-left:192.85pt;margin-top:117.5pt;width:132.75pt;height:154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" filled="f" strokecolor="#0070c0" strokeweight="1.5pt">
                <v:stroke joinstyle="miter"/>
                <v:textbox>
                  <w:txbxContent>
                    <w:p w14:paraId="7B248570" w14:textId="77777777" w:rsidR="00BC388E" w:rsidRPr="00B44D2A" w:rsidRDefault="00BC388E" w:rsidP="002076B2">
                      <w:pPr>
                        <w:pStyle w:val="BodyText"/>
                        <w:jc w:val="center"/>
                      </w:pPr>
                      <w:r w:rsidRPr="00B44D2A">
                        <w:t>Is the preferred candidate serving on other government boards? If so, do they have sufficient time to meet the demands of all appointments?</w:t>
                      </w:r>
                    </w:p>
                    <w:p w14:paraId="432026B4" w14:textId="1C6FB66A" w:rsidR="00BC388E" w:rsidRPr="00B44D2A" w:rsidRDefault="00BC388E" w:rsidP="002076B2">
                      <w:pPr>
                        <w:pStyle w:val="BodyText"/>
                        <w:jc w:val="center"/>
                        <w:rPr>
                          <w:b/>
                          <w:bCs/>
                        </w:rPr>
                      </w:pPr>
                      <w:r w:rsidRPr="00B44D2A">
                        <w:rPr>
                          <w:b/>
                          <w:bCs/>
                        </w:rPr>
                        <w:t>Page 1</w:t>
                      </w:r>
                      <w:r w:rsidR="00DE2B25">
                        <w:rPr>
                          <w:b/>
                          <w:bCs/>
                        </w:rPr>
                        <w:t>7</w:t>
                      </w:r>
                    </w:p>
                  </w:txbxContent>
                </v:textbox>
              </v:roundrect>
            </w:pict>
          </mc:Fallback>
        </mc:AlternateContent>
      </w:r>
      <w:r w:rsidR="005D7B37">
        <w:rPr>
          <w:noProof/>
        </w:rPr>
        <mc:AlternateContent>
          <mc:Choice Requires="wps">
            <w:drawing>
              <wp:anchor distT="0" distB="0" distL="114300" distR="114300" simplePos="0" relativeHeight="251658250" behindDoc="0" locked="0" layoutInCell="1" allowOverlap="1" wp14:anchorId="1E8C983E" wp14:editId="00B2EA55">
                <wp:simplePos x="0" y="0"/>
                <wp:positionH relativeFrom="column">
                  <wp:posOffset>652172</wp:posOffset>
                </wp:positionH>
                <wp:positionV relativeFrom="paragraph">
                  <wp:posOffset>3586715</wp:posOffset>
                </wp:positionV>
                <wp:extent cx="2508360" cy="1053548"/>
                <wp:effectExtent l="0" t="0" r="25400" b="13335"/>
                <wp:wrapNone/>
                <wp:docPr id="1984088722" name="Rectangle: Rounded Corners 4"/>
                <wp:cNvGraphicFramePr/>
                <a:graphic xmlns:a="http://schemas.openxmlformats.org/drawingml/2006/main">
                  <a:graphicData uri="http://schemas.microsoft.com/office/word/2010/wordprocessingShape">
                    <wps:wsp>
                      <wps:cNvSpPr/>
                      <wps:spPr>
                        <a:xfrm>
                          <a:off x="0" y="0"/>
                          <a:ext cx="2508360" cy="1053548"/>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799B89" w14:textId="77777777" w:rsidR="00BC388E" w:rsidRDefault="00BC388E" w:rsidP="00FD150A">
                            <w:pPr>
                              <w:pStyle w:val="BodyText"/>
                              <w:jc w:val="center"/>
                            </w:pPr>
                            <w:r>
                              <w:t>Is the preferred candidate a public sector employee, registered lobbyist or Member of Parliament?</w:t>
                            </w:r>
                          </w:p>
                          <w:p w14:paraId="2B50AFF0" w14:textId="7162A316" w:rsidR="00BC388E" w:rsidRDefault="00BC388E" w:rsidP="00FD150A">
                            <w:pPr>
                              <w:pStyle w:val="BodyText"/>
                              <w:jc w:val="center"/>
                              <w:rPr>
                                <w:b/>
                                <w:bCs/>
                              </w:rPr>
                            </w:pPr>
                            <w:r>
                              <w:rPr>
                                <w:b/>
                                <w:bCs/>
                              </w:rPr>
                              <w:t>Pages 1</w:t>
                            </w:r>
                            <w:r w:rsidR="009E40F1">
                              <w:rPr>
                                <w:b/>
                                <w:bCs/>
                              </w:rPr>
                              <w:t>8-20</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C983E" id="Rectangle: Rounded Corners 4" o:spid="_x0000_s1039" style="position:absolute;margin-left:51.35pt;margin-top:282.4pt;width:197.5pt;height:82.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" filled="f" strokecolor="#0070c0" strokeweight="1.5pt">
                <v:stroke joinstyle="miter"/>
                <v:textbox>
                  <w:txbxContent>
                    <w:p w14:paraId="43799B89" w14:textId="77777777" w:rsidR="00BC388E" w:rsidRDefault="00BC388E" w:rsidP="00FD150A">
                      <w:pPr>
                        <w:pStyle w:val="BodyText"/>
                        <w:jc w:val="center"/>
                      </w:pPr>
                      <w:r>
                        <w:t>Is the preferred candidate a public sector employee, registered lobbyist or Member of Parliament?</w:t>
                      </w:r>
                    </w:p>
                    <w:p w14:paraId="2B50AFF0" w14:textId="7162A316" w:rsidR="00BC388E" w:rsidRDefault="00BC388E" w:rsidP="00FD150A">
                      <w:pPr>
                        <w:pStyle w:val="BodyText"/>
                        <w:jc w:val="center"/>
                        <w:rPr>
                          <w:b/>
                          <w:bCs/>
                        </w:rPr>
                      </w:pPr>
                      <w:r>
                        <w:rPr>
                          <w:b/>
                          <w:bCs/>
                        </w:rPr>
                        <w:t>Pages 1</w:t>
                      </w:r>
                      <w:r w:rsidR="009E40F1">
                        <w:rPr>
                          <w:b/>
                          <w:bCs/>
                        </w:rPr>
                        <w:t>8-20</w:t>
                      </w:r>
                    </w:p>
                  </w:txbxContent>
                </v:textbox>
              </v:roundrect>
            </w:pict>
          </mc:Fallback>
        </mc:AlternateContent>
      </w:r>
      <w:r w:rsidR="00FD150A">
        <w:rPr>
          <w:noProof/>
        </w:rPr>
        <mc:AlternateContent>
          <mc:Choice Requires="wps">
            <w:drawing>
              <wp:anchor distT="0" distB="0" distL="114300" distR="114300" simplePos="0" relativeHeight="251658252" behindDoc="0" locked="0" layoutInCell="1" allowOverlap="1" wp14:anchorId="5A9ED020" wp14:editId="04B0E366">
                <wp:simplePos x="0" y="0"/>
                <wp:positionH relativeFrom="column">
                  <wp:posOffset>4310849</wp:posOffset>
                </wp:positionH>
                <wp:positionV relativeFrom="paragraph">
                  <wp:posOffset>5107305</wp:posOffset>
                </wp:positionV>
                <wp:extent cx="1685925" cy="1404620"/>
                <wp:effectExtent l="0" t="0" r="28575" b="24130"/>
                <wp:wrapNone/>
                <wp:docPr id="178925492" name="Rectangle: Rounded Corners 5"/>
                <wp:cNvGraphicFramePr/>
                <a:graphic xmlns:a="http://schemas.openxmlformats.org/drawingml/2006/main">
                  <a:graphicData uri="http://schemas.microsoft.com/office/word/2010/wordprocessingShape">
                    <wps:wsp>
                      <wps:cNvSpPr/>
                      <wps:spPr>
                        <a:xfrm>
                          <a:off x="0" y="0"/>
                          <a:ext cx="1685925" cy="1404620"/>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7CAA57" w14:textId="77777777" w:rsidR="00BC388E" w:rsidRDefault="00BC388E" w:rsidP="0019649D">
                            <w:pPr>
                              <w:pStyle w:val="BodyText"/>
                              <w:jc w:val="center"/>
                            </w:pPr>
                            <w:r>
                              <w:t>Does the appointment require approval from Cabinet and/or the Governor in Council?</w:t>
                            </w:r>
                          </w:p>
                          <w:p w14:paraId="7B9FBCD2" w14:textId="29733C9B" w:rsidR="00BC388E" w:rsidRDefault="00BC388E" w:rsidP="0019649D">
                            <w:pPr>
                              <w:pStyle w:val="BodyText"/>
                              <w:jc w:val="center"/>
                              <w:rPr>
                                <w:b/>
                                <w:bCs/>
                              </w:rPr>
                            </w:pPr>
                            <w:r>
                              <w:rPr>
                                <w:b/>
                                <w:bCs/>
                              </w:rPr>
                              <w:t>Pages 3</w:t>
                            </w:r>
                            <w:r w:rsidR="00D83C6E">
                              <w:rPr>
                                <w:b/>
                                <w:bCs/>
                              </w:rPr>
                              <w:t>4</w:t>
                            </w:r>
                            <w:r>
                              <w:rPr>
                                <w:b/>
                                <w:bCs/>
                              </w:rPr>
                              <w:t>-3</w:t>
                            </w:r>
                            <w:r w:rsidR="00D83C6E">
                              <w:rPr>
                                <w:b/>
                                <w:bCs/>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9ED020" id="Rectangle: Rounded Corners 5" o:spid="_x0000_s1040" style="position:absolute;margin-left:339.45pt;margin-top:402.15pt;width:132.75pt;height:110.6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" filled="f" strokecolor="#0070c0" strokeweight="1.5pt">
                <v:stroke joinstyle="miter"/>
                <v:textbox>
                  <w:txbxContent>
                    <w:p w14:paraId="5A7CAA57" w14:textId="77777777" w:rsidR="00BC388E" w:rsidRDefault="00BC388E" w:rsidP="0019649D">
                      <w:pPr>
                        <w:pStyle w:val="BodyText"/>
                        <w:jc w:val="center"/>
                      </w:pPr>
                      <w:r>
                        <w:t>Does the appointment require approval from Cabinet and/or the Governor in Council?</w:t>
                      </w:r>
                    </w:p>
                    <w:p w14:paraId="7B9FBCD2" w14:textId="29733C9B" w:rsidR="00BC388E" w:rsidRDefault="00BC388E" w:rsidP="0019649D">
                      <w:pPr>
                        <w:pStyle w:val="BodyText"/>
                        <w:jc w:val="center"/>
                        <w:rPr>
                          <w:b/>
                          <w:bCs/>
                        </w:rPr>
                      </w:pPr>
                      <w:r>
                        <w:rPr>
                          <w:b/>
                          <w:bCs/>
                        </w:rPr>
                        <w:t>Pages 3</w:t>
                      </w:r>
                      <w:r w:rsidR="00D83C6E">
                        <w:rPr>
                          <w:b/>
                          <w:bCs/>
                        </w:rPr>
                        <w:t>4</w:t>
                      </w:r>
                      <w:r>
                        <w:rPr>
                          <w:b/>
                          <w:bCs/>
                        </w:rPr>
                        <w:t>-3</w:t>
                      </w:r>
                      <w:r w:rsidR="00D83C6E">
                        <w:rPr>
                          <w:b/>
                          <w:bCs/>
                        </w:rPr>
                        <w:t>5</w:t>
                      </w:r>
                    </w:p>
                  </w:txbxContent>
                </v:textbox>
              </v:roundrect>
            </w:pict>
          </mc:Fallback>
        </mc:AlternateContent>
      </w:r>
      <w:r w:rsidR="00D845A6">
        <w:rPr>
          <w:noProof/>
        </w:rPr>
        <mc:AlternateContent>
          <mc:Choice Requires="wps">
            <w:drawing>
              <wp:anchor distT="0" distB="0" distL="114300" distR="114300" simplePos="0" relativeHeight="251658262" behindDoc="0" locked="0" layoutInCell="1" allowOverlap="1" wp14:anchorId="46DBD727" wp14:editId="632B893C">
                <wp:simplePos x="0" y="0"/>
                <wp:positionH relativeFrom="column">
                  <wp:posOffset>2450465</wp:posOffset>
                </wp:positionH>
                <wp:positionV relativeFrom="paragraph">
                  <wp:posOffset>5097145</wp:posOffset>
                </wp:positionV>
                <wp:extent cx="1685925" cy="1399540"/>
                <wp:effectExtent l="0" t="0" r="28575" b="10160"/>
                <wp:wrapNone/>
                <wp:docPr id="897962419" name="Rectangle: Rounded Corners 14"/>
                <wp:cNvGraphicFramePr/>
                <a:graphic xmlns:a="http://schemas.openxmlformats.org/drawingml/2006/main">
                  <a:graphicData uri="http://schemas.microsoft.com/office/word/2010/wordprocessingShape">
                    <wps:wsp>
                      <wps:cNvSpPr/>
                      <wps:spPr>
                        <a:xfrm>
                          <a:off x="0" y="0"/>
                          <a:ext cx="1685925" cy="1399540"/>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EC1DCC" w14:textId="2716F797" w:rsidR="00BC388E" w:rsidRPr="00067B6D" w:rsidRDefault="00BC388E" w:rsidP="0019649D">
                            <w:pPr>
                              <w:pStyle w:val="BodyText"/>
                              <w:jc w:val="center"/>
                            </w:pPr>
                            <w:r w:rsidRPr="00067B6D">
                              <w:t>Is the proposed remuneration in the appropriate band for the type of entity?</w:t>
                            </w:r>
                          </w:p>
                          <w:p w14:paraId="493FEE21" w14:textId="1235C693" w:rsidR="00BC388E" w:rsidRPr="00067B6D" w:rsidRDefault="00BC388E" w:rsidP="0019649D">
                            <w:pPr>
                              <w:pStyle w:val="BodyText"/>
                              <w:jc w:val="center"/>
                              <w:rPr>
                                <w:b/>
                                <w:bCs/>
                              </w:rPr>
                            </w:pPr>
                            <w:r w:rsidRPr="00067B6D">
                              <w:rPr>
                                <w:b/>
                                <w:bCs/>
                              </w:rPr>
                              <w:t>Pages 2</w:t>
                            </w:r>
                            <w:r w:rsidR="00D83C6E">
                              <w:rPr>
                                <w:b/>
                                <w:bCs/>
                              </w:rPr>
                              <w:t>6</w:t>
                            </w:r>
                            <w:r w:rsidRPr="00067B6D">
                              <w:rPr>
                                <w:b/>
                                <w:bCs/>
                              </w:rPr>
                              <w:t>-3</w:t>
                            </w:r>
                            <w:r w:rsidR="00D83C6E">
                              <w:rPr>
                                <w:b/>
                                <w:bCs/>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DBD727" id="Rectangle: Rounded Corners 14" o:spid="_x0000_s1041" style="position:absolute;margin-left:192.95pt;margin-top:401.35pt;width:132.75pt;height:110.2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" filled="f" strokecolor="#0070c0" strokeweight="1.5pt">
                <v:stroke joinstyle="miter"/>
                <v:textbox>
                  <w:txbxContent>
                    <w:p w14:paraId="3CEC1DCC" w14:textId="2716F797" w:rsidR="00BC388E" w:rsidRPr="00067B6D" w:rsidRDefault="00BC388E" w:rsidP="0019649D">
                      <w:pPr>
                        <w:pStyle w:val="BodyText"/>
                        <w:jc w:val="center"/>
                      </w:pPr>
                      <w:r w:rsidRPr="00067B6D">
                        <w:t>Is the proposed remuneration in the appropriate band for the type of entity?</w:t>
                      </w:r>
                    </w:p>
                    <w:p w14:paraId="493FEE21" w14:textId="1235C693" w:rsidR="00BC388E" w:rsidRPr="00067B6D" w:rsidRDefault="00BC388E" w:rsidP="0019649D">
                      <w:pPr>
                        <w:pStyle w:val="BodyText"/>
                        <w:jc w:val="center"/>
                        <w:rPr>
                          <w:b/>
                          <w:bCs/>
                        </w:rPr>
                      </w:pPr>
                      <w:r w:rsidRPr="00067B6D">
                        <w:rPr>
                          <w:b/>
                          <w:bCs/>
                        </w:rPr>
                        <w:t>Pages 2</w:t>
                      </w:r>
                      <w:r w:rsidR="00D83C6E">
                        <w:rPr>
                          <w:b/>
                          <w:bCs/>
                        </w:rPr>
                        <w:t>6</w:t>
                      </w:r>
                      <w:r w:rsidRPr="00067B6D">
                        <w:rPr>
                          <w:b/>
                          <w:bCs/>
                        </w:rPr>
                        <w:t>-3</w:t>
                      </w:r>
                      <w:r w:rsidR="00D83C6E">
                        <w:rPr>
                          <w:b/>
                          <w:bCs/>
                        </w:rPr>
                        <w:t>3</w:t>
                      </w:r>
                    </w:p>
                  </w:txbxContent>
                </v:textbox>
              </v:roundrect>
            </w:pict>
          </mc:Fallback>
        </mc:AlternateContent>
      </w:r>
      <w:r w:rsidR="0019649D">
        <w:rPr>
          <w:noProof/>
        </w:rPr>
        <mc:AlternateContent>
          <mc:Choice Requires="wps">
            <w:drawing>
              <wp:anchor distT="0" distB="0" distL="114300" distR="114300" simplePos="0" relativeHeight="251658261" behindDoc="0" locked="0" layoutInCell="1" allowOverlap="1" wp14:anchorId="5CBD5DDB" wp14:editId="7A02F3AB">
                <wp:simplePos x="0" y="0"/>
                <wp:positionH relativeFrom="column">
                  <wp:posOffset>602615</wp:posOffset>
                </wp:positionH>
                <wp:positionV relativeFrom="paragraph">
                  <wp:posOffset>5103495</wp:posOffset>
                </wp:positionV>
                <wp:extent cx="1685925" cy="1399540"/>
                <wp:effectExtent l="0" t="0" r="28575" b="10160"/>
                <wp:wrapNone/>
                <wp:docPr id="1933772894" name="Rectangle: Rounded Corners 13"/>
                <wp:cNvGraphicFramePr/>
                <a:graphic xmlns:a="http://schemas.openxmlformats.org/drawingml/2006/main">
                  <a:graphicData uri="http://schemas.microsoft.com/office/word/2010/wordprocessingShape">
                    <wps:wsp>
                      <wps:cNvSpPr/>
                      <wps:spPr>
                        <a:xfrm>
                          <a:off x="0" y="0"/>
                          <a:ext cx="1685925" cy="1399540"/>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986D1B" w14:textId="77777777" w:rsidR="00BC388E" w:rsidRPr="00AF3EC0" w:rsidRDefault="00BC388E" w:rsidP="0019649D">
                            <w:pPr>
                              <w:pStyle w:val="BodyText"/>
                              <w:jc w:val="center"/>
                            </w:pPr>
                            <w:r w:rsidRPr="00AF3EC0">
                              <w:t>Have probity checks and a Declaration of Private Interests been completed?</w:t>
                            </w:r>
                          </w:p>
                          <w:p w14:paraId="4A9E7B47" w14:textId="10FFA069" w:rsidR="00BC388E" w:rsidRPr="00AF3EC0" w:rsidRDefault="00BC388E" w:rsidP="0019649D">
                            <w:pPr>
                              <w:pStyle w:val="BodyText"/>
                              <w:jc w:val="center"/>
                              <w:rPr>
                                <w:b/>
                                <w:bCs/>
                              </w:rPr>
                            </w:pPr>
                            <w:r w:rsidRPr="00AF3EC0">
                              <w:rPr>
                                <w:b/>
                                <w:bCs/>
                              </w:rPr>
                              <w:t>Pages 2</w:t>
                            </w:r>
                            <w:r w:rsidR="00D83C6E">
                              <w:rPr>
                                <w:b/>
                                <w:bCs/>
                              </w:rPr>
                              <w:t>1-25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BD5DDB" id="Rectangle: Rounded Corners 13" o:spid="_x0000_s1042" style="position:absolute;margin-left:47.45pt;margin-top:401.85pt;width:132.75pt;height:110.2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" filled="f" strokecolor="#0070c0" strokeweight="1.5pt">
                <v:stroke joinstyle="miter"/>
                <v:textbox>
                  <w:txbxContent>
                    <w:p w14:paraId="38986D1B" w14:textId="77777777" w:rsidR="00BC388E" w:rsidRPr="00AF3EC0" w:rsidRDefault="00BC388E" w:rsidP="0019649D">
                      <w:pPr>
                        <w:pStyle w:val="BodyText"/>
                        <w:jc w:val="center"/>
                      </w:pPr>
                      <w:r w:rsidRPr="00AF3EC0">
                        <w:t>Have probity checks and a Declaration of Private Interests been completed?</w:t>
                      </w:r>
                    </w:p>
                    <w:p w14:paraId="4A9E7B47" w14:textId="10FFA069" w:rsidR="00BC388E" w:rsidRPr="00AF3EC0" w:rsidRDefault="00BC388E" w:rsidP="0019649D">
                      <w:pPr>
                        <w:pStyle w:val="BodyText"/>
                        <w:jc w:val="center"/>
                        <w:rPr>
                          <w:b/>
                          <w:bCs/>
                        </w:rPr>
                      </w:pPr>
                      <w:r w:rsidRPr="00AF3EC0">
                        <w:rPr>
                          <w:b/>
                          <w:bCs/>
                        </w:rPr>
                        <w:t>Pages 2</w:t>
                      </w:r>
                      <w:r w:rsidR="00D83C6E">
                        <w:rPr>
                          <w:b/>
                          <w:bCs/>
                        </w:rPr>
                        <w:t>1-25</w:t>
                      </w:r>
                    </w:p>
                  </w:txbxContent>
                </v:textbox>
              </v:roundrect>
            </w:pict>
          </mc:Fallback>
        </mc:AlternateContent>
      </w:r>
      <w:r w:rsidR="0019649D">
        <w:rPr>
          <w:noProof/>
        </w:rPr>
        <mc:AlternateContent>
          <mc:Choice Requires="wps">
            <w:drawing>
              <wp:anchor distT="0" distB="0" distL="114300" distR="114300" simplePos="0" relativeHeight="251658248" behindDoc="0" locked="0" layoutInCell="1" allowOverlap="1" wp14:anchorId="626629B8" wp14:editId="6DFA79A3">
                <wp:simplePos x="0" y="0"/>
                <wp:positionH relativeFrom="column">
                  <wp:posOffset>2266950</wp:posOffset>
                </wp:positionH>
                <wp:positionV relativeFrom="paragraph">
                  <wp:posOffset>1029681</wp:posOffset>
                </wp:positionV>
                <wp:extent cx="2244090" cy="516255"/>
                <wp:effectExtent l="0" t="0" r="0" b="0"/>
                <wp:wrapNone/>
                <wp:docPr id="670445933" name="Text Box 1"/>
                <wp:cNvGraphicFramePr/>
                <a:graphic xmlns:a="http://schemas.openxmlformats.org/drawingml/2006/main">
                  <a:graphicData uri="http://schemas.microsoft.com/office/word/2010/wordprocessingShape">
                    <wps:wsp>
                      <wps:cNvSpPr txBox="1"/>
                      <wps:spPr>
                        <a:xfrm>
                          <a:off x="0" y="0"/>
                          <a:ext cx="2244090" cy="516255"/>
                        </a:xfrm>
                        <a:prstGeom prst="rect">
                          <a:avLst/>
                        </a:prstGeom>
                        <a:noFill/>
                        <a:ln w="6350">
                          <a:noFill/>
                        </a:ln>
                      </wps:spPr>
                      <wps:txbx>
                        <w:txbxContent>
                          <w:p w14:paraId="1C04B1C5" w14:textId="77777777" w:rsidR="00BC388E" w:rsidRPr="00C6407C" w:rsidRDefault="00BC388E" w:rsidP="004F163E">
                            <w:pPr>
                              <w:pStyle w:val="Heading4"/>
                            </w:pPr>
                            <w:r w:rsidRPr="00C6407C">
                              <w:t>When considering candidates…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629B8" id="_x0000_s1043" type="#_x0000_t202" style="position:absolute;margin-left:178.5pt;margin-top:81.1pt;width:176.7pt;height:40.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" filled="f" stroked="f" strokeweight=".5pt">
                <v:textbox>
                  <w:txbxContent>
                    <w:p w14:paraId="1C04B1C5" w14:textId="77777777" w:rsidR="00BC388E" w:rsidRPr="00C6407C" w:rsidRDefault="00BC388E" w:rsidP="004F163E">
                      <w:pPr>
                        <w:pStyle w:val="Heading4"/>
                      </w:pPr>
                      <w:r w:rsidRPr="00C6407C">
                        <w:t>When considering candidates…</w:t>
                      </w:r>
                    </w:p>
                  </w:txbxContent>
                </v:textbox>
              </v:shape>
            </w:pict>
          </mc:Fallback>
        </mc:AlternateContent>
      </w:r>
      <w:r w:rsidR="0054547D">
        <w:br w:type="page"/>
      </w:r>
    </w:p>
    <w:p w14:paraId="08378E46" w14:textId="77777777" w:rsidR="0054547D" w:rsidRDefault="0054547D" w:rsidP="00B7439D">
      <w:pPr>
        <w:pStyle w:val="Introduction"/>
      </w:pPr>
    </w:p>
    <w:p w14:paraId="793E439D" w14:textId="0D4E07C8" w:rsidR="00AC5EB4" w:rsidRPr="006C0DDC" w:rsidRDefault="00AC5EB4" w:rsidP="00AC5EB4">
      <w:pPr>
        <w:pStyle w:val="Heading1"/>
        <w:numPr>
          <w:ilvl w:val="0"/>
          <w:numId w:val="19"/>
        </w:numPr>
      </w:pPr>
      <w:bookmarkStart w:id="14" w:name="_The_Guidelines_apply"/>
      <w:bookmarkStart w:id="15" w:name="_Toc147909817"/>
      <w:bookmarkStart w:id="16" w:name="_Toc176339427"/>
      <w:bookmarkStart w:id="17" w:name="_Toc128742211"/>
      <w:bookmarkStart w:id="18" w:name="_Toc167890292"/>
      <w:bookmarkStart w:id="19" w:name="_Toc116909642"/>
      <w:bookmarkStart w:id="20" w:name="_Toc117073078"/>
      <w:bookmarkStart w:id="21" w:name="_Toc170135203"/>
      <w:bookmarkEnd w:id="14"/>
      <w:r>
        <w:t>The Guidelines apply to all appointments to non-departmental entities</w:t>
      </w:r>
      <w:bookmarkEnd w:id="15"/>
      <w:bookmarkEnd w:id="16"/>
    </w:p>
    <w:p w14:paraId="3194355F" w14:textId="77777777" w:rsidR="001D025D" w:rsidRPr="001D025D" w:rsidRDefault="001D025D" w:rsidP="001D025D">
      <w:pPr>
        <w:pStyle w:val="ListParagraph"/>
        <w:numPr>
          <w:ilvl w:val="0"/>
          <w:numId w:val="18"/>
        </w:numPr>
        <w:spacing w:before="0" w:after="160" w:line="300" w:lineRule="atLeast"/>
        <w:contextualSpacing w:val="0"/>
        <w:rPr>
          <w:rFonts w:eastAsia="Times" w:cs="Arial"/>
          <w:vanish/>
          <w:color w:val="000000" w:themeColor="text1"/>
          <w:sz w:val="22"/>
          <w:szCs w:val="22"/>
          <w:lang w:eastAsia="en-US"/>
        </w:rPr>
      </w:pPr>
    </w:p>
    <w:p w14:paraId="7A69F447" w14:textId="604AD32C" w:rsidR="001D025D" w:rsidRDefault="001D025D" w:rsidP="001D025D">
      <w:pPr>
        <w:pStyle w:val="DPCbody"/>
        <w:numPr>
          <w:ilvl w:val="1"/>
          <w:numId w:val="18"/>
        </w:numPr>
      </w:pPr>
      <w:r>
        <w:t>In these Guidelines, non-departmental entities are defined as entities:</w:t>
      </w:r>
    </w:p>
    <w:p w14:paraId="4DCD496B" w14:textId="77777777" w:rsidR="001D025D" w:rsidRDefault="001D025D" w:rsidP="001D025D">
      <w:pPr>
        <w:pStyle w:val="DPCbullet1"/>
        <w:numPr>
          <w:ilvl w:val="0"/>
          <w:numId w:val="21"/>
        </w:numPr>
        <w:ind w:left="1134"/>
      </w:pPr>
      <w:r>
        <w:t>That are established by or under legislation, an order of the Governor-in-Council, or a Minister;</w:t>
      </w:r>
    </w:p>
    <w:p w14:paraId="57867100" w14:textId="77777777" w:rsidR="001D025D" w:rsidRDefault="001D025D" w:rsidP="001D025D">
      <w:pPr>
        <w:pStyle w:val="DPCbullet1"/>
        <w:numPr>
          <w:ilvl w:val="0"/>
          <w:numId w:val="21"/>
        </w:numPr>
        <w:ind w:left="1134"/>
      </w:pPr>
      <w:r>
        <w:t xml:space="preserve">where the right to appoint at least one half of the governing body of the entity is vested in the State; and </w:t>
      </w:r>
    </w:p>
    <w:p w14:paraId="5BA9F2C0" w14:textId="77777777" w:rsidR="001D025D" w:rsidRDefault="001D025D" w:rsidP="001D025D">
      <w:pPr>
        <w:pStyle w:val="DPCbullet1"/>
        <w:numPr>
          <w:ilvl w:val="0"/>
          <w:numId w:val="21"/>
        </w:numPr>
        <w:ind w:left="1134"/>
      </w:pPr>
      <w:r>
        <w:t>that exercise a public function or are wholly owned by the State. Judicial functions are excluded.</w:t>
      </w:r>
    </w:p>
    <w:p w14:paraId="21D2A337" w14:textId="77777777" w:rsidR="001D025D" w:rsidRDefault="001D025D" w:rsidP="001D025D">
      <w:pPr>
        <w:pStyle w:val="DPCbody"/>
        <w:numPr>
          <w:ilvl w:val="1"/>
          <w:numId w:val="18"/>
        </w:numPr>
        <w:ind w:left="851" w:hanging="567"/>
      </w:pPr>
      <w:r>
        <w:t>In these Guidelines, non-departmental entities are divided into ‘boards’ and ‘single officer roles’:</w:t>
      </w:r>
    </w:p>
    <w:p w14:paraId="28CC4B4D" w14:textId="77777777" w:rsidR="001D025D" w:rsidRDefault="001D025D" w:rsidP="001D025D">
      <w:pPr>
        <w:pStyle w:val="DPCbody"/>
        <w:ind w:left="851"/>
      </w:pPr>
      <w:r>
        <w:t>‘</w:t>
      </w:r>
      <w:r w:rsidRPr="00B910B6">
        <w:rPr>
          <w:b/>
          <w:bCs/>
        </w:rPr>
        <w:t>Boards</w:t>
      </w:r>
      <w:r>
        <w:t>’: The Guidelines refer to a ‘board’ as a generic term. The term ‘board’ may include:</w:t>
      </w:r>
    </w:p>
    <w:p w14:paraId="4071860A" w14:textId="77777777" w:rsidR="001D025D" w:rsidRDefault="001D025D" w:rsidP="001D025D">
      <w:pPr>
        <w:pStyle w:val="DPCbullet1"/>
        <w:numPr>
          <w:ilvl w:val="0"/>
          <w:numId w:val="21"/>
        </w:numPr>
        <w:spacing w:after="160"/>
        <w:ind w:left="1134"/>
      </w:pPr>
      <w:r w:rsidRPr="00B910B6">
        <w:rPr>
          <w:b/>
          <w:bCs/>
        </w:rPr>
        <w:t>Boards of management</w:t>
      </w:r>
      <w:r>
        <w:t xml:space="preserve"> which are </w:t>
      </w:r>
      <w:r w:rsidRPr="00B910B6">
        <w:t>responsible for strategy and direction. Boards of management include the boards Statutory Authorities, State Owned Enterprises and Government Business Enterprise and trusts</w:t>
      </w:r>
    </w:p>
    <w:p w14:paraId="5E3008E5" w14:textId="77777777" w:rsidR="001D025D" w:rsidRDefault="001D025D" w:rsidP="001D025D">
      <w:pPr>
        <w:pStyle w:val="DPCbullet1"/>
        <w:numPr>
          <w:ilvl w:val="0"/>
          <w:numId w:val="21"/>
        </w:numPr>
        <w:spacing w:after="160"/>
        <w:ind w:left="1134"/>
      </w:pPr>
      <w:r>
        <w:rPr>
          <w:b/>
          <w:bCs/>
        </w:rPr>
        <w:t>Advisory boards and committees</w:t>
      </w:r>
      <w:r>
        <w:t xml:space="preserve"> that provide policy, industry or technical advice, including ad hoc expert panels</w:t>
      </w:r>
    </w:p>
    <w:p w14:paraId="73D21C2B" w14:textId="77777777" w:rsidR="001D025D" w:rsidRDefault="001D025D" w:rsidP="001D025D">
      <w:pPr>
        <w:pStyle w:val="DPCbullet1"/>
        <w:numPr>
          <w:ilvl w:val="0"/>
          <w:numId w:val="21"/>
        </w:numPr>
        <w:spacing w:after="160"/>
        <w:ind w:left="1134"/>
      </w:pPr>
      <w:r w:rsidRPr="00B910B6">
        <w:rPr>
          <w:b/>
          <w:bCs/>
        </w:rPr>
        <w:t>Registration boards</w:t>
      </w:r>
      <w:r>
        <w:t xml:space="preserve"> such as</w:t>
      </w:r>
      <w:r w:rsidRPr="00B910B6">
        <w:t xml:space="preserve"> </w:t>
      </w:r>
      <w:r>
        <w:t>qualifications, regulatory or licencing bodies</w:t>
      </w:r>
    </w:p>
    <w:p w14:paraId="5E8F9BCC" w14:textId="77777777" w:rsidR="001D025D" w:rsidRDefault="001D025D" w:rsidP="001D025D">
      <w:pPr>
        <w:pStyle w:val="DPCbullet1"/>
        <w:numPr>
          <w:ilvl w:val="0"/>
          <w:numId w:val="21"/>
        </w:numPr>
        <w:spacing w:after="160"/>
        <w:ind w:left="1134"/>
      </w:pPr>
      <w:r>
        <w:rPr>
          <w:b/>
          <w:bCs/>
        </w:rPr>
        <w:t>Quasi-judicial bodies or tribunals</w:t>
      </w:r>
      <w:r>
        <w:t xml:space="preserve"> where there is no other framework governing remuneration and appointment</w:t>
      </w:r>
    </w:p>
    <w:p w14:paraId="4658DCD1" w14:textId="77777777" w:rsidR="001D025D" w:rsidRDefault="001D025D" w:rsidP="001D025D">
      <w:pPr>
        <w:pStyle w:val="DPCbullet1"/>
        <w:numPr>
          <w:ilvl w:val="0"/>
          <w:numId w:val="21"/>
        </w:numPr>
        <w:spacing w:after="160"/>
        <w:ind w:left="1134"/>
      </w:pPr>
      <w:r>
        <w:rPr>
          <w:b/>
          <w:bCs/>
        </w:rPr>
        <w:t>Inquiries</w:t>
      </w:r>
      <w:r>
        <w:t xml:space="preserve"> under the </w:t>
      </w:r>
      <w:r>
        <w:rPr>
          <w:i/>
          <w:iCs/>
        </w:rPr>
        <w:t xml:space="preserve">Inquiries Act 2014 </w:t>
      </w:r>
      <w:r>
        <w:t xml:space="preserve">(Vic). </w:t>
      </w:r>
    </w:p>
    <w:p w14:paraId="5A1C137E" w14:textId="77777777" w:rsidR="001D025D" w:rsidRPr="00B910B6" w:rsidRDefault="001D025D" w:rsidP="001D025D">
      <w:pPr>
        <w:pStyle w:val="DPCbody"/>
        <w:ind w:left="851"/>
      </w:pPr>
      <w:r>
        <w:rPr>
          <w:b/>
          <w:bCs/>
        </w:rPr>
        <w:t>‘</w:t>
      </w:r>
      <w:r w:rsidRPr="00B910B6">
        <w:rPr>
          <w:b/>
          <w:bCs/>
        </w:rPr>
        <w:t>Single officer roles</w:t>
      </w:r>
      <w:r>
        <w:t xml:space="preserve">’: Include, but are not limited to, </w:t>
      </w:r>
      <w:r w:rsidRPr="00B910B6">
        <w:t xml:space="preserve">single statutory office holders and Commissioners. </w:t>
      </w:r>
      <w:r w:rsidRPr="00D7538B">
        <w:t>A ‘single officer role’ can be established under legislation or at the Government’s discretion, through appointment by the Governor in Council, a Ministerial instrument of appointment, or the prerogative power of the Crown to create public offices</w:t>
      </w:r>
      <w:r w:rsidRPr="00B910B6">
        <w:t xml:space="preserve">.  </w:t>
      </w:r>
    </w:p>
    <w:p w14:paraId="0224B340" w14:textId="77777777" w:rsidR="001D025D" w:rsidRPr="00B910B6" w:rsidRDefault="001D025D" w:rsidP="001D025D">
      <w:pPr>
        <w:pStyle w:val="DPCbody"/>
        <w:ind w:left="851"/>
      </w:pPr>
      <w:r w:rsidRPr="00B910B6">
        <w:t>Factors that indicate that a role is a ‘single officer role’ for the purposes of the Guidelines are:</w:t>
      </w:r>
    </w:p>
    <w:p w14:paraId="54FD55FF" w14:textId="77777777" w:rsidR="001D025D" w:rsidRDefault="001D025D" w:rsidP="001D025D">
      <w:pPr>
        <w:pStyle w:val="DPCbullet1"/>
        <w:numPr>
          <w:ilvl w:val="0"/>
          <w:numId w:val="21"/>
        </w:numPr>
        <w:spacing w:after="160"/>
        <w:ind w:left="1134"/>
      </w:pPr>
      <w:r>
        <w:t>The appointment is the primary employment of the appointee</w:t>
      </w:r>
    </w:p>
    <w:p w14:paraId="15D8F6E0" w14:textId="77777777" w:rsidR="001D025D" w:rsidRDefault="001D025D" w:rsidP="001D025D">
      <w:pPr>
        <w:pStyle w:val="DPCbullet1"/>
        <w:numPr>
          <w:ilvl w:val="0"/>
          <w:numId w:val="21"/>
        </w:numPr>
        <w:spacing w:after="160"/>
        <w:ind w:left="1134"/>
      </w:pPr>
      <w:r>
        <w:t>The appointee is expected to work a set number of days per week</w:t>
      </w:r>
    </w:p>
    <w:p w14:paraId="3F83B4AF" w14:textId="77777777" w:rsidR="001D025D" w:rsidRDefault="001D025D" w:rsidP="001D025D">
      <w:pPr>
        <w:pStyle w:val="DPCbullet1"/>
        <w:numPr>
          <w:ilvl w:val="0"/>
          <w:numId w:val="21"/>
        </w:numPr>
        <w:spacing w:after="160"/>
        <w:ind w:left="1134"/>
      </w:pPr>
      <w:r>
        <w:t>The appointee is restricted from engaging in additional employment, or requires approval to do so</w:t>
      </w:r>
    </w:p>
    <w:p w14:paraId="3AB77817" w14:textId="77777777" w:rsidR="001D025D" w:rsidRPr="00B910B6" w:rsidRDefault="001D025D" w:rsidP="001D025D">
      <w:pPr>
        <w:pStyle w:val="DPCbullet1"/>
        <w:numPr>
          <w:ilvl w:val="0"/>
          <w:numId w:val="0"/>
        </w:numPr>
        <w:spacing w:after="160"/>
        <w:ind w:left="850"/>
      </w:pPr>
      <w:r w:rsidRPr="00D7538B">
        <w:t>All single officer appointments require Cabinet approval.</w:t>
      </w:r>
    </w:p>
    <w:p w14:paraId="2B86CE04" w14:textId="77777777" w:rsidR="001D025D" w:rsidRDefault="001D025D" w:rsidP="001D025D">
      <w:pPr>
        <w:pStyle w:val="DPCbullet1"/>
        <w:numPr>
          <w:ilvl w:val="0"/>
          <w:numId w:val="0"/>
        </w:numPr>
        <w:spacing w:after="160"/>
        <w:ind w:left="850"/>
      </w:pPr>
      <w:r>
        <w:lastRenderedPageBreak/>
        <w:t xml:space="preserve">Despite the term, single officer </w:t>
      </w:r>
      <w:r w:rsidRPr="00B910B6">
        <w:t>roles may include roles where there are multiple identical or similar single office roles that are appointed to the same non-departmental entity. For example, multiple Commissioners appointed to the same Royal Commission</w:t>
      </w:r>
      <w:r>
        <w:t>.</w:t>
      </w:r>
    </w:p>
    <w:p w14:paraId="6D9A4A1D" w14:textId="77777777" w:rsidR="001D025D" w:rsidRDefault="001D025D" w:rsidP="001D025D">
      <w:pPr>
        <w:pStyle w:val="DPCbody"/>
        <w:ind w:left="851"/>
      </w:pPr>
      <w:r>
        <w:t xml:space="preserve">Queries relating to whether an </w:t>
      </w:r>
      <w:r w:rsidRPr="00B910B6">
        <w:t>appointment should be treated as a single officer appointment for the purpose of these Guidelines should be directed to Governance Branch DPC.</w:t>
      </w:r>
    </w:p>
    <w:p w14:paraId="531A327F" w14:textId="6CC8BCC2" w:rsidR="001D025D" w:rsidRDefault="001D025D" w:rsidP="001D025D">
      <w:pPr>
        <w:pStyle w:val="DPCbody"/>
        <w:numPr>
          <w:ilvl w:val="1"/>
          <w:numId w:val="18"/>
        </w:numPr>
        <w:ind w:left="851" w:hanging="567"/>
      </w:pPr>
      <w:r>
        <w:t>While the process</w:t>
      </w:r>
      <w:r w:rsidRPr="00B910B6">
        <w:rPr>
          <w:rFonts w:ascii="Cambria" w:eastAsia="Times New Roman" w:hAnsi="Cambria" w:cs="Times New Roman"/>
          <w:color w:val="auto"/>
          <w:sz w:val="20"/>
          <w:szCs w:val="20"/>
        </w:rPr>
        <w:t xml:space="preserve"> </w:t>
      </w:r>
      <w:r w:rsidRPr="00B910B6">
        <w:t xml:space="preserve">steps of these Guidelines apply to single officer appointments, the remuneration schedules (set out in Schedules A, B, C and D) </w:t>
      </w:r>
      <w:r w:rsidRPr="00B910B6">
        <w:rPr>
          <w:b/>
          <w:bCs/>
        </w:rPr>
        <w:t xml:space="preserve">do not apply </w:t>
      </w:r>
      <w:r w:rsidRPr="00B910B6">
        <w:t xml:space="preserve">to these appointments (see </w:t>
      </w:r>
      <w:hyperlink w:anchor="_Remuneration_of_single" w:history="1">
        <w:r w:rsidRPr="00240A62">
          <w:rPr>
            <w:rStyle w:val="Hyperlink"/>
            <w:color w:val="0072CE" w:themeColor="accent1"/>
            <w:u w:val="single"/>
          </w:rPr>
          <w:t>section 7.1 to 7.3</w:t>
        </w:r>
      </w:hyperlink>
      <w:r w:rsidRPr="00B910B6">
        <w:t>).</w:t>
      </w:r>
    </w:p>
    <w:p w14:paraId="2F1004A2" w14:textId="77777777" w:rsidR="001D025D" w:rsidRDefault="001D025D" w:rsidP="001D025D">
      <w:pPr>
        <w:pStyle w:val="DPCbody"/>
        <w:numPr>
          <w:ilvl w:val="1"/>
          <w:numId w:val="18"/>
        </w:numPr>
        <w:ind w:left="851" w:hanging="567"/>
      </w:pPr>
      <w:r>
        <w:t>Appointments subject to these Guidelines may also be subject to legislative requirements. If the Guidelines are inconsistent with legislative requirements or specifications, legislative requirements or specifications take precedent over these Guidelines.</w:t>
      </w:r>
    </w:p>
    <w:p w14:paraId="06A487AC" w14:textId="77777777" w:rsidR="003B7081" w:rsidRDefault="003B7081" w:rsidP="003B7081">
      <w:pPr>
        <w:pStyle w:val="Heading3"/>
      </w:pPr>
      <w:bookmarkStart w:id="22" w:name="_The_Guidelines_do"/>
      <w:bookmarkStart w:id="23" w:name="_Toc147909818"/>
      <w:bookmarkStart w:id="24" w:name="_Toc176339428"/>
      <w:bookmarkEnd w:id="22"/>
      <w:r w:rsidRPr="00714D72">
        <w:t>The Guidelines do not apply to the following entities</w:t>
      </w:r>
      <w:bookmarkEnd w:id="23"/>
      <w:bookmarkEnd w:id="24"/>
    </w:p>
    <w:p w14:paraId="70F57DC4" w14:textId="77777777" w:rsidR="003B7081" w:rsidRDefault="003B7081" w:rsidP="003B7081">
      <w:pPr>
        <w:pStyle w:val="DPCbody"/>
        <w:numPr>
          <w:ilvl w:val="1"/>
          <w:numId w:val="18"/>
        </w:numPr>
        <w:ind w:left="851" w:hanging="567"/>
      </w:pPr>
      <w:r>
        <w:t xml:space="preserve">The Guidelines </w:t>
      </w:r>
      <w:r w:rsidRPr="00B910B6">
        <w:rPr>
          <w:b/>
          <w:bCs/>
        </w:rPr>
        <w:t>do not</w:t>
      </w:r>
      <w:r>
        <w:t xml:space="preserve"> apply to:</w:t>
      </w:r>
    </w:p>
    <w:p w14:paraId="14E6AF75" w14:textId="77777777" w:rsidR="003B7081" w:rsidRPr="00B910B6" w:rsidRDefault="003B7081" w:rsidP="003B7081">
      <w:pPr>
        <w:pStyle w:val="DPCbullet1"/>
        <w:numPr>
          <w:ilvl w:val="0"/>
          <w:numId w:val="21"/>
        </w:numPr>
        <w:spacing w:after="160"/>
        <w:ind w:left="1134"/>
      </w:pPr>
      <w:r>
        <w:t xml:space="preserve">the employment of </w:t>
      </w:r>
      <w:r w:rsidRPr="00B910B6">
        <w:t>public service or public sector employees; including executives</w:t>
      </w:r>
    </w:p>
    <w:p w14:paraId="70E5DAAA" w14:textId="77777777" w:rsidR="003B7081" w:rsidRPr="00714D72" w:rsidRDefault="003B7081" w:rsidP="003B7081">
      <w:pPr>
        <w:pStyle w:val="DPCbullet1"/>
        <w:numPr>
          <w:ilvl w:val="0"/>
          <w:numId w:val="21"/>
        </w:numPr>
        <w:spacing w:after="160"/>
        <w:ind w:left="1134"/>
      </w:pPr>
      <w:r w:rsidRPr="00714D72">
        <w:t>departmental entities, for example interdepartmental committees that consist of departmental employees rather than external appointees</w:t>
      </w:r>
    </w:p>
    <w:p w14:paraId="3D02B0AE" w14:textId="77777777" w:rsidR="003B7081" w:rsidRPr="00B910B6" w:rsidRDefault="003B7081" w:rsidP="003B7081">
      <w:pPr>
        <w:pStyle w:val="DPCbullet1"/>
        <w:numPr>
          <w:ilvl w:val="0"/>
          <w:numId w:val="21"/>
        </w:numPr>
        <w:spacing w:after="160"/>
        <w:ind w:left="1134"/>
      </w:pPr>
      <w:r w:rsidRPr="00B910B6">
        <w:t>external contractors or consultant</w:t>
      </w:r>
      <w:r>
        <w:t>s</w:t>
      </w:r>
      <w:r w:rsidRPr="00B910B6">
        <w:t xml:space="preserve"> engaged to advise departments or other public entities</w:t>
      </w:r>
    </w:p>
    <w:p w14:paraId="2B40E60B" w14:textId="77777777" w:rsidR="003B7081" w:rsidRPr="00B910B6" w:rsidRDefault="003B7081" w:rsidP="003B7081">
      <w:pPr>
        <w:pStyle w:val="DPCbullet1"/>
        <w:numPr>
          <w:ilvl w:val="0"/>
          <w:numId w:val="21"/>
        </w:numPr>
        <w:spacing w:after="160"/>
        <w:ind w:left="1134"/>
      </w:pPr>
      <w:r w:rsidRPr="00B910B6">
        <w:t>school councils</w:t>
      </w:r>
    </w:p>
    <w:p w14:paraId="73C5FDDF" w14:textId="77777777" w:rsidR="003B7081" w:rsidRDefault="003B7081" w:rsidP="003B7081">
      <w:pPr>
        <w:pStyle w:val="DPCbullet1"/>
        <w:numPr>
          <w:ilvl w:val="0"/>
          <w:numId w:val="21"/>
        </w:numPr>
        <w:spacing w:after="160"/>
        <w:ind w:left="1134"/>
      </w:pPr>
      <w:r w:rsidRPr="00B910B6">
        <w:t xml:space="preserve">entities whose remuneration is set by or tied to the </w:t>
      </w:r>
      <w:r w:rsidRPr="00F3658A">
        <w:rPr>
          <w:i/>
          <w:iCs/>
        </w:rPr>
        <w:t>Judicial Entitlements Act 2015</w:t>
      </w:r>
      <w:r w:rsidRPr="00B910B6">
        <w:t xml:space="preserve"> (Vic), however, the Guidelines represent best practice for these appointments.</w:t>
      </w:r>
    </w:p>
    <w:p w14:paraId="0DA957F7" w14:textId="77777777" w:rsidR="003B7081" w:rsidRDefault="003B7081" w:rsidP="003B7081">
      <w:pPr>
        <w:pStyle w:val="Heading3"/>
      </w:pPr>
      <w:bookmarkStart w:id="25" w:name="_Toc147909819"/>
      <w:bookmarkStart w:id="26" w:name="_Toc176339429"/>
      <w:r w:rsidRPr="00714D72">
        <w:t xml:space="preserve">The Guidelines </w:t>
      </w:r>
      <w:r>
        <w:t xml:space="preserve">partially </w:t>
      </w:r>
      <w:r w:rsidRPr="00714D72">
        <w:t>apply to the following entities</w:t>
      </w:r>
      <w:bookmarkEnd w:id="25"/>
      <w:bookmarkEnd w:id="26"/>
    </w:p>
    <w:p w14:paraId="34A04D43" w14:textId="77777777" w:rsidR="003B7081" w:rsidRDefault="003B7081" w:rsidP="003B7081">
      <w:pPr>
        <w:pStyle w:val="DPCbody"/>
        <w:numPr>
          <w:ilvl w:val="1"/>
          <w:numId w:val="18"/>
        </w:numPr>
        <w:ind w:left="851" w:hanging="567"/>
      </w:pPr>
      <w:r w:rsidRPr="00D977BD">
        <w:t xml:space="preserve">The Guidelines </w:t>
      </w:r>
      <w:r w:rsidRPr="00231BFE">
        <w:rPr>
          <w:b/>
          <w:bCs/>
        </w:rPr>
        <w:t>partially apply</w:t>
      </w:r>
      <w:r w:rsidRPr="00D977BD">
        <w:t xml:space="preserve"> to a Committee of Management incorporated under the </w:t>
      </w:r>
      <w:r w:rsidRPr="00231BFE">
        <w:rPr>
          <w:i/>
          <w:iCs/>
        </w:rPr>
        <w:t>Crown Land (Reserves) Act 1978</w:t>
      </w:r>
      <w:r w:rsidRPr="00D977BD">
        <w:t xml:space="preserve"> where committee members are unremunerated. If such a committee has an annual revenue or cash balance that is:</w:t>
      </w:r>
    </w:p>
    <w:p w14:paraId="04C0D577" w14:textId="77777777" w:rsidR="003B7081" w:rsidRDefault="003B7081" w:rsidP="003B7081">
      <w:pPr>
        <w:pStyle w:val="DPCbullet1"/>
        <w:numPr>
          <w:ilvl w:val="0"/>
          <w:numId w:val="21"/>
        </w:numPr>
      </w:pPr>
      <w:r w:rsidRPr="00231BFE">
        <w:rPr>
          <w:b/>
          <w:bCs/>
        </w:rPr>
        <w:t>less than $250 000 per year</w:t>
      </w:r>
      <w:r w:rsidRPr="002849D5">
        <w:t>, then appointments to that committee are exempt from the Guidelines, except for the requirement to complete, before appointment:</w:t>
      </w:r>
    </w:p>
    <w:p w14:paraId="74C9ECB3" w14:textId="77777777" w:rsidR="003B7081" w:rsidRDefault="003B7081" w:rsidP="003B7081">
      <w:pPr>
        <w:pStyle w:val="DPCbullet2"/>
        <w:numPr>
          <w:ilvl w:val="1"/>
          <w:numId w:val="21"/>
        </w:numPr>
        <w:ind w:left="1135" w:hanging="284"/>
        <w:rPr>
          <w:rFonts w:ascii="Calibri" w:hAnsi="Calibri"/>
        </w:rPr>
      </w:pPr>
      <w:r>
        <w:t xml:space="preserve">a Declaration of Private Interests; and </w:t>
      </w:r>
    </w:p>
    <w:p w14:paraId="018A9142" w14:textId="77777777" w:rsidR="003B7081" w:rsidRDefault="003B7081" w:rsidP="003B7081">
      <w:pPr>
        <w:pStyle w:val="DPCbullet2"/>
        <w:numPr>
          <w:ilvl w:val="1"/>
          <w:numId w:val="21"/>
        </w:numPr>
        <w:ind w:left="1135" w:hanging="284"/>
        <w:rPr>
          <w:rFonts w:ascii="Calibri" w:hAnsi="Calibri"/>
        </w:rPr>
      </w:pPr>
      <w:r>
        <w:t>a National Personal Insolvency Index check an Australian Securities and Investment Commission banned and disqualified persons check.</w:t>
      </w:r>
    </w:p>
    <w:p w14:paraId="3BF338C4" w14:textId="77777777" w:rsidR="003B7081" w:rsidRPr="00B6157E" w:rsidRDefault="003B7081" w:rsidP="003B7081">
      <w:pPr>
        <w:pStyle w:val="DPCbullet1"/>
        <w:numPr>
          <w:ilvl w:val="0"/>
          <w:numId w:val="21"/>
        </w:numPr>
        <w:contextualSpacing/>
        <w:rPr>
          <w:rFonts w:ascii="Calibri" w:eastAsia="Times New Roman" w:hAnsi="Calibri"/>
        </w:rPr>
      </w:pPr>
      <w:r w:rsidRPr="00B6157E">
        <w:rPr>
          <w:rFonts w:eastAsia="Times New Roman"/>
        </w:rPr>
        <w:t xml:space="preserve">between </w:t>
      </w:r>
      <w:r w:rsidRPr="00B6157E">
        <w:rPr>
          <w:rFonts w:eastAsia="Times New Roman"/>
          <w:b/>
          <w:bCs/>
        </w:rPr>
        <w:t>$250,000 to $1 million per year</w:t>
      </w:r>
      <w:r w:rsidRPr="00B6157E">
        <w:rPr>
          <w:rFonts w:eastAsia="Times New Roman"/>
        </w:rPr>
        <w:t>, then appointments to that committee are exempt from the Guidelines, except for the requirement to complete, before appointment:</w:t>
      </w:r>
    </w:p>
    <w:p w14:paraId="7CD57BFC" w14:textId="77777777" w:rsidR="003B7081" w:rsidRDefault="003B7081" w:rsidP="003B7081">
      <w:pPr>
        <w:pStyle w:val="DPCbullet2"/>
        <w:numPr>
          <w:ilvl w:val="1"/>
          <w:numId w:val="21"/>
        </w:numPr>
        <w:ind w:left="1135" w:hanging="284"/>
      </w:pPr>
      <w:r>
        <w:t xml:space="preserve">a Declaration of Private Interests; and </w:t>
      </w:r>
    </w:p>
    <w:p w14:paraId="25027479" w14:textId="77777777" w:rsidR="003B7081" w:rsidRDefault="003B7081" w:rsidP="003B7081">
      <w:pPr>
        <w:pStyle w:val="DPCbullet2"/>
        <w:numPr>
          <w:ilvl w:val="1"/>
          <w:numId w:val="21"/>
        </w:numPr>
        <w:ind w:left="1135" w:hanging="284"/>
      </w:pPr>
      <w:r>
        <w:rPr>
          <w:rFonts w:eastAsia="Times New Roman"/>
        </w:rPr>
        <w:t xml:space="preserve">a criminal records check, </w:t>
      </w:r>
      <w:r>
        <w:t>a National Personal Insolvency Index check, an Australian Securities and Investment Commission banned and disqualified persons check.</w:t>
      </w:r>
    </w:p>
    <w:p w14:paraId="6A3B1E98" w14:textId="77777777" w:rsidR="003B7081" w:rsidRPr="00B910B6" w:rsidRDefault="003B7081" w:rsidP="003B7081">
      <w:pPr>
        <w:pStyle w:val="DPCbody"/>
        <w:numPr>
          <w:ilvl w:val="1"/>
          <w:numId w:val="18"/>
        </w:numPr>
        <w:ind w:left="851" w:hanging="567"/>
      </w:pPr>
      <w:r w:rsidRPr="00F52074">
        <w:lastRenderedPageBreak/>
        <w:t>If a committee of management is exempt from the Guidelines, then Departmental appointment guidelines and policies may still apply to the appointment.</w:t>
      </w:r>
    </w:p>
    <w:p w14:paraId="7911A8D9" w14:textId="622E6A8F" w:rsidR="003B7081" w:rsidRDefault="003B7081" w:rsidP="003B7081">
      <w:pPr>
        <w:pStyle w:val="DPCbody"/>
        <w:numPr>
          <w:ilvl w:val="1"/>
          <w:numId w:val="18"/>
        </w:numPr>
        <w:ind w:left="851" w:hanging="567"/>
      </w:pPr>
      <w:r>
        <w:t xml:space="preserve">It is recommended </w:t>
      </w:r>
      <w:r w:rsidRPr="000E1905">
        <w:t xml:space="preserve">that appointments that fall outside the scope of these Guidelines </w:t>
      </w:r>
      <w:r w:rsidRPr="00BA5151">
        <w:t xml:space="preserve">(see </w:t>
      </w:r>
      <w:hyperlink w:anchor="_The_Guidelines_do" w:history="1">
        <w:r w:rsidRPr="00760C67">
          <w:rPr>
            <w:rStyle w:val="Hyperlink"/>
            <w:color w:val="0072CE" w:themeColor="accent1"/>
            <w:u w:val="single"/>
          </w:rPr>
          <w:t>section 2.5</w:t>
        </w:r>
      </w:hyperlink>
      <w:r w:rsidRPr="00BA5151">
        <w:t>)</w:t>
      </w:r>
      <w:r w:rsidRPr="000E1905">
        <w:t xml:space="preserve"> still comply with the Guidelines. This should include the use of merit-based selection processes, completion of probity checks, collection of Declaration of Private Interests forms, and consideration of diversity among appointees</w:t>
      </w:r>
      <w:r>
        <w:t>.</w:t>
      </w:r>
    </w:p>
    <w:p w14:paraId="193752A3" w14:textId="7DE9AD50" w:rsidR="00A97449" w:rsidRDefault="00A97449">
      <w:pPr>
        <w:rPr>
          <w:b/>
          <w:color w:val="595959" w:themeColor="text1" w:themeTint="A6"/>
          <w:sz w:val="28"/>
        </w:rPr>
      </w:pPr>
      <w:r>
        <w:br w:type="page"/>
      </w:r>
    </w:p>
    <w:p w14:paraId="195E6952" w14:textId="0EF04474" w:rsidR="00A97449" w:rsidRDefault="00A97449" w:rsidP="00C63A52">
      <w:pPr>
        <w:pStyle w:val="Heading1"/>
        <w:numPr>
          <w:ilvl w:val="0"/>
          <w:numId w:val="18"/>
        </w:numPr>
        <w:ind w:left="851" w:hanging="567"/>
      </w:pPr>
      <w:bookmarkStart w:id="27" w:name="_A_robust_recruitment"/>
      <w:bookmarkStart w:id="28" w:name="_Toc147909820"/>
      <w:bookmarkStart w:id="29" w:name="_Toc176339430"/>
      <w:bookmarkEnd w:id="27"/>
      <w:r>
        <w:lastRenderedPageBreak/>
        <w:t xml:space="preserve">A robust recruitment </w:t>
      </w:r>
      <w:r w:rsidRPr="000E1905">
        <w:t>and selection process enables the most suitable appointment to be made from a diverse range of candidates</w:t>
      </w:r>
      <w:bookmarkEnd w:id="28"/>
      <w:bookmarkEnd w:id="29"/>
    </w:p>
    <w:p w14:paraId="17CF60AD" w14:textId="77777777" w:rsidR="00923324" w:rsidRPr="00BA5151" w:rsidRDefault="00923324" w:rsidP="00923324">
      <w:pPr>
        <w:pStyle w:val="DPCbody"/>
        <w:numPr>
          <w:ilvl w:val="1"/>
          <w:numId w:val="18"/>
        </w:numPr>
        <w:ind w:left="851" w:hanging="567"/>
      </w:pPr>
      <w:r>
        <w:t xml:space="preserve">This section contains a brief overview of </w:t>
      </w:r>
      <w:r w:rsidRPr="000E1905">
        <w:t xml:space="preserve">the recruitment and selection process. </w:t>
      </w:r>
      <w:r>
        <w:t>This section should be read in conjunction with:</w:t>
      </w:r>
    </w:p>
    <w:p w14:paraId="01543240" w14:textId="77777777" w:rsidR="00240A62" w:rsidRDefault="00923324" w:rsidP="00240A62">
      <w:pPr>
        <w:pStyle w:val="DPCbullet1"/>
        <w:numPr>
          <w:ilvl w:val="0"/>
          <w:numId w:val="21"/>
        </w:numPr>
        <w:spacing w:after="160"/>
        <w:ind w:left="1134"/>
      </w:pPr>
      <w:hyperlink r:id="rId36" w:history="1">
        <w:r w:rsidRPr="00842E06">
          <w:rPr>
            <w:rStyle w:val="Hyperlink"/>
            <w:color w:val="0072CE" w:themeColor="accent1"/>
            <w:u w:val="single"/>
          </w:rPr>
          <w:t>Diversity on Victorian Government Board Guidelines</w:t>
        </w:r>
      </w:hyperlink>
      <w:r>
        <w:t xml:space="preserve">, which apply to all appointments to which these Guidelines apply; and </w:t>
      </w:r>
    </w:p>
    <w:p w14:paraId="22D55C52" w14:textId="514C909A" w:rsidR="00923324" w:rsidRPr="00240A62" w:rsidRDefault="00923324" w:rsidP="00240A62">
      <w:pPr>
        <w:pStyle w:val="DPCbullet1"/>
        <w:numPr>
          <w:ilvl w:val="0"/>
          <w:numId w:val="21"/>
        </w:numPr>
        <w:spacing w:after="160"/>
        <w:ind w:left="1134"/>
        <w:rPr>
          <w:rStyle w:val="Hyperlink"/>
          <w:u w:val="single"/>
        </w:rPr>
      </w:pPr>
      <w:r>
        <w:fldChar w:fldCharType="begin"/>
      </w:r>
      <w:r>
        <w:instrText>HYPERLINK "https://vpsc.vic.gov.au/governance/recruitment-and-appointment-to-the-board-a-governance-officers-toolkit/" \o "Recruitment and Appointment to the Board: A Governance Officers’ Toolkit"</w:instrText>
      </w:r>
      <w:r>
        <w:fldChar w:fldCharType="separate"/>
      </w:r>
      <w:r w:rsidRPr="00240A62">
        <w:rPr>
          <w:rStyle w:val="Hyperlink"/>
          <w:color w:val="0072CE" w:themeColor="accent1"/>
          <w:u w:val="single"/>
        </w:rPr>
        <w:t>Recruitment and Appointment to the Board – A Governance Officers’ Toolkit</w:t>
      </w:r>
    </w:p>
    <w:p w14:paraId="6E438955" w14:textId="77777777" w:rsidR="00923324" w:rsidRDefault="00923324" w:rsidP="00923324">
      <w:pPr>
        <w:pStyle w:val="Heading2"/>
      </w:pPr>
      <w:r>
        <w:rPr>
          <w:rFonts w:eastAsia="Times" w:cs="Arial"/>
          <w:bCs/>
          <w:iCs/>
          <w:color w:val="000000" w:themeColor="text1"/>
          <w:sz w:val="22"/>
          <w:szCs w:val="22"/>
        </w:rPr>
        <w:fldChar w:fldCharType="end"/>
      </w:r>
      <w:bookmarkStart w:id="30" w:name="_Best_practice_is"/>
      <w:bookmarkStart w:id="31" w:name="_Toc147909821"/>
      <w:bookmarkStart w:id="32" w:name="_Toc176339431"/>
      <w:bookmarkEnd w:id="30"/>
      <w:r>
        <w:t xml:space="preserve">Best practice is to </w:t>
      </w:r>
      <w:r w:rsidRPr="000E1905">
        <w:t>identify a vacancy and begin the recruitment process at least six months before the expiry of the appointment</w:t>
      </w:r>
      <w:bookmarkEnd w:id="31"/>
      <w:bookmarkEnd w:id="32"/>
    </w:p>
    <w:p w14:paraId="2FF87006" w14:textId="77777777" w:rsidR="00923324" w:rsidRDefault="00923324" w:rsidP="00923324">
      <w:pPr>
        <w:pStyle w:val="DPCbody"/>
        <w:numPr>
          <w:ilvl w:val="1"/>
          <w:numId w:val="18"/>
        </w:numPr>
        <w:ind w:left="851" w:hanging="567"/>
      </w:pPr>
      <w:r>
        <w:t xml:space="preserve">All departments are expected to keep rolling schedules of the upcoming appointments within their respective portfolios. Appointments should not be brought to Cabinet more than three months ahead of the appointment commencing, to ensure that, </w:t>
      </w:r>
      <w:r w:rsidRPr="000E1905">
        <w:t xml:space="preserve">as far as practicable, the appointment is based on current information (see 5.2 of the </w:t>
      </w:r>
      <w:hyperlink r:id="rId37" w:history="1">
        <w:r w:rsidRPr="00760C67">
          <w:rPr>
            <w:rStyle w:val="Hyperlink"/>
            <w:color w:val="0072CE" w:themeColor="accent1"/>
            <w:u w:val="single"/>
          </w:rPr>
          <w:t>Cabinet Handbook</w:t>
        </w:r>
      </w:hyperlink>
      <w:r w:rsidRPr="000E1905">
        <w:t>).</w:t>
      </w:r>
    </w:p>
    <w:p w14:paraId="68EE709E" w14:textId="77777777" w:rsidR="00923324" w:rsidRPr="008C2662" w:rsidRDefault="00923324" w:rsidP="00923324">
      <w:pPr>
        <w:pStyle w:val="Heading3"/>
        <w:spacing w:before="0" w:after="160" w:line="300" w:lineRule="atLeast"/>
        <w:rPr>
          <w:b w:val="0"/>
          <w:bCs/>
          <w:sz w:val="28"/>
          <w:szCs w:val="28"/>
        </w:rPr>
      </w:pPr>
      <w:bookmarkStart w:id="33" w:name="_Toc147909822"/>
      <w:bookmarkStart w:id="34" w:name="_Toc176339432"/>
      <w:r w:rsidRPr="008C2662">
        <w:t>Consider the board composition</w:t>
      </w:r>
      <w:r>
        <w:t>, skills and diversity</w:t>
      </w:r>
      <w:r w:rsidRPr="008C2662">
        <w:t xml:space="preserve"> matrix</w:t>
      </w:r>
      <w:bookmarkEnd w:id="33"/>
      <w:bookmarkEnd w:id="34"/>
    </w:p>
    <w:p w14:paraId="1E634075" w14:textId="77777777" w:rsidR="00923324" w:rsidRPr="008C2662" w:rsidRDefault="00923324" w:rsidP="00923324">
      <w:pPr>
        <w:pStyle w:val="DPCbody"/>
        <w:numPr>
          <w:ilvl w:val="1"/>
          <w:numId w:val="18"/>
        </w:numPr>
        <w:ind w:left="851" w:hanging="567"/>
        <w:rPr>
          <w:color w:val="auto"/>
        </w:rPr>
      </w:pPr>
      <w:r>
        <w:t xml:space="preserve">When filling </w:t>
      </w:r>
      <w:r w:rsidRPr="008C2662">
        <w:t xml:space="preserve">a board vacancy, consideration must be given to the mix of skills and expertise, </w:t>
      </w:r>
      <w:r>
        <w:t xml:space="preserve">lived experience, </w:t>
      </w:r>
      <w:r w:rsidRPr="008C2662">
        <w:t xml:space="preserve">personal qualities, diversity and gender balance of existing board members. All Chairs must maintain a skills </w:t>
      </w:r>
      <w:r>
        <w:t xml:space="preserve">and diversity </w:t>
      </w:r>
      <w:r w:rsidRPr="008C2662">
        <w:t xml:space="preserve">matrix of the board to inform vacancies and assist succession planning. Departments must use the skills </w:t>
      </w:r>
      <w:r>
        <w:t xml:space="preserve">and diversity </w:t>
      </w:r>
      <w:r w:rsidRPr="008C2662">
        <w:t xml:space="preserve">matrix and consult with the Board Chair on the personal qualities, character, reputation, specialist expertise or lived experience required to successfully acquit the responsibilities of the board. A template skills matrix can be found </w:t>
      </w:r>
      <w:hyperlink r:id="rId38" w:history="1">
        <w:r w:rsidRPr="00760C67">
          <w:rPr>
            <w:rStyle w:val="Hyperlink"/>
            <w:color w:val="0072CE" w:themeColor="accent1"/>
            <w:u w:val="single"/>
          </w:rPr>
          <w:t>here</w:t>
        </w:r>
      </w:hyperlink>
      <w:r>
        <w:t>.</w:t>
      </w:r>
      <w:r w:rsidRPr="008C2662">
        <w:t xml:space="preserve"> </w:t>
      </w:r>
    </w:p>
    <w:p w14:paraId="60AC80EC" w14:textId="77777777" w:rsidR="00923324" w:rsidRPr="000E1905" w:rsidRDefault="00923324" w:rsidP="00923324">
      <w:pPr>
        <w:pStyle w:val="Heading3"/>
        <w:spacing w:before="0" w:after="160" w:line="300" w:lineRule="atLeast"/>
        <w:rPr>
          <w:b w:val="0"/>
          <w:bCs/>
          <w:sz w:val="28"/>
          <w:szCs w:val="28"/>
        </w:rPr>
      </w:pPr>
      <w:bookmarkStart w:id="35" w:name="_Toc147909823"/>
      <w:bookmarkStart w:id="36" w:name="_Toc176339433"/>
      <w:r w:rsidRPr="000E1905">
        <w:t>A position description should be developed for the specific role</w:t>
      </w:r>
      <w:bookmarkEnd w:id="35"/>
      <w:bookmarkEnd w:id="36"/>
    </w:p>
    <w:p w14:paraId="54DAD552" w14:textId="77777777" w:rsidR="00923324" w:rsidRPr="000E1905" w:rsidRDefault="00923324" w:rsidP="00923324">
      <w:pPr>
        <w:pStyle w:val="DPCbody"/>
        <w:numPr>
          <w:ilvl w:val="1"/>
          <w:numId w:val="18"/>
        </w:numPr>
        <w:spacing w:after="0"/>
        <w:ind w:left="851" w:hanging="567"/>
        <w:rPr>
          <w:b/>
          <w:bCs/>
        </w:rPr>
      </w:pPr>
      <w:r w:rsidRPr="000E1905">
        <w:t>The position description should capture the personal qualities, knowledge, skills and experience that are required for effective performance of the relevant role. The position description should include:</w:t>
      </w:r>
    </w:p>
    <w:p w14:paraId="6A3680BB" w14:textId="77777777" w:rsidR="00923324" w:rsidRPr="000E1905" w:rsidRDefault="00923324" w:rsidP="00923324">
      <w:pPr>
        <w:pStyle w:val="DPCbullet1"/>
        <w:numPr>
          <w:ilvl w:val="0"/>
          <w:numId w:val="21"/>
        </w:numPr>
        <w:spacing w:before="120" w:after="160"/>
        <w:ind w:left="1135"/>
        <w:rPr>
          <w:b/>
          <w:bCs/>
        </w:rPr>
      </w:pPr>
      <w:r w:rsidRPr="000E1905">
        <w:t>duties and responsibilities of the position</w:t>
      </w:r>
    </w:p>
    <w:p w14:paraId="47F56CE3" w14:textId="77777777" w:rsidR="00923324" w:rsidRPr="000E1905" w:rsidRDefault="00923324" w:rsidP="00923324">
      <w:pPr>
        <w:pStyle w:val="DPCbullet1"/>
        <w:numPr>
          <w:ilvl w:val="0"/>
          <w:numId w:val="21"/>
        </w:numPr>
        <w:spacing w:after="160"/>
        <w:ind w:left="1134"/>
        <w:rPr>
          <w:b/>
          <w:bCs/>
        </w:rPr>
      </w:pPr>
      <w:r w:rsidRPr="000E1905">
        <w:t xml:space="preserve">skills </w:t>
      </w:r>
      <w:r>
        <w:t xml:space="preserve">or experience </w:t>
      </w:r>
      <w:r w:rsidRPr="000E1905">
        <w:t>required for the position</w:t>
      </w:r>
    </w:p>
    <w:p w14:paraId="2D5F09F9" w14:textId="77777777" w:rsidR="00923324" w:rsidRPr="000E1905" w:rsidRDefault="00923324" w:rsidP="00923324">
      <w:pPr>
        <w:pStyle w:val="DPCbullet1"/>
        <w:numPr>
          <w:ilvl w:val="0"/>
          <w:numId w:val="21"/>
        </w:numPr>
        <w:spacing w:after="160"/>
        <w:ind w:left="1134"/>
        <w:rPr>
          <w:b/>
          <w:bCs/>
        </w:rPr>
      </w:pPr>
      <w:r w:rsidRPr="000E1905">
        <w:t>mandatory and desirable selection criteria</w:t>
      </w:r>
    </w:p>
    <w:p w14:paraId="320E5034" w14:textId="31959E5D" w:rsidR="00923324" w:rsidRPr="000E1905" w:rsidRDefault="00923324" w:rsidP="00923324">
      <w:pPr>
        <w:pStyle w:val="DPCbullet1"/>
        <w:numPr>
          <w:ilvl w:val="0"/>
          <w:numId w:val="21"/>
        </w:numPr>
        <w:spacing w:after="160"/>
        <w:ind w:left="1134"/>
        <w:rPr>
          <w:b/>
          <w:bCs/>
        </w:rPr>
      </w:pPr>
      <w:r w:rsidRPr="000E1905">
        <w:t>the terms and conditions of appointment</w:t>
      </w:r>
      <w:r w:rsidR="0019124A">
        <w:t>.</w:t>
      </w:r>
      <w:r w:rsidRPr="000E1905">
        <w:t xml:space="preserve"> </w:t>
      </w:r>
    </w:p>
    <w:p w14:paraId="6A279DF3" w14:textId="77777777" w:rsidR="00923324" w:rsidRDefault="00923324" w:rsidP="00923324">
      <w:pPr>
        <w:pStyle w:val="DPCbody"/>
        <w:numPr>
          <w:ilvl w:val="1"/>
          <w:numId w:val="18"/>
        </w:numPr>
        <w:ind w:left="851" w:hanging="567"/>
      </w:pPr>
      <w:r w:rsidRPr="000E1905">
        <w:t>When developing the position description for a board role, input from the board’s Chair should be sought to understand the board’s operating environment and current and emerging priorities.</w:t>
      </w:r>
    </w:p>
    <w:p w14:paraId="0CE362ED" w14:textId="77777777" w:rsidR="00923324" w:rsidRPr="00446CF9" w:rsidRDefault="00923324" w:rsidP="00923324">
      <w:pPr>
        <w:pStyle w:val="DPCbody"/>
        <w:numPr>
          <w:ilvl w:val="1"/>
          <w:numId w:val="18"/>
        </w:numPr>
        <w:ind w:left="851" w:hanging="567"/>
      </w:pPr>
      <w:r w:rsidRPr="00446CF9">
        <w:lastRenderedPageBreak/>
        <w:t xml:space="preserve">The </w:t>
      </w:r>
      <w:hyperlink r:id="rId39">
        <w:r w:rsidRPr="00446CF9">
          <w:rPr>
            <w:rStyle w:val="Hyperlink"/>
          </w:rPr>
          <w:t>Diversity on Victorian Government Board Guidelines</w:t>
        </w:r>
      </w:hyperlink>
      <w:r w:rsidRPr="00446CF9">
        <w:t xml:space="preserve"> provide advice on drafting a position description that is inclusive of diverse candidates. </w:t>
      </w:r>
    </w:p>
    <w:p w14:paraId="0A56C3F1" w14:textId="77777777" w:rsidR="00923324" w:rsidRPr="00446CF9" w:rsidRDefault="00923324" w:rsidP="00923324">
      <w:pPr>
        <w:pStyle w:val="DPCbody"/>
        <w:rPr>
          <w:rFonts w:asciiTheme="majorHAnsi" w:eastAsia="MS Gothic" w:hAnsiTheme="majorHAnsi" w:cs="Times New Roman"/>
          <w:b/>
          <w:color w:val="201547" w:themeColor="text2"/>
          <w:sz w:val="32"/>
          <w:szCs w:val="32"/>
        </w:rPr>
      </w:pPr>
      <w:bookmarkStart w:id="37" w:name="_Hlk105077474"/>
      <w:r w:rsidRPr="00A5073A">
        <w:rPr>
          <w:rFonts w:asciiTheme="majorHAnsi" w:eastAsia="MS Gothic" w:hAnsiTheme="majorHAnsi" w:cs="Times New Roman"/>
          <w:b/>
          <w:color w:val="201547" w:themeColor="text2"/>
          <w:sz w:val="32"/>
          <w:szCs w:val="32"/>
        </w:rPr>
        <w:t>Appointments to</w:t>
      </w:r>
      <w:r w:rsidRPr="00446CF9">
        <w:rPr>
          <w:rFonts w:asciiTheme="majorHAnsi" w:eastAsia="MS Gothic" w:hAnsiTheme="majorHAnsi" w:cs="Times New Roman"/>
          <w:b/>
          <w:color w:val="201547" w:themeColor="text2"/>
          <w:sz w:val="32"/>
          <w:szCs w:val="32"/>
        </w:rPr>
        <w:t xml:space="preserve"> Victorian Government boards should reflect the rich diversity of the Victorian Community </w:t>
      </w:r>
    </w:p>
    <w:p w14:paraId="3DA79D9D" w14:textId="77777777" w:rsidR="00923324" w:rsidRPr="00446CF9" w:rsidRDefault="00923324" w:rsidP="00923324">
      <w:pPr>
        <w:pStyle w:val="DPCbody"/>
        <w:numPr>
          <w:ilvl w:val="1"/>
          <w:numId w:val="18"/>
        </w:numPr>
        <w:ind w:left="851" w:hanging="567"/>
        <w:rPr>
          <w:rFonts w:ascii="Arial" w:hAnsi="Arial"/>
          <w:color w:val="011A3C"/>
        </w:rPr>
      </w:pPr>
      <w:r w:rsidRPr="00446CF9">
        <w:rPr>
          <w:rFonts w:ascii="Arial" w:hAnsi="Arial"/>
          <w:color w:val="011A3C"/>
        </w:rPr>
        <w:t xml:space="preserve">The </w:t>
      </w:r>
      <w:hyperlink r:id="rId40">
        <w:r w:rsidRPr="00C90CFD">
          <w:rPr>
            <w:rStyle w:val="Hyperlink"/>
            <w:rFonts w:ascii="Arial" w:hAnsi="Arial"/>
            <w:color w:val="0072CE" w:themeColor="accent1"/>
            <w:u w:val="single"/>
          </w:rPr>
          <w:t>Diversity on Victorian Government Board Guidelines</w:t>
        </w:r>
      </w:hyperlink>
      <w:r w:rsidRPr="00446CF9">
        <w:rPr>
          <w:rFonts w:ascii="Arial" w:hAnsi="Arial"/>
          <w:color w:val="011A3C"/>
        </w:rPr>
        <w:t xml:space="preserve"> provide general advice to support diversity on boards, including advice tailored to specific groups that experience barriers to participation. </w:t>
      </w:r>
      <w:r w:rsidRPr="00446CF9">
        <w:t xml:space="preserve">Under the </w:t>
      </w:r>
      <w:r w:rsidRPr="00446CF9">
        <w:rPr>
          <w:color w:val="011A3C"/>
        </w:rPr>
        <w:t>Diversity on Victorian Government Board Guidelines,</w:t>
      </w:r>
      <w:r w:rsidRPr="00446CF9">
        <w:rPr>
          <w:rFonts w:ascii="Arial" w:hAnsi="Arial"/>
          <w:color w:val="011A3C"/>
        </w:rPr>
        <w:t xml:space="preserve"> </w:t>
      </w:r>
      <w:r w:rsidRPr="00446CF9">
        <w:t xml:space="preserve">it is </w:t>
      </w:r>
      <w:r w:rsidRPr="00446CF9">
        <w:rPr>
          <w:b/>
          <w:bCs/>
        </w:rPr>
        <w:t>mandatory</w:t>
      </w:r>
      <w:r w:rsidRPr="00446CF9">
        <w:t xml:space="preserve"> to consult with the relevant policy area in relation to each of the following groups:</w:t>
      </w:r>
    </w:p>
    <w:p w14:paraId="62565830" w14:textId="77777777" w:rsidR="00923324" w:rsidRPr="00446CF9" w:rsidRDefault="00923324" w:rsidP="00923324">
      <w:pPr>
        <w:pStyle w:val="DPCbullet1"/>
        <w:numPr>
          <w:ilvl w:val="0"/>
          <w:numId w:val="21"/>
        </w:numPr>
        <w:spacing w:after="160"/>
        <w:ind w:left="1134"/>
      </w:pPr>
      <w:r w:rsidRPr="00446CF9">
        <w:t xml:space="preserve">Women, cultural and linguistically diverse people, young people, LGBTIQ+ people, people with disability: </w:t>
      </w:r>
      <w:hyperlink r:id="rId41" w:history="1">
        <w:r w:rsidRPr="00A02272">
          <w:rPr>
            <w:rStyle w:val="Hyperlink"/>
            <w:color w:val="0072CE" w:themeColor="accent1"/>
            <w:u w:val="single"/>
          </w:rPr>
          <w:t>diversityonboards@dffh.vic.gov.au</w:t>
        </w:r>
      </w:hyperlink>
      <w:r w:rsidRPr="00446CF9">
        <w:t xml:space="preserve"> </w:t>
      </w:r>
    </w:p>
    <w:p w14:paraId="711C8328" w14:textId="376E1519" w:rsidR="00F2599D" w:rsidRDefault="00923324" w:rsidP="00F2599D">
      <w:pPr>
        <w:pStyle w:val="DPCbullet1"/>
        <w:numPr>
          <w:ilvl w:val="0"/>
          <w:numId w:val="21"/>
        </w:numPr>
        <w:spacing w:after="160"/>
        <w:ind w:left="1134"/>
      </w:pPr>
      <w:r>
        <w:t xml:space="preserve">Aboriginal people: </w:t>
      </w:r>
      <w:r w:rsidR="00F2599D" w:rsidRPr="00A02272">
        <w:rPr>
          <w:color w:val="0072CE" w:themeColor="accent1"/>
          <w:u w:val="single"/>
        </w:rPr>
        <w:t>Secretariat.AA@dpc.vic.gov.au</w:t>
      </w:r>
    </w:p>
    <w:p w14:paraId="0D0E6F8E" w14:textId="77777777" w:rsidR="00923324" w:rsidRPr="00446CF9" w:rsidRDefault="00923324" w:rsidP="00923324">
      <w:pPr>
        <w:pStyle w:val="DPCbullet1"/>
        <w:numPr>
          <w:ilvl w:val="0"/>
          <w:numId w:val="21"/>
        </w:numPr>
        <w:spacing w:after="160"/>
        <w:ind w:left="1134"/>
      </w:pPr>
      <w:r w:rsidRPr="00446CF9">
        <w:t xml:space="preserve">People living in rural and regional communities: Your department’s relevant regional group. For broader consultation or additional guidance, </w:t>
      </w:r>
      <w:r w:rsidRPr="00A02272">
        <w:rPr>
          <w:color w:val="0072CE" w:themeColor="accent1"/>
          <w:u w:val="single"/>
        </w:rPr>
        <w:t xml:space="preserve">consult </w:t>
      </w:r>
      <w:hyperlink r:id="rId42" w:history="1">
        <w:r w:rsidRPr="00A02272">
          <w:rPr>
            <w:rStyle w:val="Hyperlink"/>
            <w:color w:val="0072CE" w:themeColor="accent1"/>
            <w:u w:val="single"/>
          </w:rPr>
          <w:t>rdv@rdv.vic.gov.au</w:t>
        </w:r>
      </w:hyperlink>
    </w:p>
    <w:p w14:paraId="7DDA5D1E" w14:textId="77777777" w:rsidR="00923324" w:rsidRPr="00446CF9" w:rsidRDefault="00923324" w:rsidP="00923324">
      <w:pPr>
        <w:pStyle w:val="DPCbody"/>
        <w:numPr>
          <w:ilvl w:val="1"/>
          <w:numId w:val="18"/>
        </w:numPr>
        <w:ind w:left="851" w:hanging="567"/>
      </w:pPr>
      <w:r w:rsidRPr="00446CF9">
        <w:t xml:space="preserve">Departments are encouraged to engage with relevant policy areas above during the early planning stage of the recruitment process so that they can add as much value as possible. An outline of the information that should be provided as part of the consultation is provided under the </w:t>
      </w:r>
      <w:hyperlink r:id="rId43" w:anchor="3-consulting-on-diversity">
        <w:r w:rsidRPr="00F2599D">
          <w:rPr>
            <w:rStyle w:val="Hyperlink"/>
            <w:color w:val="0072CE" w:themeColor="accent1"/>
            <w:u w:val="single"/>
          </w:rPr>
          <w:t>‘Consulting on diversity’</w:t>
        </w:r>
      </w:hyperlink>
      <w:r w:rsidRPr="00446CF9">
        <w:t xml:space="preserve"> section of the Diversity on Victorian Government Board Guidelines.  </w:t>
      </w:r>
    </w:p>
    <w:p w14:paraId="3D33537E" w14:textId="77777777" w:rsidR="00923324" w:rsidRPr="00446CF9" w:rsidRDefault="00923324" w:rsidP="00923324">
      <w:pPr>
        <w:pStyle w:val="DPCbody"/>
        <w:numPr>
          <w:ilvl w:val="1"/>
          <w:numId w:val="18"/>
        </w:numPr>
        <w:ind w:left="851" w:hanging="567"/>
      </w:pPr>
      <w:r w:rsidRPr="00446CF9">
        <w:t xml:space="preserve">While the inclusion of young people on boards increases diversity, generally people under the age of 18 should not be appointed to boards. For entities established under the </w:t>
      </w:r>
      <w:r w:rsidRPr="00446CF9">
        <w:rPr>
          <w:i/>
          <w:iCs/>
        </w:rPr>
        <w:t>Corporations Act 2001</w:t>
      </w:r>
      <w:r w:rsidRPr="00446CF9">
        <w:t xml:space="preserve"> (</w:t>
      </w:r>
      <w:proofErr w:type="spellStart"/>
      <w:r w:rsidRPr="00446CF9">
        <w:t>Cth</w:t>
      </w:r>
      <w:proofErr w:type="spellEnd"/>
      <w:r w:rsidRPr="00446CF9">
        <w:t>), board directors must be at least 18 years of age.</w:t>
      </w:r>
    </w:p>
    <w:p w14:paraId="7516CB88" w14:textId="77777777" w:rsidR="00923324" w:rsidRPr="00C65DF8" w:rsidRDefault="00923324" w:rsidP="00923324">
      <w:pPr>
        <w:pStyle w:val="DPCbody"/>
        <w:rPr>
          <w:rFonts w:asciiTheme="majorHAnsi" w:eastAsia="MS Gothic" w:hAnsiTheme="majorHAnsi" w:cs="Times New Roman"/>
          <w:b/>
          <w:color w:val="201547" w:themeColor="text2"/>
          <w:sz w:val="32"/>
          <w:szCs w:val="32"/>
        </w:rPr>
      </w:pPr>
      <w:r>
        <w:rPr>
          <w:rFonts w:asciiTheme="majorHAnsi" w:eastAsia="MS Gothic" w:hAnsiTheme="majorHAnsi" w:cs="Times New Roman"/>
          <w:b/>
          <w:color w:val="201547" w:themeColor="text2"/>
          <w:sz w:val="32"/>
          <w:szCs w:val="32"/>
        </w:rPr>
        <w:t xml:space="preserve">The </w:t>
      </w:r>
      <w:r w:rsidRPr="00C65DF8">
        <w:rPr>
          <w:rFonts w:asciiTheme="majorHAnsi" w:eastAsia="MS Gothic" w:hAnsiTheme="majorHAnsi" w:cs="Times New Roman"/>
          <w:b/>
          <w:color w:val="201547" w:themeColor="text2"/>
          <w:sz w:val="32"/>
          <w:szCs w:val="32"/>
        </w:rPr>
        <w:t>Women on Boards</w:t>
      </w:r>
      <w:r>
        <w:rPr>
          <w:rFonts w:asciiTheme="majorHAnsi" w:eastAsia="MS Gothic" w:hAnsiTheme="majorHAnsi" w:cs="Times New Roman"/>
          <w:b/>
          <w:color w:val="201547" w:themeColor="text2"/>
          <w:sz w:val="32"/>
          <w:szCs w:val="32"/>
        </w:rPr>
        <w:t xml:space="preserve"> commitment</w:t>
      </w:r>
    </w:p>
    <w:p w14:paraId="068B1A8B" w14:textId="77777777" w:rsidR="00923324" w:rsidRPr="00446CF9" w:rsidRDefault="00923324" w:rsidP="00923324">
      <w:pPr>
        <w:pStyle w:val="DPCbody"/>
        <w:numPr>
          <w:ilvl w:val="1"/>
          <w:numId w:val="18"/>
        </w:numPr>
        <w:ind w:left="851" w:hanging="567"/>
      </w:pPr>
      <w:r w:rsidRPr="00E24ABF">
        <w:t xml:space="preserve">The </w:t>
      </w:r>
      <w:hyperlink r:id="rId44">
        <w:r w:rsidRPr="00F2599D">
          <w:rPr>
            <w:rStyle w:val="Hyperlink"/>
            <w:color w:val="0072CE" w:themeColor="accent1"/>
            <w:u w:val="single"/>
          </w:rPr>
          <w:t>Victorian Government's Women on Boards commitment</w:t>
        </w:r>
      </w:hyperlink>
      <w:r w:rsidRPr="00446CF9">
        <w:t xml:space="preserve"> commenced in March 2015. In 2021, the commitment was refreshed and now requires that:</w:t>
      </w:r>
    </w:p>
    <w:p w14:paraId="2185FCF9" w14:textId="77777777" w:rsidR="00923324" w:rsidRPr="00446CF9" w:rsidRDefault="00923324" w:rsidP="00923324">
      <w:pPr>
        <w:pStyle w:val="DPCbullet1"/>
        <w:numPr>
          <w:ilvl w:val="0"/>
          <w:numId w:val="21"/>
        </w:numPr>
        <w:spacing w:after="160"/>
        <w:ind w:left="1134"/>
      </w:pPr>
      <w:r w:rsidRPr="00446CF9">
        <w:t>for boards and portfolios that have less than 50 per cent women, no less than 50 per cent of all future appointments must be women</w:t>
      </w:r>
    </w:p>
    <w:p w14:paraId="2C4691F5" w14:textId="77777777" w:rsidR="00923324" w:rsidRPr="00446CF9" w:rsidRDefault="00923324" w:rsidP="00923324">
      <w:pPr>
        <w:pStyle w:val="DPCbullet1"/>
        <w:numPr>
          <w:ilvl w:val="0"/>
          <w:numId w:val="21"/>
        </w:numPr>
        <w:spacing w:after="160"/>
        <w:ind w:left="1134"/>
      </w:pPr>
      <w:r w:rsidRPr="00446CF9">
        <w:t>for boards and portfolios that have at least 50 per cent women, appointments must continue to result in at least 50 per cent women on boards.</w:t>
      </w:r>
    </w:p>
    <w:p w14:paraId="2A5A3202" w14:textId="77777777" w:rsidR="00923324" w:rsidRDefault="00923324" w:rsidP="00923324">
      <w:pPr>
        <w:pStyle w:val="DPCbody"/>
        <w:numPr>
          <w:ilvl w:val="1"/>
          <w:numId w:val="18"/>
        </w:numPr>
        <w:ind w:left="851" w:hanging="567"/>
      </w:pPr>
      <w:r w:rsidRPr="00446CF9">
        <w:t>The Women on Boards commitment also applies to Chair positions, so that portfolios are required to appoint at least 50 per cent women to new Chair appointments, or maintain at least 50 per cent women as Chairs, on all boards in scope.</w:t>
      </w:r>
    </w:p>
    <w:p w14:paraId="613D2D93" w14:textId="77777777" w:rsidR="00923324" w:rsidRDefault="00923324" w:rsidP="00923324">
      <w:pPr>
        <w:rPr>
          <w:rFonts w:eastAsia="Times" w:cs="Arial"/>
          <w:color w:val="000000" w:themeColor="text1"/>
          <w:sz w:val="22"/>
          <w:szCs w:val="22"/>
        </w:rPr>
      </w:pPr>
      <w:r>
        <w:br w:type="page"/>
      </w:r>
    </w:p>
    <w:p w14:paraId="030A38BF" w14:textId="77777777" w:rsidR="00923324" w:rsidRPr="00446CF9" w:rsidRDefault="00923324" w:rsidP="00923324">
      <w:pPr>
        <w:pStyle w:val="DPCbody"/>
        <w:numPr>
          <w:ilvl w:val="1"/>
          <w:numId w:val="18"/>
        </w:numPr>
        <w:ind w:left="851" w:hanging="567"/>
      </w:pPr>
      <w:r w:rsidRPr="00446CF9">
        <w:lastRenderedPageBreak/>
        <w:t xml:space="preserve">The refreshed Women on Boards commitment applies to Victorian courts and boards, except for the following: </w:t>
      </w:r>
    </w:p>
    <w:p w14:paraId="3A2FB0C8" w14:textId="77777777" w:rsidR="00923324" w:rsidRPr="00446CF9" w:rsidRDefault="00923324" w:rsidP="00923324">
      <w:pPr>
        <w:pStyle w:val="DPCbullet1"/>
        <w:numPr>
          <w:ilvl w:val="0"/>
          <w:numId w:val="21"/>
        </w:numPr>
        <w:spacing w:after="160"/>
        <w:ind w:left="1134"/>
      </w:pPr>
      <w:r w:rsidRPr="00446CF9">
        <w:t>statutory offices or officers</w:t>
      </w:r>
    </w:p>
    <w:p w14:paraId="529DC7BE" w14:textId="77777777" w:rsidR="00923324" w:rsidRPr="00446CF9" w:rsidRDefault="00923324" w:rsidP="00923324">
      <w:pPr>
        <w:pStyle w:val="DPCbullet1"/>
        <w:numPr>
          <w:ilvl w:val="0"/>
          <w:numId w:val="21"/>
        </w:numPr>
        <w:spacing w:after="160"/>
        <w:ind w:left="1134"/>
      </w:pPr>
      <w:r w:rsidRPr="00446CF9">
        <w:t>small Crown land committees of management</w:t>
      </w:r>
    </w:p>
    <w:p w14:paraId="0A04A1C3" w14:textId="77777777" w:rsidR="00923324" w:rsidRPr="00446CF9" w:rsidRDefault="00923324" w:rsidP="00923324">
      <w:pPr>
        <w:pStyle w:val="DPCbullet1"/>
        <w:numPr>
          <w:ilvl w:val="0"/>
          <w:numId w:val="21"/>
        </w:numPr>
        <w:spacing w:after="160"/>
        <w:ind w:left="1134"/>
      </w:pPr>
      <w:r w:rsidRPr="00446CF9">
        <w:t>small cemetery trusts</w:t>
      </w:r>
    </w:p>
    <w:p w14:paraId="6EBE723B" w14:textId="77777777" w:rsidR="00923324" w:rsidRPr="00446CF9" w:rsidRDefault="00923324" w:rsidP="00923324">
      <w:pPr>
        <w:pStyle w:val="DPCbullet1"/>
        <w:numPr>
          <w:ilvl w:val="0"/>
          <w:numId w:val="21"/>
        </w:numPr>
        <w:spacing w:after="160"/>
        <w:ind w:left="1134"/>
      </w:pPr>
      <w:r w:rsidRPr="00446CF9">
        <w:t>school councils.</w:t>
      </w:r>
    </w:p>
    <w:p w14:paraId="1B312AB6" w14:textId="77777777" w:rsidR="00923324" w:rsidRPr="00446CF9" w:rsidRDefault="00923324" w:rsidP="00923324">
      <w:pPr>
        <w:pStyle w:val="DPCbody"/>
        <w:numPr>
          <w:ilvl w:val="1"/>
          <w:numId w:val="18"/>
        </w:numPr>
        <w:ind w:left="851" w:hanging="567"/>
      </w:pPr>
      <w:r w:rsidRPr="00446CF9">
        <w:t>Ex-officio appointments are to be included in the calculation of the gender balance of boards and portfolios.</w:t>
      </w:r>
    </w:p>
    <w:p w14:paraId="48404389" w14:textId="77777777" w:rsidR="00923324" w:rsidRPr="00446CF9" w:rsidRDefault="00923324" w:rsidP="00923324">
      <w:pPr>
        <w:pStyle w:val="DPCbody"/>
        <w:numPr>
          <w:ilvl w:val="1"/>
          <w:numId w:val="18"/>
        </w:numPr>
        <w:ind w:left="851" w:hanging="567"/>
      </w:pPr>
      <w:r w:rsidRPr="00446CF9">
        <w:t xml:space="preserve">The Office for Women, DFFH, must be consulted on all new appointments early in the appointment process, before recruitment via </w:t>
      </w:r>
      <w:hyperlink r:id="rId45">
        <w:r w:rsidRPr="002E624A">
          <w:rPr>
            <w:rStyle w:val="Hyperlink"/>
            <w:rFonts w:eastAsia="Times New Roman"/>
            <w:color w:val="0072CE" w:themeColor="accent1"/>
            <w:u w:val="single"/>
          </w:rPr>
          <w:t>diversityonboards@dffh.vic.gov.au</w:t>
        </w:r>
      </w:hyperlink>
      <w:r w:rsidRPr="00446CF9">
        <w:rPr>
          <w:rFonts w:eastAsia="Times New Roman"/>
        </w:rPr>
        <w:t xml:space="preserve">. It is recommended that this consultation occur at the same time as consultation in relation to other diverse groups is undertaken (see </w:t>
      </w:r>
      <w:r>
        <w:rPr>
          <w:rFonts w:eastAsia="Times New Roman"/>
        </w:rPr>
        <w:t xml:space="preserve">section </w:t>
      </w:r>
      <w:r w:rsidRPr="00446CF9">
        <w:rPr>
          <w:rFonts w:eastAsia="Times New Roman"/>
        </w:rPr>
        <w:t>3.7).</w:t>
      </w:r>
    </w:p>
    <w:p w14:paraId="646BBA2E" w14:textId="77777777" w:rsidR="00923324" w:rsidRPr="00446CF9" w:rsidRDefault="00923324" w:rsidP="00923324">
      <w:pPr>
        <w:pStyle w:val="DPCbody"/>
        <w:numPr>
          <w:ilvl w:val="1"/>
          <w:numId w:val="18"/>
        </w:numPr>
        <w:ind w:left="851" w:hanging="567"/>
      </w:pPr>
      <w:r w:rsidRPr="00446CF9">
        <w:t>All appointment submissions must provide details on the outcomes of consultation with the Office for Women, including how the appointment will affect the gender composition of the board and the portfolio</w:t>
      </w:r>
      <w:r>
        <w:t>.</w:t>
      </w:r>
    </w:p>
    <w:p w14:paraId="13D267A2" w14:textId="77777777" w:rsidR="00923324" w:rsidRPr="000E1905" w:rsidRDefault="00923324" w:rsidP="00923324">
      <w:pPr>
        <w:pStyle w:val="Heading3"/>
        <w:spacing w:before="0" w:after="160" w:line="300" w:lineRule="atLeast"/>
        <w:rPr>
          <w:b w:val="0"/>
          <w:bCs/>
          <w:sz w:val="28"/>
          <w:szCs w:val="28"/>
        </w:rPr>
      </w:pPr>
      <w:bookmarkStart w:id="38" w:name="_Toc147909824"/>
      <w:bookmarkStart w:id="39" w:name="_Toc176339434"/>
      <w:bookmarkEnd w:id="37"/>
      <w:r w:rsidRPr="000E1905">
        <w:t>Vacancies should be p</w:t>
      </w:r>
      <w:r w:rsidRPr="00A96207">
        <w:t>ublicly advertised to attract a strong and diverse range of candidates</w:t>
      </w:r>
      <w:bookmarkEnd w:id="38"/>
      <w:bookmarkEnd w:id="39"/>
    </w:p>
    <w:p w14:paraId="09DE5B11" w14:textId="77777777" w:rsidR="00923324" w:rsidRDefault="00923324" w:rsidP="00923324">
      <w:pPr>
        <w:pStyle w:val="DPCbody"/>
        <w:numPr>
          <w:ilvl w:val="1"/>
          <w:numId w:val="18"/>
        </w:numPr>
        <w:ind w:left="851" w:hanging="567"/>
      </w:pPr>
      <w:r>
        <w:t xml:space="preserve">Selection processes should be open, </w:t>
      </w:r>
      <w:r w:rsidRPr="000E1905">
        <w:t>merit-based, fair, and endeavour to attract a diversity of applicants (further details below). At a minimum, each application should be scrutinised by a selection panel, and referees should be contacted for recommended candidates</w:t>
      </w:r>
      <w:r>
        <w:t>.</w:t>
      </w:r>
    </w:p>
    <w:p w14:paraId="32584AE8" w14:textId="77777777" w:rsidR="00923324" w:rsidRDefault="00923324" w:rsidP="00923324">
      <w:pPr>
        <w:pStyle w:val="DPCbody"/>
        <w:numPr>
          <w:ilvl w:val="1"/>
          <w:numId w:val="18"/>
        </w:numPr>
        <w:ind w:left="851" w:hanging="567"/>
      </w:pPr>
      <w:r>
        <w:t xml:space="preserve">In some circumstances a mix of targeted and open approaches </w:t>
      </w:r>
      <w:r w:rsidRPr="000E1905">
        <w:t>to attract or identify suitable candidates may be necessary. More targeted approaches include network referrals, use of established contacts with business and community groups, executive searches and existing talent pools.</w:t>
      </w:r>
    </w:p>
    <w:p w14:paraId="003E74CF" w14:textId="77777777" w:rsidR="00923324" w:rsidRDefault="00923324" w:rsidP="00923324">
      <w:pPr>
        <w:pStyle w:val="DPCbody"/>
        <w:numPr>
          <w:ilvl w:val="1"/>
          <w:numId w:val="18"/>
        </w:numPr>
        <w:ind w:left="851" w:hanging="567"/>
      </w:pPr>
      <w:r>
        <w:t xml:space="preserve">In some cases, </w:t>
      </w:r>
      <w:r w:rsidRPr="000E1905">
        <w:t>an entity’s terms of reference or constituting legislation will require appointees to be nominated from a particular group or organisation. These requirements must be followed</w:t>
      </w:r>
      <w:r>
        <w:t>.</w:t>
      </w:r>
    </w:p>
    <w:p w14:paraId="7713EA75" w14:textId="77777777" w:rsidR="00923324" w:rsidRDefault="00923324" w:rsidP="00923324">
      <w:pPr>
        <w:pStyle w:val="DPCbody"/>
        <w:numPr>
          <w:ilvl w:val="1"/>
          <w:numId w:val="18"/>
        </w:numPr>
        <w:spacing w:after="0"/>
        <w:ind w:left="851" w:hanging="567"/>
      </w:pPr>
      <w:r>
        <w:t xml:space="preserve">In rare circumstances </w:t>
      </w:r>
      <w:r w:rsidRPr="0080546B">
        <w:t>open and competitive recruitment may not be possible or appropriate, for example where there is a very small pool of candidates that meet the specific statutory requirements. If an open and competitive process has not been undertaken, the reasons for this must be explained by the responsible minister in the relevant Cabinet submission or in writing to the Premier, before the appointment is finalised.</w:t>
      </w:r>
    </w:p>
    <w:p w14:paraId="521692B9" w14:textId="77777777" w:rsidR="00923324" w:rsidRDefault="00923324" w:rsidP="00923324">
      <w:pPr>
        <w:rPr>
          <w:rFonts w:eastAsia="Times" w:cs="Arial"/>
          <w:color w:val="000000" w:themeColor="text1"/>
          <w:sz w:val="22"/>
          <w:szCs w:val="22"/>
        </w:rPr>
      </w:pPr>
      <w:r>
        <w:br w:type="page"/>
      </w:r>
    </w:p>
    <w:p w14:paraId="4707B3F9" w14:textId="38C1AF36" w:rsidR="00923324" w:rsidRDefault="00923324" w:rsidP="00923324">
      <w:pPr>
        <w:pStyle w:val="Heading4"/>
      </w:pPr>
      <w:bookmarkStart w:id="40" w:name="_Advertising"/>
      <w:bookmarkEnd w:id="40"/>
      <w:r>
        <w:lastRenderedPageBreak/>
        <w:t>Advertising</w:t>
      </w:r>
    </w:p>
    <w:p w14:paraId="0D903F76" w14:textId="77777777" w:rsidR="00923324" w:rsidRPr="00AB3B81" w:rsidRDefault="00923324" w:rsidP="00923324">
      <w:pPr>
        <w:pStyle w:val="DPCbody"/>
        <w:numPr>
          <w:ilvl w:val="1"/>
          <w:numId w:val="18"/>
        </w:numPr>
        <w:spacing w:after="0"/>
        <w:ind w:left="851" w:hanging="567"/>
      </w:pPr>
      <w:r w:rsidRPr="00AB3B81">
        <w:t xml:space="preserve">It is </w:t>
      </w:r>
      <w:r>
        <w:t>required</w:t>
      </w:r>
      <w:r w:rsidRPr="00AB3B81">
        <w:t xml:space="preserve"> that appointment vacancies are advertised on </w:t>
      </w:r>
      <w:r>
        <w:t>Join a Public Board</w:t>
      </w:r>
      <w:r w:rsidRPr="00AB3B81">
        <w:t xml:space="preserve"> the online platform for public sector appointments maintained by the </w:t>
      </w:r>
      <w:hyperlink r:id="rId46" w:history="1">
        <w:r w:rsidRPr="00F2599D">
          <w:rPr>
            <w:rStyle w:val="Hyperlink"/>
            <w:color w:val="0072CE" w:themeColor="accent1"/>
            <w:u w:val="single"/>
          </w:rPr>
          <w:t>Victorian Public Sector Commission</w:t>
        </w:r>
      </w:hyperlink>
      <w:r w:rsidRPr="00AB3B81">
        <w:t xml:space="preserve">. The site: </w:t>
      </w:r>
    </w:p>
    <w:p w14:paraId="71DF49D6" w14:textId="77777777" w:rsidR="00923324" w:rsidRDefault="00923324" w:rsidP="00923324">
      <w:pPr>
        <w:pStyle w:val="DPCbullet1"/>
        <w:numPr>
          <w:ilvl w:val="0"/>
          <w:numId w:val="21"/>
        </w:numPr>
        <w:spacing w:after="160"/>
        <w:ind w:left="1134"/>
      </w:pPr>
      <w:r w:rsidRPr="00AB3B81">
        <w:t>allows potential candidates to apply</w:t>
      </w:r>
      <w:r w:rsidRPr="0080546B">
        <w:t xml:space="preserve"> for appointments and register their interest in future positions</w:t>
      </w:r>
    </w:p>
    <w:p w14:paraId="1E208AE2" w14:textId="77777777" w:rsidR="00923324" w:rsidRDefault="00923324" w:rsidP="00923324">
      <w:pPr>
        <w:pStyle w:val="DPCbullet1"/>
        <w:numPr>
          <w:ilvl w:val="0"/>
          <w:numId w:val="21"/>
        </w:numPr>
        <w:spacing w:after="160"/>
        <w:ind w:left="1134"/>
      </w:pPr>
      <w:r w:rsidRPr="0080546B">
        <w:t>provides an end-to-end recruitment system for departments, allowing departments to advertise appointment positions, assess applications and contact applicants</w:t>
      </w:r>
    </w:p>
    <w:p w14:paraId="617CC88E" w14:textId="77777777" w:rsidR="00923324" w:rsidRDefault="00923324" w:rsidP="00923324">
      <w:pPr>
        <w:pStyle w:val="DPCbullet1"/>
        <w:numPr>
          <w:ilvl w:val="0"/>
          <w:numId w:val="21"/>
        </w:numPr>
        <w:spacing w:after="160"/>
        <w:ind w:left="1134"/>
      </w:pPr>
      <w:r>
        <w:t xml:space="preserve">is linked with the Government Appointments and Public Entity Database, enabling departmental compliance with the </w:t>
      </w:r>
      <w:hyperlink r:id="rId47" w:history="1">
        <w:r w:rsidRPr="00F2599D">
          <w:rPr>
            <w:rStyle w:val="Hyperlink"/>
            <w:i/>
            <w:iCs/>
            <w:color w:val="0072CE" w:themeColor="accent1"/>
            <w:u w:val="single"/>
          </w:rPr>
          <w:t>Administrative Guideline no. 2018/01 Ensuring Good Governance and Transparency Through Integrity of Data on Victorian Government Appointments and Public Entities</w:t>
        </w:r>
      </w:hyperlink>
      <w:r>
        <w:t xml:space="preserve"> (see section 10.6).</w:t>
      </w:r>
    </w:p>
    <w:p w14:paraId="0B26E23B" w14:textId="77777777" w:rsidR="00923324" w:rsidRPr="00446CF9" w:rsidRDefault="00923324" w:rsidP="00923324">
      <w:pPr>
        <w:pStyle w:val="DPCbody"/>
        <w:numPr>
          <w:ilvl w:val="1"/>
          <w:numId w:val="18"/>
        </w:numPr>
        <w:ind w:left="851" w:hanging="567"/>
      </w:pPr>
      <w:r w:rsidRPr="00446CF9">
        <w:t xml:space="preserve">The </w:t>
      </w:r>
      <w:hyperlink r:id="rId48" w:history="1">
        <w:r w:rsidRPr="00F2599D">
          <w:rPr>
            <w:rStyle w:val="Hyperlink"/>
            <w:color w:val="0072CE" w:themeColor="accent1"/>
            <w:u w:val="single"/>
          </w:rPr>
          <w:t>Diversity on Victorian Governm</w:t>
        </w:r>
        <w:bookmarkStart w:id="41" w:name="_Hlt146544109"/>
        <w:bookmarkStart w:id="42" w:name="_Hlt146544110"/>
        <w:r w:rsidRPr="00F2599D">
          <w:rPr>
            <w:rStyle w:val="Hyperlink"/>
            <w:color w:val="0072CE" w:themeColor="accent1"/>
            <w:u w:val="single"/>
          </w:rPr>
          <w:t>e</w:t>
        </w:r>
        <w:bookmarkEnd w:id="41"/>
        <w:bookmarkEnd w:id="42"/>
        <w:r w:rsidRPr="00F2599D">
          <w:rPr>
            <w:rStyle w:val="Hyperlink"/>
            <w:color w:val="0072CE" w:themeColor="accent1"/>
            <w:u w:val="single"/>
          </w:rPr>
          <w:t>nt Board Guidelines</w:t>
        </w:r>
      </w:hyperlink>
      <w:r w:rsidRPr="00446CF9">
        <w:t xml:space="preserve"> provide tailored advice on advertising to attract diverse candidates. </w:t>
      </w:r>
    </w:p>
    <w:p w14:paraId="6DC1A176" w14:textId="77777777" w:rsidR="00923324" w:rsidRDefault="00923324" w:rsidP="00923324">
      <w:pPr>
        <w:pStyle w:val="DPCbody"/>
        <w:numPr>
          <w:ilvl w:val="1"/>
          <w:numId w:val="18"/>
        </w:numPr>
        <w:ind w:left="851" w:hanging="567"/>
      </w:pPr>
      <w:r>
        <w:t xml:space="preserve">Other </w:t>
      </w:r>
      <w:r w:rsidRPr="0080546B">
        <w:t xml:space="preserve">recruitment advertising by departments and non-departmental entities must be contracted through the Master Agency Media Service (MAMS). The MAMS contracts are a whole of Victorian government purchasing arrangement for media agency services. For more information see the </w:t>
      </w:r>
      <w:hyperlink r:id="rId49" w:history="1">
        <w:r w:rsidRPr="00F2599D">
          <w:rPr>
            <w:rStyle w:val="Hyperlink"/>
            <w:color w:val="0072CE" w:themeColor="accent1"/>
            <w:u w:val="single"/>
          </w:rPr>
          <w:t>Victorian Government communication requirements.</w:t>
        </w:r>
      </w:hyperlink>
    </w:p>
    <w:p w14:paraId="385C1644" w14:textId="77777777" w:rsidR="00923324" w:rsidRPr="00AA5657" w:rsidRDefault="00923324" w:rsidP="00923324">
      <w:pPr>
        <w:pStyle w:val="DPCbody"/>
        <w:numPr>
          <w:ilvl w:val="1"/>
          <w:numId w:val="18"/>
        </w:numPr>
        <w:ind w:left="851" w:hanging="567"/>
      </w:pPr>
      <w:r w:rsidRPr="008C2662">
        <w:t>Check relevant establishing documents to ensure mandatory requirements for the non-departmental entity are met</w:t>
      </w:r>
      <w:r>
        <w:t>.</w:t>
      </w:r>
    </w:p>
    <w:p w14:paraId="3FCF05D8" w14:textId="77777777" w:rsidR="00923324" w:rsidRDefault="00923324" w:rsidP="00923324">
      <w:pPr>
        <w:pStyle w:val="DPCbody"/>
        <w:numPr>
          <w:ilvl w:val="1"/>
          <w:numId w:val="18"/>
        </w:numPr>
        <w:ind w:left="851" w:hanging="567"/>
      </w:pPr>
      <w:r>
        <w:t xml:space="preserve">In some cases, </w:t>
      </w:r>
      <w:r w:rsidRPr="008C2662">
        <w:t xml:space="preserve">specific skills, expertise or qualification criteria will be mandated by the entity’s terms of reference or constituting legislation. Departments should </w:t>
      </w:r>
      <w:r>
        <w:t xml:space="preserve">ensure compliance with </w:t>
      </w:r>
      <w:r w:rsidRPr="008C2662">
        <w:t>these requirements (e.g. ensuring that the mandatory skill set of an outgoing board member is met by the proposed new appointee or another existing member).</w:t>
      </w:r>
    </w:p>
    <w:p w14:paraId="042012D4" w14:textId="77777777" w:rsidR="00923324" w:rsidRPr="008C2662" w:rsidRDefault="00923324" w:rsidP="00923324">
      <w:pPr>
        <w:pStyle w:val="Heading3"/>
        <w:spacing w:before="0" w:after="160" w:line="300" w:lineRule="atLeast"/>
        <w:rPr>
          <w:b w:val="0"/>
          <w:bCs/>
          <w:sz w:val="28"/>
          <w:szCs w:val="28"/>
        </w:rPr>
      </w:pPr>
      <w:bookmarkStart w:id="43" w:name="_Toc147909825"/>
      <w:bookmarkStart w:id="44" w:name="_Toc176339435"/>
      <w:r w:rsidRPr="008C2662">
        <w:t>For reappointments, a performance review is a minimum requirement</w:t>
      </w:r>
      <w:bookmarkEnd w:id="43"/>
      <w:bookmarkEnd w:id="44"/>
    </w:p>
    <w:p w14:paraId="5D7EFCF2" w14:textId="77777777" w:rsidR="00923324" w:rsidRDefault="00923324" w:rsidP="00923324">
      <w:pPr>
        <w:pStyle w:val="DPCbody"/>
        <w:numPr>
          <w:ilvl w:val="1"/>
          <w:numId w:val="18"/>
        </w:numPr>
        <w:ind w:left="851" w:hanging="567"/>
      </w:pPr>
      <w:r>
        <w:t xml:space="preserve">In general, candidates </w:t>
      </w:r>
      <w:r w:rsidRPr="008C2662">
        <w:t>being considered for reappointment should undergo the same open and competitive selection process as candidates who have not served on the board or in the single officer role. Where a reappointment is being considered, regard should be given to the skills mix and requirements of the appointment, and the desirability for regular appointee turnover to bring new perspectives and experience to the entity</w:t>
      </w:r>
      <w:r>
        <w:t>.</w:t>
      </w:r>
    </w:p>
    <w:p w14:paraId="6BBAB703" w14:textId="77777777" w:rsidR="00923324" w:rsidRDefault="00923324" w:rsidP="00923324">
      <w:pPr>
        <w:pStyle w:val="DPCbody"/>
        <w:numPr>
          <w:ilvl w:val="1"/>
          <w:numId w:val="18"/>
        </w:numPr>
        <w:ind w:left="851" w:hanging="567"/>
      </w:pPr>
      <w:r>
        <w:t xml:space="preserve">If a decision </w:t>
      </w:r>
      <w:r w:rsidRPr="008C2662">
        <w:t xml:space="preserve">has been made to reappoint a member without an open and competitive selection process, a performance review of the member </w:t>
      </w:r>
      <w:r w:rsidRPr="008C2662">
        <w:rPr>
          <w:b/>
        </w:rPr>
        <w:t>must</w:t>
      </w:r>
      <w:r w:rsidRPr="008C2662">
        <w:t xml:space="preserve"> be undertaken before recommending their reappointment. The relevant Cabinet submission or ministerial brief should include details of the performance review, including feedback from key stakeholders on the member’s performance (where applicable). A recommendation for reappointment does not</w:t>
      </w:r>
      <w:r>
        <w:t>, of</w:t>
      </w:r>
      <w:r w:rsidRPr="008C2662">
        <w:t xml:space="preserve"> itself</w:t>
      </w:r>
      <w:r>
        <w:t>,</w:t>
      </w:r>
      <w:r w:rsidRPr="008C2662">
        <w:t xml:space="preserve"> constitute a performance review</w:t>
      </w:r>
      <w:r>
        <w:t>.</w:t>
      </w:r>
    </w:p>
    <w:p w14:paraId="750BEBE4" w14:textId="77777777" w:rsidR="00923324" w:rsidRDefault="00923324" w:rsidP="00923324">
      <w:pPr>
        <w:pStyle w:val="DPCbody"/>
        <w:numPr>
          <w:ilvl w:val="1"/>
          <w:numId w:val="18"/>
        </w:numPr>
        <w:ind w:left="851" w:hanging="567"/>
      </w:pPr>
      <w:r>
        <w:lastRenderedPageBreak/>
        <w:t xml:space="preserve">Ministers and </w:t>
      </w:r>
      <w:r w:rsidRPr="008C2662">
        <w:t>departments may choose the approach to assessing performance of appointees that is most suitable in the circumstances.</w:t>
      </w:r>
      <w:r w:rsidRPr="008C2662">
        <w:rPr>
          <w:vertAlign w:val="superscript"/>
        </w:rPr>
        <w:footnoteReference w:id="2"/>
      </w:r>
      <w:r w:rsidRPr="008C2662">
        <w:t xml:space="preserve"> However, in conducting a performance review, ministers and departments may wish to consider the following</w:t>
      </w:r>
      <w:r>
        <w:t>:</w:t>
      </w:r>
    </w:p>
    <w:p w14:paraId="65658921" w14:textId="77777777" w:rsidR="00923324" w:rsidRPr="00446CF9" w:rsidRDefault="00923324" w:rsidP="00923324">
      <w:pPr>
        <w:pStyle w:val="DPCbody"/>
        <w:ind w:left="851"/>
        <w:rPr>
          <w:b/>
          <w:bCs/>
        </w:rPr>
      </w:pPr>
      <w:r w:rsidRPr="00446CF9">
        <w:rPr>
          <w:b/>
          <w:bCs/>
        </w:rPr>
        <w:t>For board members:</w:t>
      </w:r>
    </w:p>
    <w:p w14:paraId="034AA835" w14:textId="77777777" w:rsidR="00923324" w:rsidRPr="00446CF9" w:rsidRDefault="00923324" w:rsidP="00923324">
      <w:pPr>
        <w:pStyle w:val="DPCbullet1"/>
        <w:numPr>
          <w:ilvl w:val="0"/>
          <w:numId w:val="21"/>
        </w:numPr>
        <w:spacing w:after="160"/>
        <w:ind w:left="1134"/>
      </w:pPr>
      <w:r w:rsidRPr="00446CF9">
        <w:t xml:space="preserve">how the member has contributed to the strategic direction and operation of the entity, </w:t>
      </w:r>
    </w:p>
    <w:p w14:paraId="6223BE56" w14:textId="77777777" w:rsidR="00923324" w:rsidRPr="00446CF9" w:rsidRDefault="00923324" w:rsidP="00923324">
      <w:pPr>
        <w:pStyle w:val="DPCbullet1"/>
        <w:numPr>
          <w:ilvl w:val="0"/>
          <w:numId w:val="21"/>
        </w:numPr>
        <w:spacing w:after="160"/>
        <w:ind w:left="1134"/>
      </w:pPr>
      <w:r w:rsidRPr="00446CF9">
        <w:t xml:space="preserve">how the member has acquitted responsibilities against the Code of Conduct for Directors of Public Entities </w:t>
      </w:r>
    </w:p>
    <w:p w14:paraId="1049D538" w14:textId="77777777" w:rsidR="00923324" w:rsidRPr="00446CF9" w:rsidRDefault="00923324" w:rsidP="00923324">
      <w:pPr>
        <w:pStyle w:val="DPCbullet1"/>
        <w:numPr>
          <w:ilvl w:val="0"/>
          <w:numId w:val="21"/>
        </w:numPr>
        <w:spacing w:after="160"/>
        <w:ind w:left="1134"/>
      </w:pPr>
      <w:r w:rsidRPr="00446CF9">
        <w:t>feedback from the Chair on the member’s participation and performance.</w:t>
      </w:r>
    </w:p>
    <w:p w14:paraId="7B858601" w14:textId="77777777" w:rsidR="00923324" w:rsidRPr="00446CF9" w:rsidRDefault="00923324" w:rsidP="00923324">
      <w:pPr>
        <w:pStyle w:val="DPCbody"/>
        <w:ind w:left="851"/>
        <w:rPr>
          <w:b/>
          <w:bCs/>
        </w:rPr>
      </w:pPr>
      <w:r w:rsidRPr="00446CF9">
        <w:rPr>
          <w:b/>
          <w:bCs/>
        </w:rPr>
        <w:t>For board Chairs:</w:t>
      </w:r>
    </w:p>
    <w:p w14:paraId="4C72CB33" w14:textId="77777777" w:rsidR="00923324" w:rsidRPr="00446CF9" w:rsidRDefault="00923324" w:rsidP="00923324">
      <w:pPr>
        <w:pStyle w:val="DPCbullet1"/>
        <w:numPr>
          <w:ilvl w:val="0"/>
          <w:numId w:val="21"/>
        </w:numPr>
        <w:spacing w:after="160"/>
        <w:ind w:left="1134"/>
      </w:pPr>
      <w:r w:rsidRPr="00446CF9">
        <w:t>how the Chair has provided leadership to the board and contributed to the strategic direction and operation of the entity</w:t>
      </w:r>
    </w:p>
    <w:p w14:paraId="6AEA40A9" w14:textId="77777777" w:rsidR="00923324" w:rsidRPr="00446CF9" w:rsidRDefault="00923324" w:rsidP="00923324">
      <w:pPr>
        <w:pStyle w:val="DPCbullet1"/>
        <w:numPr>
          <w:ilvl w:val="0"/>
          <w:numId w:val="21"/>
        </w:numPr>
        <w:spacing w:after="160"/>
        <w:ind w:left="1134"/>
      </w:pPr>
      <w:r w:rsidRPr="00446CF9">
        <w:t>whether they have fostered a respectful culture and brought together and valued multiple perspectives</w:t>
      </w:r>
    </w:p>
    <w:p w14:paraId="37BF8B21" w14:textId="77777777" w:rsidR="00923324" w:rsidRPr="00446CF9" w:rsidRDefault="00923324" w:rsidP="00923324">
      <w:pPr>
        <w:pStyle w:val="DPCbullet1"/>
        <w:numPr>
          <w:ilvl w:val="0"/>
          <w:numId w:val="21"/>
        </w:numPr>
        <w:spacing w:after="160"/>
        <w:ind w:left="1134"/>
      </w:pPr>
      <w:r w:rsidRPr="00446CF9">
        <w:t>whether they have effectively supported the entity’s compliance with relevant legislation and other obligations</w:t>
      </w:r>
    </w:p>
    <w:p w14:paraId="4A495504" w14:textId="77777777" w:rsidR="00923324" w:rsidRPr="00446CF9" w:rsidRDefault="00923324" w:rsidP="00923324">
      <w:pPr>
        <w:pStyle w:val="DPCbullet1"/>
        <w:numPr>
          <w:ilvl w:val="0"/>
          <w:numId w:val="21"/>
        </w:numPr>
        <w:spacing w:after="160"/>
        <w:ind w:left="1134"/>
      </w:pPr>
      <w:r w:rsidRPr="00446CF9">
        <w:t>any significant contributions made by the Chair to the entity, and</w:t>
      </w:r>
    </w:p>
    <w:p w14:paraId="7A4F6719" w14:textId="77777777" w:rsidR="00923324" w:rsidRPr="00446CF9" w:rsidRDefault="00923324" w:rsidP="00923324">
      <w:pPr>
        <w:pStyle w:val="DPCbullet1"/>
        <w:numPr>
          <w:ilvl w:val="0"/>
          <w:numId w:val="21"/>
        </w:numPr>
        <w:spacing w:after="160"/>
        <w:ind w:left="1134"/>
      </w:pPr>
      <w:r w:rsidRPr="00446CF9">
        <w:t>how the Chair has managed key relationships (e.g. with the minister and/or the portfolio department).</w:t>
      </w:r>
    </w:p>
    <w:p w14:paraId="53331275" w14:textId="77777777" w:rsidR="00923324" w:rsidRPr="00013E6C" w:rsidRDefault="00923324" w:rsidP="00923324">
      <w:pPr>
        <w:pStyle w:val="DPCbody"/>
        <w:ind w:left="851"/>
        <w:rPr>
          <w:b/>
          <w:bCs/>
        </w:rPr>
      </w:pPr>
      <w:r w:rsidRPr="00013E6C">
        <w:rPr>
          <w:b/>
          <w:bCs/>
        </w:rPr>
        <w:t>For single officer roles:</w:t>
      </w:r>
    </w:p>
    <w:p w14:paraId="6957ED64" w14:textId="77777777" w:rsidR="00923324" w:rsidRPr="00AB3B81" w:rsidRDefault="00923324" w:rsidP="00923324">
      <w:pPr>
        <w:pStyle w:val="DPCbullet1"/>
        <w:numPr>
          <w:ilvl w:val="0"/>
          <w:numId w:val="21"/>
        </w:numPr>
        <w:spacing w:after="160"/>
        <w:ind w:left="1134"/>
      </w:pPr>
      <w:r w:rsidRPr="00AB3B81">
        <w:t>how the member has discharged the requirements of the role, and</w:t>
      </w:r>
    </w:p>
    <w:p w14:paraId="6D3AFBD4" w14:textId="77777777" w:rsidR="00923324" w:rsidRPr="00AB3B81" w:rsidRDefault="00923324" w:rsidP="00923324">
      <w:pPr>
        <w:pStyle w:val="DPCbullet1"/>
        <w:numPr>
          <w:ilvl w:val="0"/>
          <w:numId w:val="21"/>
        </w:numPr>
        <w:spacing w:after="160"/>
        <w:ind w:left="1134"/>
      </w:pPr>
      <w:r w:rsidRPr="00AB3B81">
        <w:t>feedback from stakeholders in the appointee’s performance (e.g. relevant departmental secretary).</w:t>
      </w:r>
    </w:p>
    <w:p w14:paraId="0ADBE071" w14:textId="77777777" w:rsidR="00923324" w:rsidRPr="00AB3B81" w:rsidRDefault="00923324" w:rsidP="00923324">
      <w:pPr>
        <w:pStyle w:val="DPCbody"/>
        <w:numPr>
          <w:ilvl w:val="1"/>
          <w:numId w:val="18"/>
        </w:numPr>
        <w:ind w:left="851" w:hanging="567"/>
      </w:pPr>
      <w:r w:rsidRPr="00AB3B81">
        <w:t xml:space="preserve">Performance reviews should be documented in writing. More detailed guidance on board performance assessment is provided in </w:t>
      </w:r>
      <w:r w:rsidRPr="001C4DF8">
        <w:rPr>
          <w:color w:val="auto"/>
        </w:rPr>
        <w:t>Join a Public Board’s Guide,</w:t>
      </w:r>
      <w:r w:rsidRPr="00D17F6E">
        <w:rPr>
          <w:color w:val="0072CE" w:themeColor="accent1"/>
          <w:u w:val="single"/>
        </w:rPr>
        <w:t xml:space="preserve"> </w:t>
      </w:r>
      <w:hyperlink r:id="rId50" w:history="1">
        <w:r w:rsidRPr="00D17F6E">
          <w:rPr>
            <w:rStyle w:val="Hyperlink"/>
            <w:color w:val="0072CE" w:themeColor="accent1"/>
            <w:u w:val="single"/>
          </w:rPr>
          <w:t>Assessing</w:t>
        </w:r>
        <w:bookmarkStart w:id="45" w:name="_Hlt146544095"/>
        <w:r w:rsidRPr="00D17F6E">
          <w:rPr>
            <w:rStyle w:val="Hyperlink"/>
            <w:color w:val="0072CE" w:themeColor="accent1"/>
            <w:u w:val="single"/>
          </w:rPr>
          <w:t xml:space="preserve"> </w:t>
        </w:r>
        <w:bookmarkEnd w:id="45"/>
        <w:r w:rsidRPr="00D17F6E">
          <w:rPr>
            <w:rStyle w:val="Hyperlink"/>
            <w:color w:val="0072CE" w:themeColor="accent1"/>
            <w:u w:val="single"/>
          </w:rPr>
          <w:t>Public Board Performance</w:t>
        </w:r>
      </w:hyperlink>
      <w:r w:rsidRPr="00D17F6E">
        <w:rPr>
          <w:color w:val="0072CE" w:themeColor="accent1"/>
          <w:u w:val="single"/>
        </w:rPr>
        <w:t>.</w:t>
      </w:r>
      <w:r>
        <w:t xml:space="preserve"> </w:t>
      </w:r>
      <w:r w:rsidRPr="00AB3B81">
        <w:t xml:space="preserve"> </w:t>
      </w:r>
    </w:p>
    <w:p w14:paraId="303DFC3C" w14:textId="77777777" w:rsidR="00923324" w:rsidRDefault="00923324" w:rsidP="00923324">
      <w:pPr>
        <w:pStyle w:val="Heading2"/>
      </w:pPr>
      <w:bookmarkStart w:id="46" w:name="_Toc147909826"/>
      <w:bookmarkStart w:id="47" w:name="_Toc176339436"/>
      <w:r>
        <w:t>Briefing the Minister, Treasurer and Premier</w:t>
      </w:r>
      <w:bookmarkEnd w:id="46"/>
      <w:bookmarkEnd w:id="47"/>
    </w:p>
    <w:p w14:paraId="55025194" w14:textId="77777777" w:rsidR="00923324" w:rsidRDefault="00923324" w:rsidP="00923324">
      <w:pPr>
        <w:pStyle w:val="DPCbody"/>
        <w:numPr>
          <w:ilvl w:val="1"/>
          <w:numId w:val="18"/>
        </w:numPr>
        <w:ind w:left="851" w:hanging="567"/>
      </w:pPr>
      <w:r>
        <w:t xml:space="preserve">Ministers </w:t>
      </w:r>
      <w:r w:rsidRPr="00013E6C">
        <w:t>are ultimately accountable for appointments to entities within their portfolio. Ministers should therefore approve the proposed selection process and should be kept informed of progress towards selection and appointment of candidates</w:t>
      </w:r>
      <w:r>
        <w:t>.</w:t>
      </w:r>
    </w:p>
    <w:p w14:paraId="5500750E" w14:textId="03172D94" w:rsidR="00923324" w:rsidRDefault="00923324" w:rsidP="00923324">
      <w:pPr>
        <w:pStyle w:val="DPCbody"/>
        <w:numPr>
          <w:ilvl w:val="1"/>
          <w:numId w:val="18"/>
        </w:numPr>
        <w:ind w:left="851" w:hanging="567"/>
      </w:pPr>
      <w:r>
        <w:t xml:space="preserve">Departments </w:t>
      </w:r>
      <w:r w:rsidRPr="00013E6C">
        <w:t xml:space="preserve">should notify the portfolio minister of upcoming vacancies and the proposed recruitment and selection process to fill vacancies. Ideally this should take </w:t>
      </w:r>
      <w:r w:rsidRPr="00013E6C">
        <w:lastRenderedPageBreak/>
        <w:t>place at least six months before the relevant vacancies need to be filled</w:t>
      </w:r>
      <w:r>
        <w:t xml:space="preserve"> (</w:t>
      </w:r>
      <w:hyperlink w:anchor="_Advertising" w:history="1">
        <w:r w:rsidRPr="00D17F6E">
          <w:rPr>
            <w:rStyle w:val="Hyperlink"/>
          </w:rPr>
          <w:t xml:space="preserve">see </w:t>
        </w:r>
        <w:r w:rsidRPr="001C4DF8">
          <w:rPr>
            <w:rStyle w:val="Hyperlink"/>
            <w:color w:val="0072CE" w:themeColor="accent1"/>
            <w:u w:val="single"/>
          </w:rPr>
          <w:t>section 3.2</w:t>
        </w:r>
      </w:hyperlink>
      <w:r>
        <w:t>).</w:t>
      </w:r>
    </w:p>
    <w:p w14:paraId="0D976F35" w14:textId="77777777" w:rsidR="00923324" w:rsidRDefault="00923324" w:rsidP="00923324">
      <w:pPr>
        <w:pStyle w:val="DPCbody"/>
        <w:numPr>
          <w:ilvl w:val="1"/>
          <w:numId w:val="18"/>
        </w:numPr>
        <w:ind w:left="851" w:hanging="567"/>
      </w:pPr>
      <w:r>
        <w:t xml:space="preserve">The Premier’s </w:t>
      </w:r>
      <w:r w:rsidRPr="00013E6C">
        <w:t>Private Office must be consulted for all appointments that require Cabinet approval, as well as any appointments considered important or sensitive. The Cabinet appointment registration form should indicate that this initial consultation has occurred. This does not supplant departmental briefing processes</w:t>
      </w:r>
      <w:r>
        <w:t>.</w:t>
      </w:r>
    </w:p>
    <w:p w14:paraId="059204EC" w14:textId="77777777" w:rsidR="00923324" w:rsidRDefault="00923324" w:rsidP="00923324">
      <w:pPr>
        <w:pStyle w:val="DPCbody"/>
        <w:numPr>
          <w:ilvl w:val="1"/>
          <w:numId w:val="18"/>
        </w:numPr>
        <w:ind w:left="851" w:hanging="567"/>
      </w:pPr>
      <w:r>
        <w:t xml:space="preserve">Under the </w:t>
      </w:r>
      <w:r w:rsidRPr="00013E6C">
        <w:rPr>
          <w:i/>
          <w:iCs/>
        </w:rPr>
        <w:t>State-Owned Enterprises Act 1992</w:t>
      </w:r>
      <w:r w:rsidRPr="00013E6C">
        <w:t xml:space="preserve"> (Vic) the Treasurer must be consulted for all appointments to all State Business Corporations. The Treasurer’s Office must also be consulted on any appointments to other State-Owned Enterprises. Appointments with significant financial implications require consultation with the Treasurer’s Office. It is important that the Treasurer’s Office is consulted early in the appointment process</w:t>
      </w:r>
      <w:r>
        <w:t>.</w:t>
      </w:r>
    </w:p>
    <w:p w14:paraId="08AABE97" w14:textId="1CE404E0" w:rsidR="007B6B14" w:rsidRDefault="007B6B14">
      <w:pPr>
        <w:rPr>
          <w:b/>
          <w:color w:val="595959" w:themeColor="text1" w:themeTint="A6"/>
          <w:sz w:val="28"/>
        </w:rPr>
      </w:pPr>
      <w:r>
        <w:br w:type="page"/>
      </w:r>
    </w:p>
    <w:p w14:paraId="47926183" w14:textId="460996D0" w:rsidR="007B6B14" w:rsidRPr="00714D72" w:rsidRDefault="007B6B14" w:rsidP="0017470B">
      <w:pPr>
        <w:pStyle w:val="Heading1"/>
        <w:numPr>
          <w:ilvl w:val="0"/>
          <w:numId w:val="18"/>
        </w:numPr>
        <w:ind w:left="851" w:hanging="567"/>
      </w:pPr>
      <w:bookmarkStart w:id="48" w:name="_Toc147909827"/>
      <w:bookmarkStart w:id="49" w:name="_Toc176339437"/>
      <w:r w:rsidRPr="00714D72">
        <w:lastRenderedPageBreak/>
        <w:t>There are limitations on who can be appointed to public boards</w:t>
      </w:r>
      <w:bookmarkEnd w:id="48"/>
      <w:bookmarkEnd w:id="49"/>
    </w:p>
    <w:p w14:paraId="1326461F" w14:textId="77777777" w:rsidR="00625DC4" w:rsidRDefault="00625DC4" w:rsidP="00625DC4">
      <w:pPr>
        <w:pStyle w:val="DPCbody"/>
        <w:numPr>
          <w:ilvl w:val="1"/>
          <w:numId w:val="18"/>
        </w:numPr>
        <w:ind w:left="851" w:hanging="567"/>
      </w:pPr>
      <w:r w:rsidRPr="00231F34">
        <w:t xml:space="preserve">These limitations ensure a diverse representation from the Victorian community and </w:t>
      </w:r>
      <w:r w:rsidRPr="00BA5151">
        <w:t>help</w:t>
      </w:r>
      <w:r>
        <w:t xml:space="preserve"> </w:t>
      </w:r>
      <w:r w:rsidRPr="00231F34">
        <w:t>to avoid actual</w:t>
      </w:r>
      <w:r>
        <w:t>, potential</w:t>
      </w:r>
      <w:r w:rsidRPr="00231F34">
        <w:t xml:space="preserve"> and perceived conflicts.</w:t>
      </w:r>
    </w:p>
    <w:p w14:paraId="3E5CCE61" w14:textId="77777777" w:rsidR="00625DC4" w:rsidRDefault="00625DC4" w:rsidP="00625DC4">
      <w:pPr>
        <w:pStyle w:val="DPCbody"/>
        <w:numPr>
          <w:ilvl w:val="1"/>
          <w:numId w:val="18"/>
        </w:numPr>
        <w:ind w:left="851" w:hanging="567"/>
      </w:pPr>
      <w:r>
        <w:t>Boards should be refreshed regularly to bring new experiences and perspectives.</w:t>
      </w:r>
    </w:p>
    <w:p w14:paraId="09664525" w14:textId="77777777" w:rsidR="00625DC4" w:rsidRDefault="00625DC4" w:rsidP="00625DC4">
      <w:pPr>
        <w:pStyle w:val="Heading2"/>
      </w:pPr>
      <w:bookmarkStart w:id="50" w:name="_Toc147909828"/>
      <w:bookmarkStart w:id="51" w:name="_Toc176339438"/>
      <w:r>
        <w:t>An individual should not be reappointed to a board on which they have already served 10 years</w:t>
      </w:r>
      <w:bookmarkEnd w:id="50"/>
      <w:bookmarkEnd w:id="51"/>
      <w:r>
        <w:t xml:space="preserve">  </w:t>
      </w:r>
    </w:p>
    <w:p w14:paraId="3377511E" w14:textId="77777777" w:rsidR="00625DC4" w:rsidRDefault="00625DC4" w:rsidP="00625DC4">
      <w:pPr>
        <w:pStyle w:val="DPCbody"/>
        <w:numPr>
          <w:ilvl w:val="1"/>
          <w:numId w:val="18"/>
        </w:numPr>
        <w:ind w:left="851" w:hanging="567"/>
      </w:pPr>
      <w:r>
        <w:t xml:space="preserve">Boards should be refreshed regularly to bring new experiences and perspectives. </w:t>
      </w:r>
    </w:p>
    <w:p w14:paraId="036FB9FA" w14:textId="77777777" w:rsidR="00625DC4" w:rsidRDefault="00625DC4" w:rsidP="00625DC4">
      <w:pPr>
        <w:pStyle w:val="DPCbody"/>
        <w:numPr>
          <w:ilvl w:val="1"/>
          <w:numId w:val="18"/>
        </w:numPr>
        <w:ind w:left="851" w:hanging="567"/>
      </w:pPr>
      <w:r w:rsidRPr="003A3578">
        <w:t xml:space="preserve">Ministers seeking to </w:t>
      </w:r>
      <w:r>
        <w:t>re-</w:t>
      </w:r>
      <w:r w:rsidRPr="003A3578">
        <w:t xml:space="preserve">appoint someone who </w:t>
      </w:r>
      <w:r>
        <w:t xml:space="preserve">has already served on the board for longer than 10 years must </w:t>
      </w:r>
      <w:r w:rsidRPr="003A3578">
        <w:t xml:space="preserve">explain in </w:t>
      </w:r>
      <w:r w:rsidRPr="005E1803">
        <w:t xml:space="preserve">the </w:t>
      </w:r>
      <w:r w:rsidRPr="003A3578">
        <w:t>Cabinet submission why other suitable candidates are not available</w:t>
      </w:r>
      <w:r>
        <w:t xml:space="preserve">. </w:t>
      </w:r>
      <w:bookmarkStart w:id="52" w:name="_Hlk109307570"/>
      <w:r>
        <w:t xml:space="preserve">For example, if the role has been advertised and no other candidate has been identified as being suitable to fill the role. </w:t>
      </w:r>
    </w:p>
    <w:p w14:paraId="703E69A2" w14:textId="77777777" w:rsidR="00625DC4" w:rsidRDefault="00625DC4" w:rsidP="00625DC4">
      <w:pPr>
        <w:pStyle w:val="Heading2"/>
      </w:pPr>
      <w:bookmarkStart w:id="53" w:name="_Toc147909829"/>
      <w:bookmarkStart w:id="54" w:name="_Toc176339439"/>
      <w:bookmarkEnd w:id="52"/>
      <w:r w:rsidRPr="00013E6C">
        <w:t xml:space="preserve">An individual should hold no more than three positions on </w:t>
      </w:r>
      <w:r>
        <w:t xml:space="preserve">public </w:t>
      </w:r>
      <w:r w:rsidRPr="00013E6C">
        <w:t>boards at any one time</w:t>
      </w:r>
      <w:bookmarkEnd w:id="53"/>
      <w:bookmarkEnd w:id="54"/>
    </w:p>
    <w:p w14:paraId="25676670" w14:textId="77777777" w:rsidR="00625DC4" w:rsidRDefault="00625DC4" w:rsidP="00625DC4">
      <w:pPr>
        <w:pStyle w:val="DPCbody"/>
        <w:numPr>
          <w:ilvl w:val="1"/>
          <w:numId w:val="18"/>
        </w:numPr>
        <w:ind w:left="851" w:hanging="567"/>
      </w:pPr>
      <w:r>
        <w:t xml:space="preserve">This creates </w:t>
      </w:r>
      <w:r w:rsidRPr="00013E6C">
        <w:t xml:space="preserve">opportunities for a larger number of individuals to be represented on Government boards, for boards to more accurately reflect the composition of the community and </w:t>
      </w:r>
      <w:r>
        <w:t>allows</w:t>
      </w:r>
      <w:r w:rsidRPr="00013E6C">
        <w:t xml:space="preserve"> </w:t>
      </w:r>
      <w:r>
        <w:t xml:space="preserve">appointees to have </w:t>
      </w:r>
      <w:r w:rsidRPr="00013E6C">
        <w:t>sufficient time to devote to their board duties.</w:t>
      </w:r>
    </w:p>
    <w:p w14:paraId="0AD19076" w14:textId="77777777" w:rsidR="00625DC4" w:rsidRDefault="00625DC4" w:rsidP="00625DC4">
      <w:pPr>
        <w:pStyle w:val="DPCbody"/>
        <w:numPr>
          <w:ilvl w:val="1"/>
          <w:numId w:val="18"/>
        </w:numPr>
        <w:ind w:left="851" w:hanging="567"/>
      </w:pPr>
      <w:r>
        <w:t xml:space="preserve">Ministers seeking </w:t>
      </w:r>
      <w:r w:rsidRPr="00013E6C">
        <w:t xml:space="preserve">to appoint someone who is already a member of </w:t>
      </w:r>
      <w:r>
        <w:t>three</w:t>
      </w:r>
      <w:r w:rsidRPr="00013E6C">
        <w:t xml:space="preserve"> government boards should explain why other suitable candidates are not available. When seeking to appoint someone on multiple government boards, ministers should have regard to</w:t>
      </w:r>
      <w:r>
        <w:t>:</w:t>
      </w:r>
    </w:p>
    <w:p w14:paraId="249FB411" w14:textId="77777777" w:rsidR="00625DC4" w:rsidRDefault="00625DC4" w:rsidP="00625DC4">
      <w:pPr>
        <w:pStyle w:val="DPCbullet1"/>
        <w:numPr>
          <w:ilvl w:val="0"/>
          <w:numId w:val="21"/>
        </w:numPr>
        <w:spacing w:after="160"/>
        <w:ind w:left="1134"/>
      </w:pPr>
      <w:r>
        <w:t>potential conflicts of interest</w:t>
      </w:r>
    </w:p>
    <w:p w14:paraId="1DCBC8AB" w14:textId="77777777" w:rsidR="00625DC4" w:rsidRPr="003A3578" w:rsidRDefault="00625DC4" w:rsidP="00625DC4">
      <w:pPr>
        <w:pStyle w:val="DPCbullet1"/>
        <w:numPr>
          <w:ilvl w:val="0"/>
          <w:numId w:val="21"/>
        </w:numPr>
        <w:spacing w:after="160"/>
        <w:ind w:left="1134"/>
      </w:pPr>
      <w:r>
        <w:t xml:space="preserve">potential lack </w:t>
      </w:r>
      <w:r w:rsidRPr="003A3578">
        <w:t>of variety in decision making from having the same people on multiple boards</w:t>
      </w:r>
    </w:p>
    <w:p w14:paraId="2DDE0F74" w14:textId="77777777" w:rsidR="00625DC4" w:rsidRPr="003A3578" w:rsidRDefault="00625DC4" w:rsidP="00625DC4">
      <w:pPr>
        <w:pStyle w:val="DPCbullet1"/>
        <w:numPr>
          <w:ilvl w:val="0"/>
          <w:numId w:val="21"/>
        </w:numPr>
        <w:spacing w:after="160"/>
        <w:ind w:left="1134"/>
      </w:pPr>
      <w:r w:rsidRPr="003A3578">
        <w:t>the level of responsibilities of board members, including whether the individual is a Board Chair</w:t>
      </w:r>
    </w:p>
    <w:p w14:paraId="3B03ABFC" w14:textId="77777777" w:rsidR="00625DC4" w:rsidRPr="003A3578" w:rsidRDefault="00625DC4" w:rsidP="00625DC4">
      <w:pPr>
        <w:pStyle w:val="DPCbullet1"/>
        <w:numPr>
          <w:ilvl w:val="0"/>
          <w:numId w:val="21"/>
        </w:numPr>
        <w:spacing w:after="160"/>
        <w:ind w:left="1134"/>
      </w:pPr>
      <w:r w:rsidRPr="003A3578">
        <w:t>the regularity of meetings</w:t>
      </w:r>
      <w:r>
        <w:t>.</w:t>
      </w:r>
    </w:p>
    <w:p w14:paraId="16E9AA08" w14:textId="77777777" w:rsidR="00625DC4" w:rsidRDefault="00625DC4" w:rsidP="00625DC4">
      <w:pPr>
        <w:pStyle w:val="DPCbody"/>
        <w:numPr>
          <w:ilvl w:val="1"/>
          <w:numId w:val="18"/>
        </w:numPr>
        <w:ind w:left="851" w:hanging="567"/>
      </w:pPr>
      <w:r>
        <w:t xml:space="preserve">Appointing </w:t>
      </w:r>
      <w:r w:rsidRPr="003A3578">
        <w:t xml:space="preserve">ministers should seek assurance that the individual will be able to devote adequate time to their duties in accordance with minimum attendance requirements (an expectation of attendance at </w:t>
      </w:r>
      <w:r w:rsidRPr="00231F34">
        <w:t>a minimum of</w:t>
      </w:r>
      <w:r w:rsidRPr="003A3578">
        <w:t xml:space="preserve"> 75 per cent of meetings). </w:t>
      </w:r>
    </w:p>
    <w:p w14:paraId="1D2CB353" w14:textId="77777777" w:rsidR="00625DC4" w:rsidRDefault="00625DC4" w:rsidP="00625DC4">
      <w:pPr>
        <w:rPr>
          <w:rFonts w:eastAsia="Times" w:cs="Arial"/>
          <w:color w:val="000000" w:themeColor="text1"/>
          <w:sz w:val="22"/>
          <w:szCs w:val="22"/>
        </w:rPr>
      </w:pPr>
      <w:r>
        <w:br w:type="page"/>
      </w:r>
    </w:p>
    <w:p w14:paraId="56E83664" w14:textId="77777777" w:rsidR="00625DC4" w:rsidRDefault="00625DC4" w:rsidP="00625DC4">
      <w:pPr>
        <w:pStyle w:val="Heading2"/>
      </w:pPr>
      <w:bookmarkStart w:id="55" w:name="_Toc147909830"/>
      <w:bookmarkStart w:id="56" w:name="_Toc176339440"/>
      <w:r w:rsidRPr="003A3578">
        <w:lastRenderedPageBreak/>
        <w:t>Individuals in single officer roles should generally not be appointed to other non-departmental entities</w:t>
      </w:r>
      <w:bookmarkEnd w:id="55"/>
      <w:bookmarkEnd w:id="56"/>
    </w:p>
    <w:p w14:paraId="257B7FDC" w14:textId="77777777" w:rsidR="00625DC4" w:rsidRPr="003A3578" w:rsidRDefault="00625DC4" w:rsidP="00625DC4">
      <w:pPr>
        <w:pStyle w:val="DPCbody"/>
        <w:numPr>
          <w:ilvl w:val="1"/>
          <w:numId w:val="18"/>
        </w:numPr>
        <w:ind w:left="851" w:hanging="567"/>
      </w:pPr>
      <w:r>
        <w:t xml:space="preserve">Single officer </w:t>
      </w:r>
      <w:r w:rsidRPr="003A3578">
        <w:t xml:space="preserve">roles often entail significant functions which require a substantial time commitment. </w:t>
      </w:r>
    </w:p>
    <w:p w14:paraId="0DE4D31F" w14:textId="77777777" w:rsidR="00625DC4" w:rsidRPr="003A3578" w:rsidRDefault="00625DC4" w:rsidP="00625DC4">
      <w:pPr>
        <w:pStyle w:val="DPCbody"/>
        <w:numPr>
          <w:ilvl w:val="1"/>
          <w:numId w:val="18"/>
        </w:numPr>
        <w:ind w:left="851" w:hanging="567"/>
      </w:pPr>
      <w:r w:rsidRPr="003A3578">
        <w:t>For some single officer roles, legislation does not permit the appointee to engage in any additional employment without prior approval of the responsible minister.</w:t>
      </w:r>
    </w:p>
    <w:p w14:paraId="1E840895" w14:textId="77777777" w:rsidR="00625DC4" w:rsidRPr="003A3578" w:rsidRDefault="00625DC4" w:rsidP="00625DC4">
      <w:pPr>
        <w:pStyle w:val="DPCbody"/>
        <w:numPr>
          <w:ilvl w:val="1"/>
          <w:numId w:val="18"/>
        </w:numPr>
        <w:ind w:left="851" w:hanging="567"/>
      </w:pPr>
      <w:r w:rsidRPr="003A3578">
        <w:t xml:space="preserve">Ministers seeking to appoint someone who is already a single office holder to another non-departmental entity must explain in </w:t>
      </w:r>
      <w:r w:rsidRPr="00B02EEA">
        <w:t xml:space="preserve">the </w:t>
      </w:r>
      <w:r w:rsidRPr="003A3578">
        <w:t>Cabinet submission why other suitable candidates are not available. When seeking to appoint someone who performs a single officer role to another non-departmental entity, ministers should have regard to:</w:t>
      </w:r>
    </w:p>
    <w:p w14:paraId="4A49F812" w14:textId="77777777" w:rsidR="00625DC4" w:rsidRPr="003A3578" w:rsidRDefault="00625DC4" w:rsidP="00625DC4">
      <w:pPr>
        <w:pStyle w:val="DPCbullet1"/>
        <w:numPr>
          <w:ilvl w:val="0"/>
          <w:numId w:val="21"/>
        </w:numPr>
        <w:spacing w:after="160"/>
        <w:ind w:left="1134"/>
      </w:pPr>
      <w:r w:rsidRPr="003A3578">
        <w:t>any relevant statutory requirements</w:t>
      </w:r>
    </w:p>
    <w:p w14:paraId="12BEB05F" w14:textId="77777777" w:rsidR="00625DC4" w:rsidRPr="003A3578" w:rsidRDefault="00625DC4" w:rsidP="00625DC4">
      <w:pPr>
        <w:pStyle w:val="DPCbullet1"/>
        <w:numPr>
          <w:ilvl w:val="0"/>
          <w:numId w:val="21"/>
        </w:numPr>
        <w:spacing w:after="160"/>
        <w:ind w:left="1134"/>
      </w:pPr>
      <w:r w:rsidRPr="003A3578">
        <w:t xml:space="preserve">potential conflicts of interest </w:t>
      </w:r>
    </w:p>
    <w:p w14:paraId="3880DA38" w14:textId="77777777" w:rsidR="00625DC4" w:rsidRPr="003A3578" w:rsidRDefault="00625DC4" w:rsidP="00625DC4">
      <w:pPr>
        <w:pStyle w:val="DPCbullet1"/>
        <w:numPr>
          <w:ilvl w:val="0"/>
          <w:numId w:val="21"/>
        </w:numPr>
        <w:spacing w:after="160"/>
        <w:ind w:left="1134"/>
      </w:pPr>
      <w:r w:rsidRPr="003A3578">
        <w:t xml:space="preserve">the time commitment of the appointments </w:t>
      </w:r>
    </w:p>
    <w:p w14:paraId="4240688A" w14:textId="77777777" w:rsidR="00625DC4" w:rsidRPr="003A3578" w:rsidRDefault="00625DC4" w:rsidP="00625DC4">
      <w:pPr>
        <w:pStyle w:val="DPCbullet1"/>
        <w:numPr>
          <w:ilvl w:val="0"/>
          <w:numId w:val="21"/>
        </w:numPr>
        <w:spacing w:after="160"/>
        <w:ind w:left="1134"/>
      </w:pPr>
      <w:r w:rsidRPr="003A3578">
        <w:t>the responsibilities of each appointment</w:t>
      </w:r>
      <w:r>
        <w:t>.</w:t>
      </w:r>
    </w:p>
    <w:p w14:paraId="3BF759F0" w14:textId="77777777" w:rsidR="00625DC4" w:rsidRPr="003A3578" w:rsidRDefault="00625DC4" w:rsidP="00625DC4">
      <w:pPr>
        <w:pStyle w:val="DPCbody"/>
        <w:numPr>
          <w:ilvl w:val="1"/>
          <w:numId w:val="18"/>
        </w:numPr>
        <w:ind w:left="851" w:hanging="567"/>
      </w:pPr>
      <w:r w:rsidRPr="003A3578">
        <w:t>Appointing ministers should seek assurance that the individual will be able to devote adequate time to their duties in accordance with minimum workload requirements. Appointees should notify ministers responsible for their existing appointments before accepting additional appointments, including to ensure that any potential conflicts of interest that may arise from the additional appointment can be appropriately managed.</w:t>
      </w:r>
    </w:p>
    <w:p w14:paraId="1B4223EE" w14:textId="77777777" w:rsidR="00625DC4" w:rsidRPr="003A3578" w:rsidRDefault="00625DC4" w:rsidP="00625DC4">
      <w:pPr>
        <w:pStyle w:val="Heading2"/>
      </w:pPr>
      <w:bookmarkStart w:id="57" w:name="_Public_sector_employees_2"/>
      <w:bookmarkStart w:id="58" w:name="_Toc147909831"/>
      <w:bookmarkStart w:id="59" w:name="_Toc176339441"/>
      <w:bookmarkEnd w:id="57"/>
      <w:r w:rsidRPr="003A3578">
        <w:t>Public sector employees are not usually appointed to non-departmental entities</w:t>
      </w:r>
      <w:bookmarkEnd w:id="58"/>
      <w:bookmarkEnd w:id="59"/>
    </w:p>
    <w:p w14:paraId="53692FD6" w14:textId="4D0EF30B" w:rsidR="00625DC4" w:rsidRDefault="00625DC4" w:rsidP="00625DC4">
      <w:pPr>
        <w:pStyle w:val="DPCbody"/>
        <w:numPr>
          <w:ilvl w:val="1"/>
          <w:numId w:val="18"/>
        </w:numPr>
        <w:ind w:left="851" w:hanging="567"/>
      </w:pPr>
      <w:r>
        <w:t xml:space="preserve">This is due </w:t>
      </w:r>
      <w:r w:rsidRPr="003A3578">
        <w:t>to the risk of actual</w:t>
      </w:r>
      <w:r>
        <w:t>, potential,</w:t>
      </w:r>
      <w:r w:rsidRPr="003A3578">
        <w:t xml:space="preserve"> or perceived conflict between their role and duties as public servants and as appointees. For additional guidance on when appointment and remuneration (if any) may be appropriate, see </w:t>
      </w:r>
      <w:r w:rsidRPr="00B02EEA">
        <w:t xml:space="preserve">sections </w:t>
      </w:r>
      <w:hyperlink w:anchor="_Remuneration_–_other" w:history="1">
        <w:r w:rsidRPr="00AF63CB">
          <w:rPr>
            <w:rStyle w:val="Hyperlink"/>
            <w:color w:val="0072CE" w:themeColor="accent1"/>
            <w:u w:val="single"/>
          </w:rPr>
          <w:t>8.3 to 8.8</w:t>
        </w:r>
      </w:hyperlink>
      <w:r>
        <w:t>.</w:t>
      </w:r>
    </w:p>
    <w:p w14:paraId="055CFE6F" w14:textId="77777777" w:rsidR="00625DC4" w:rsidRDefault="00625DC4" w:rsidP="00625DC4">
      <w:pPr>
        <w:pStyle w:val="Heading3"/>
        <w:spacing w:before="0" w:after="160" w:line="300" w:lineRule="atLeast"/>
      </w:pPr>
      <w:bookmarkStart w:id="60" w:name="_Toc147909832"/>
      <w:bookmarkStart w:id="61" w:name="_Toc176339442"/>
      <w:r>
        <w:t>Who is a ‘public sector employee’?</w:t>
      </w:r>
      <w:bookmarkEnd w:id="60"/>
      <w:bookmarkEnd w:id="61"/>
    </w:p>
    <w:p w14:paraId="5B99AC0F" w14:textId="77777777" w:rsidR="00625DC4" w:rsidRPr="003A3578" w:rsidRDefault="00625DC4" w:rsidP="00625DC4">
      <w:pPr>
        <w:pStyle w:val="DPCbody"/>
        <w:numPr>
          <w:ilvl w:val="1"/>
          <w:numId w:val="18"/>
        </w:numPr>
        <w:ind w:left="851" w:hanging="567"/>
      </w:pPr>
      <w:r>
        <w:t xml:space="preserve">For the purposes </w:t>
      </w:r>
      <w:r w:rsidRPr="003A3578">
        <w:t>of these Guidelines, a ‘public sector employee’ is defined as:</w:t>
      </w:r>
    </w:p>
    <w:p w14:paraId="316A9D15" w14:textId="77777777" w:rsidR="00625DC4" w:rsidRPr="003A3578" w:rsidRDefault="00625DC4" w:rsidP="00625DC4">
      <w:pPr>
        <w:pStyle w:val="DPCbullet1"/>
        <w:numPr>
          <w:ilvl w:val="0"/>
          <w:numId w:val="21"/>
        </w:numPr>
        <w:spacing w:after="160"/>
        <w:ind w:left="1134"/>
      </w:pPr>
      <w:r w:rsidRPr="003A3578">
        <w:t xml:space="preserve">a person employed under Part 3 of the </w:t>
      </w:r>
      <w:r w:rsidRPr="003A3578">
        <w:rPr>
          <w:i/>
        </w:rPr>
        <w:t>Public Administration Act 2004</w:t>
      </w:r>
      <w:r w:rsidRPr="003A3578">
        <w:t xml:space="preserve"> (Vic)</w:t>
      </w:r>
    </w:p>
    <w:p w14:paraId="6218FC1A" w14:textId="77777777" w:rsidR="00625DC4" w:rsidRPr="003A3578" w:rsidRDefault="00625DC4" w:rsidP="00625DC4">
      <w:pPr>
        <w:pStyle w:val="DPCbullet1"/>
        <w:numPr>
          <w:ilvl w:val="0"/>
          <w:numId w:val="21"/>
        </w:numPr>
        <w:spacing w:after="160"/>
        <w:ind w:left="1134"/>
      </w:pPr>
      <w:r w:rsidRPr="003A3578">
        <w:t xml:space="preserve">a person employed as or by a public sector body head or a non-departmental entity via an employment agency or contract. </w:t>
      </w:r>
      <w:r>
        <w:t>This includes secondments from the private sector and staff acquired through labour hire firms.</w:t>
      </w:r>
    </w:p>
    <w:p w14:paraId="738C6A9A" w14:textId="77777777" w:rsidR="00625DC4" w:rsidRPr="003A3578" w:rsidRDefault="00625DC4" w:rsidP="00625DC4">
      <w:pPr>
        <w:pStyle w:val="DPCbody"/>
        <w:numPr>
          <w:ilvl w:val="1"/>
          <w:numId w:val="18"/>
        </w:numPr>
        <w:ind w:left="851" w:hanging="567"/>
      </w:pPr>
      <w:r w:rsidRPr="003A3578">
        <w:t>Employees of universities and Victorian local governments are not considered to be ‘public sector employees’ for the purpose of these Guidelines.</w:t>
      </w:r>
    </w:p>
    <w:p w14:paraId="6CE28B21" w14:textId="77777777" w:rsidR="00625DC4" w:rsidRDefault="00625DC4" w:rsidP="00625DC4">
      <w:pPr>
        <w:pStyle w:val="Heading3"/>
        <w:spacing w:before="0" w:after="160" w:line="300" w:lineRule="atLeast"/>
      </w:pPr>
      <w:bookmarkStart w:id="62" w:name="_Toc147909833"/>
      <w:bookmarkStart w:id="63" w:name="_Toc176339443"/>
      <w:r>
        <w:t xml:space="preserve">When can </w:t>
      </w:r>
      <w:r w:rsidRPr="003A3578">
        <w:t>public sector employee</w:t>
      </w:r>
      <w:r>
        <w:t>s</w:t>
      </w:r>
      <w:r w:rsidRPr="003A3578">
        <w:t xml:space="preserve"> be appointed to non-departmental entities?</w:t>
      </w:r>
      <w:bookmarkEnd w:id="62"/>
      <w:bookmarkEnd w:id="63"/>
    </w:p>
    <w:p w14:paraId="4A00747D" w14:textId="77777777" w:rsidR="00625DC4" w:rsidRPr="003A3578" w:rsidRDefault="00625DC4" w:rsidP="00625DC4">
      <w:pPr>
        <w:pStyle w:val="DPCbody"/>
        <w:numPr>
          <w:ilvl w:val="1"/>
          <w:numId w:val="18"/>
        </w:numPr>
        <w:ind w:left="851" w:hanging="567"/>
      </w:pPr>
      <w:bookmarkStart w:id="64" w:name="_Hlk142317724"/>
      <w:r>
        <w:t xml:space="preserve">Some circumstances </w:t>
      </w:r>
      <w:r w:rsidRPr="003A3578">
        <w:t xml:space="preserve">require that a public sector employee be appointed to a position that is directly related to their role. These circumstances include: </w:t>
      </w:r>
    </w:p>
    <w:p w14:paraId="0E81B0DC" w14:textId="77777777" w:rsidR="00625DC4" w:rsidRPr="003A3578" w:rsidRDefault="00625DC4" w:rsidP="00625DC4">
      <w:pPr>
        <w:pStyle w:val="DPCbullet1"/>
        <w:numPr>
          <w:ilvl w:val="0"/>
          <w:numId w:val="21"/>
        </w:numPr>
        <w:spacing w:after="160"/>
        <w:ind w:left="1134"/>
      </w:pPr>
      <w:r w:rsidRPr="003A3578">
        <w:rPr>
          <w:i/>
        </w:rPr>
        <w:t>ex-officio</w:t>
      </w:r>
      <w:r w:rsidRPr="003A3578">
        <w:t xml:space="preserve"> appointments (i.e. as a requirement of their substantive position)</w:t>
      </w:r>
    </w:p>
    <w:p w14:paraId="206AAC69" w14:textId="77777777" w:rsidR="00625DC4" w:rsidRPr="003A3578" w:rsidRDefault="00625DC4" w:rsidP="00625DC4">
      <w:pPr>
        <w:pStyle w:val="DPCbullet1"/>
        <w:numPr>
          <w:ilvl w:val="0"/>
          <w:numId w:val="21"/>
        </w:numPr>
        <w:spacing w:after="160"/>
        <w:ind w:left="1134"/>
      </w:pPr>
      <w:r w:rsidRPr="003A3578">
        <w:lastRenderedPageBreak/>
        <w:t>nominees or delegates of a minister or a departmental Secretary</w:t>
      </w:r>
    </w:p>
    <w:p w14:paraId="3764EC5F" w14:textId="77777777" w:rsidR="00625DC4" w:rsidRDefault="00625DC4" w:rsidP="00625DC4">
      <w:pPr>
        <w:pStyle w:val="DPCbullet1"/>
        <w:numPr>
          <w:ilvl w:val="0"/>
          <w:numId w:val="21"/>
        </w:numPr>
        <w:spacing w:after="160"/>
        <w:ind w:left="1134"/>
      </w:pPr>
      <w:r w:rsidRPr="003A3578">
        <w:t>when there is a statutory requirement for public sector representation.</w:t>
      </w:r>
    </w:p>
    <w:bookmarkEnd w:id="64"/>
    <w:p w14:paraId="35CCC324" w14:textId="77777777" w:rsidR="00625DC4" w:rsidRDefault="00625DC4" w:rsidP="00625DC4">
      <w:pPr>
        <w:pStyle w:val="DPCbody"/>
        <w:numPr>
          <w:ilvl w:val="1"/>
          <w:numId w:val="18"/>
        </w:numPr>
        <w:ind w:left="851" w:hanging="567"/>
      </w:pPr>
      <w:r>
        <w:t xml:space="preserve">In some circumstances </w:t>
      </w:r>
      <w:r w:rsidRPr="003A3578">
        <w:t>it may be permissible to appoint a public sector employee to a position that is not a requirement of their substantive position. This can only occur if:</w:t>
      </w:r>
    </w:p>
    <w:p w14:paraId="0B6712A0" w14:textId="1062A076" w:rsidR="00625DC4" w:rsidRPr="003A3578" w:rsidRDefault="00625DC4" w:rsidP="00625DC4">
      <w:pPr>
        <w:pStyle w:val="DPCbullet1"/>
        <w:numPr>
          <w:ilvl w:val="0"/>
          <w:numId w:val="21"/>
        </w:numPr>
        <w:spacing w:after="160"/>
        <w:ind w:left="1134"/>
        <w:rPr>
          <w:iCs/>
        </w:rPr>
      </w:pPr>
      <w:r>
        <w:t xml:space="preserve">they are </w:t>
      </w:r>
      <w:r w:rsidRPr="003A3578">
        <w:rPr>
          <w:iCs/>
        </w:rPr>
        <w:t xml:space="preserve">selected as the result of a merit-based appointment process, carried out in accordance with </w:t>
      </w:r>
      <w:hyperlink w:anchor="_A_robust_recruitment">
        <w:r w:rsidRPr="00AF63CB">
          <w:rPr>
            <w:rStyle w:val="Hyperlink"/>
            <w:color w:val="0072CE" w:themeColor="accent1"/>
            <w:u w:val="single"/>
          </w:rPr>
          <w:t>section 3</w:t>
        </w:r>
      </w:hyperlink>
      <w:r w:rsidRPr="003A3578">
        <w:rPr>
          <w:iCs/>
        </w:rPr>
        <w:t xml:space="preserve"> of these Guidelines</w:t>
      </w:r>
    </w:p>
    <w:p w14:paraId="0C422FBD" w14:textId="77777777" w:rsidR="00625DC4" w:rsidRPr="003A3578" w:rsidRDefault="00625DC4" w:rsidP="00625DC4">
      <w:pPr>
        <w:pStyle w:val="DPCbullet1"/>
        <w:numPr>
          <w:ilvl w:val="0"/>
          <w:numId w:val="21"/>
        </w:numPr>
        <w:spacing w:after="160"/>
        <w:ind w:left="1134"/>
        <w:rPr>
          <w:iCs/>
        </w:rPr>
      </w:pPr>
      <w:r w:rsidRPr="003A3578">
        <w:rPr>
          <w:iCs/>
        </w:rPr>
        <w:t>their skills, experience and personal qualities are required by the board or single officer role</w:t>
      </w:r>
    </w:p>
    <w:p w14:paraId="622E0E32" w14:textId="77777777" w:rsidR="00625DC4" w:rsidRPr="003A3578" w:rsidRDefault="00625DC4" w:rsidP="00625DC4">
      <w:pPr>
        <w:pStyle w:val="DPCbullet1"/>
        <w:numPr>
          <w:ilvl w:val="0"/>
          <w:numId w:val="21"/>
        </w:numPr>
        <w:spacing w:after="160"/>
        <w:ind w:left="1134"/>
        <w:rPr>
          <w:iCs/>
        </w:rPr>
      </w:pPr>
      <w:r w:rsidRPr="003A3578">
        <w:rPr>
          <w:iCs/>
        </w:rPr>
        <w:t>specific reason is given as to why the public sector employee is the best candidate for the role</w:t>
      </w:r>
    </w:p>
    <w:p w14:paraId="1BE37845" w14:textId="77777777" w:rsidR="00625DC4" w:rsidRDefault="00625DC4" w:rsidP="00625DC4">
      <w:pPr>
        <w:pStyle w:val="DPCbullet1"/>
        <w:numPr>
          <w:ilvl w:val="0"/>
          <w:numId w:val="21"/>
        </w:numPr>
        <w:spacing w:after="160"/>
        <w:ind w:left="1134"/>
        <w:rPr>
          <w:iCs/>
        </w:rPr>
      </w:pPr>
      <w:r w:rsidRPr="003A3578">
        <w:rPr>
          <w:iCs/>
        </w:rPr>
        <w:t xml:space="preserve">no material conflict exists between the board appointment and the employee’s substantive role. A conflict is not ‘material’ for these purposes if the conflict is trivial and can be managed with appropriate board procedures. </w:t>
      </w:r>
      <w:r>
        <w:rPr>
          <w:iCs/>
        </w:rPr>
        <w:t>Join a Public Board</w:t>
      </w:r>
      <w:r w:rsidRPr="003A3578">
        <w:rPr>
          <w:iCs/>
        </w:rPr>
        <w:t xml:space="preserve">’s </w:t>
      </w:r>
      <w:hyperlink r:id="rId51" w:history="1">
        <w:r w:rsidRPr="00AF63CB">
          <w:rPr>
            <w:rStyle w:val="Hyperlink"/>
            <w:iCs/>
            <w:color w:val="0072CE" w:themeColor="accent1"/>
            <w:u w:val="single"/>
          </w:rPr>
          <w:t>Conflicts of Interest and Duty as a Board Director</w:t>
        </w:r>
      </w:hyperlink>
      <w:r w:rsidRPr="003A3578">
        <w:rPr>
          <w:iCs/>
        </w:rPr>
        <w:t xml:space="preserve"> </w:t>
      </w:r>
      <w:r>
        <w:rPr>
          <w:iCs/>
        </w:rPr>
        <w:t xml:space="preserve">guide </w:t>
      </w:r>
      <w:r w:rsidRPr="003A3578">
        <w:rPr>
          <w:iCs/>
        </w:rPr>
        <w:t>provides advice to identify, avoid and manage conflicts of interest and duty for board members.</w:t>
      </w:r>
      <w:r>
        <w:rPr>
          <w:iCs/>
        </w:rPr>
        <w:t xml:space="preserve"> Prior to the appointment of a public sector employee, written confirmation should be sought from their employer to ensure no material conflict exists.</w:t>
      </w:r>
    </w:p>
    <w:p w14:paraId="0089BC52" w14:textId="77777777" w:rsidR="00625DC4" w:rsidRDefault="00625DC4" w:rsidP="00625DC4">
      <w:pPr>
        <w:pStyle w:val="DPCbullet1"/>
        <w:numPr>
          <w:ilvl w:val="0"/>
          <w:numId w:val="0"/>
        </w:numPr>
        <w:spacing w:after="160"/>
        <w:ind w:left="850"/>
        <w:rPr>
          <w:rStyle w:val="Hyperlink"/>
        </w:rPr>
      </w:pPr>
      <w:r>
        <w:rPr>
          <w:iCs/>
        </w:rPr>
        <w:t xml:space="preserve">For guidance on </w:t>
      </w:r>
      <w:r w:rsidRPr="00310CEF">
        <w:t xml:space="preserve">when remuneration (if any) may be appropriate </w:t>
      </w:r>
      <w:r w:rsidRPr="00B02EEA">
        <w:t xml:space="preserve">see </w:t>
      </w:r>
      <w:hyperlink w:anchor="_Public_sector_employees_1" w:history="1">
        <w:r w:rsidRPr="00D74C96">
          <w:rPr>
            <w:rStyle w:val="Hyperlink"/>
            <w:color w:val="0072CE" w:themeColor="accent1"/>
            <w:u w:val="single"/>
          </w:rPr>
          <w:t>sections 8.3 to 8.8</w:t>
        </w:r>
      </w:hyperlink>
      <w:r w:rsidRPr="00B02EEA">
        <w:t>.</w:t>
      </w:r>
    </w:p>
    <w:p w14:paraId="3F0A53AE" w14:textId="77777777" w:rsidR="00625DC4" w:rsidRDefault="00625DC4" w:rsidP="00625DC4">
      <w:pPr>
        <w:pStyle w:val="Heading2"/>
      </w:pPr>
      <w:bookmarkStart w:id="65" w:name="_Members_of_Parliament"/>
      <w:bookmarkStart w:id="66" w:name="_Toc147909834"/>
      <w:bookmarkStart w:id="67" w:name="_Toc176339444"/>
      <w:bookmarkEnd w:id="65"/>
      <w:r w:rsidRPr="003A3578">
        <w:t>Members of Parliamen</w:t>
      </w:r>
      <w:r>
        <w:t xml:space="preserve">t </w:t>
      </w:r>
      <w:r w:rsidRPr="003A3578">
        <w:t>should not ordinarily be appointed by the executive government to non-departmental entities</w:t>
      </w:r>
      <w:bookmarkEnd w:id="66"/>
      <w:bookmarkEnd w:id="67"/>
    </w:p>
    <w:p w14:paraId="0A391567" w14:textId="77777777" w:rsidR="00625DC4" w:rsidRPr="00444AB0" w:rsidRDefault="00625DC4" w:rsidP="00625DC4">
      <w:pPr>
        <w:pStyle w:val="DPCbody"/>
        <w:numPr>
          <w:ilvl w:val="1"/>
          <w:numId w:val="18"/>
        </w:numPr>
        <w:ind w:left="851" w:hanging="567"/>
      </w:pPr>
      <w:r w:rsidRPr="00444AB0">
        <w:t xml:space="preserve">The role of an MP includes representing their constituents, attending Parliament (including any Committee roles) and, if they are not an independent, representing their Party. These roles can conflict with the roles that are involved in being appointed to a non-departmental entity, such as advising executive Government or overseeing public entities. However, there are instances where MPs are appointed to non-departmental entities, for example where a MP is appointed to assist the Government to engage with a particular sector via a non-departmental taskforce.   </w:t>
      </w:r>
    </w:p>
    <w:p w14:paraId="4AF6D188" w14:textId="77777777" w:rsidR="00625DC4" w:rsidRPr="00444AB0" w:rsidRDefault="00625DC4" w:rsidP="00625DC4">
      <w:pPr>
        <w:pStyle w:val="DPCbody"/>
        <w:numPr>
          <w:ilvl w:val="1"/>
          <w:numId w:val="18"/>
        </w:numPr>
        <w:ind w:left="851" w:hanging="567"/>
      </w:pPr>
      <w:r w:rsidRPr="00444AB0">
        <w:t xml:space="preserve">Legal advice is required before appointing a Member of Parliament to a non-departmental entity. If a Member of Parliament is appointed to, and is eligible to be paid for, being a member of a non-departmental entity, they may be in breach of sections 49 and 55 of the </w:t>
      </w:r>
      <w:r w:rsidRPr="00444AB0">
        <w:rPr>
          <w:i/>
        </w:rPr>
        <w:t>Constitution Act 1975</w:t>
      </w:r>
      <w:r w:rsidRPr="00444AB0">
        <w:t xml:space="preserve"> (Vic) (potentially causing their seats to be vacated) unless an Act allows them to be so appointed. Legal advice must be sought on a case-by-case basis before any appointment of Members of Parliament to non-departmental entities whether advisory or otherwise. </w:t>
      </w:r>
    </w:p>
    <w:p w14:paraId="79D12253" w14:textId="77777777" w:rsidR="00625DC4" w:rsidRPr="00444AB0" w:rsidRDefault="00625DC4" w:rsidP="00625DC4">
      <w:pPr>
        <w:pStyle w:val="DPCbody"/>
        <w:numPr>
          <w:ilvl w:val="1"/>
          <w:numId w:val="18"/>
        </w:numPr>
        <w:ind w:left="851" w:hanging="567"/>
      </w:pPr>
      <w:r w:rsidRPr="00444AB0">
        <w:t xml:space="preserve">The appointment must also be authorised by Cabinet. The Cabinet submission should confirm that there is legal advice that the proposed appointment is not in breach of the </w:t>
      </w:r>
      <w:r w:rsidRPr="00444AB0">
        <w:rPr>
          <w:i/>
        </w:rPr>
        <w:t>Constitution Act 1975</w:t>
      </w:r>
      <w:r w:rsidRPr="00444AB0">
        <w:rPr>
          <w:i/>
          <w:iCs/>
        </w:rPr>
        <w:t xml:space="preserve"> (Vic)</w:t>
      </w:r>
      <w:r w:rsidRPr="00444AB0">
        <w:t>. It should also include reasoning why appointing a Member of Parliament rather than a member of the community is appropriate in the circumstances. Consideration should be given to whether the appointment of a Member of Parliament to a non-departmental entity may impact the relationship between the entity and government (such as the nature of advice and consultation).</w:t>
      </w:r>
    </w:p>
    <w:p w14:paraId="671EB4C6" w14:textId="77777777" w:rsidR="00625DC4" w:rsidRPr="00444AB0" w:rsidRDefault="00625DC4" w:rsidP="00625DC4">
      <w:pPr>
        <w:pStyle w:val="DPCbody"/>
        <w:numPr>
          <w:ilvl w:val="1"/>
          <w:numId w:val="18"/>
        </w:numPr>
        <w:ind w:left="851" w:hanging="567"/>
      </w:pPr>
      <w:r w:rsidRPr="00444AB0">
        <w:lastRenderedPageBreak/>
        <w:t>Ministers appointed to boards within their portfolio in an ex-officio capacity do not require legal advice.</w:t>
      </w:r>
    </w:p>
    <w:p w14:paraId="2009FC0E" w14:textId="77777777" w:rsidR="00625DC4" w:rsidRPr="003A3578" w:rsidRDefault="00625DC4" w:rsidP="00625DC4">
      <w:pPr>
        <w:pStyle w:val="Heading2"/>
      </w:pPr>
      <w:bookmarkStart w:id="68" w:name="_Toc147909835"/>
      <w:bookmarkStart w:id="69" w:name="_Toc176339445"/>
      <w:r w:rsidRPr="003A3578">
        <w:t>It is preferable that appointees reside in Victoria</w:t>
      </w:r>
      <w:bookmarkEnd w:id="68"/>
      <w:bookmarkEnd w:id="69"/>
    </w:p>
    <w:p w14:paraId="3A175CAF" w14:textId="77777777" w:rsidR="00625DC4" w:rsidRDefault="00625DC4" w:rsidP="00625DC4">
      <w:pPr>
        <w:pStyle w:val="DPCbody"/>
        <w:numPr>
          <w:ilvl w:val="1"/>
          <w:numId w:val="18"/>
        </w:numPr>
        <w:ind w:left="851" w:hanging="567"/>
      </w:pPr>
      <w:r w:rsidRPr="003B5101">
        <w:t>This is to help ensure that they act in the best interests of the State, understand Victorian issues and due to the high costs associated with inter-state and overseas travel. Circumstances that require the appointment of someone who resides in another state or</w:t>
      </w:r>
      <w:r w:rsidRPr="003A3578">
        <w:t xml:space="preserve"> overseas should be explained in the relevant Cabinet submission or ministerial brief. The Cabinet submission or ministerial brief should also outline whether travel costs will be incurred by the appointee or the entity</w:t>
      </w:r>
      <w:r>
        <w:t>.</w:t>
      </w:r>
    </w:p>
    <w:p w14:paraId="2D4B76DF" w14:textId="77777777" w:rsidR="00625DC4" w:rsidRDefault="00625DC4" w:rsidP="00625DC4">
      <w:pPr>
        <w:pStyle w:val="Heading2"/>
      </w:pPr>
      <w:bookmarkStart w:id="70" w:name="_Toc147909836"/>
      <w:bookmarkStart w:id="71" w:name="_Toc176339446"/>
      <w:r>
        <w:t>Lobbyists are ineligible to be appointed to relevant boards</w:t>
      </w:r>
      <w:bookmarkEnd w:id="70"/>
      <w:bookmarkEnd w:id="71"/>
    </w:p>
    <w:p w14:paraId="431C25EC" w14:textId="77777777" w:rsidR="00625DC4" w:rsidRDefault="00625DC4" w:rsidP="00625DC4">
      <w:pPr>
        <w:pStyle w:val="DPCbody"/>
        <w:numPr>
          <w:ilvl w:val="1"/>
          <w:numId w:val="18"/>
        </w:numPr>
        <w:ind w:left="851" w:hanging="567"/>
      </w:pPr>
      <w:r>
        <w:t>Lobbyists and Government Affairs Directors who must include details in the</w:t>
      </w:r>
      <w:r w:rsidRPr="00791469">
        <w:rPr>
          <w:color w:val="0072CE" w:themeColor="accent1"/>
          <w:u w:val="single"/>
        </w:rPr>
        <w:t xml:space="preserve"> </w:t>
      </w:r>
      <w:hyperlink r:id="rId52" w:history="1">
        <w:r w:rsidRPr="00791469">
          <w:rPr>
            <w:rStyle w:val="Hyperlink"/>
            <w:color w:val="0072CE" w:themeColor="accent1"/>
            <w:u w:val="single"/>
          </w:rPr>
          <w:t>Register of Lobbyists</w:t>
        </w:r>
      </w:hyperlink>
      <w:r>
        <w:t xml:space="preserve"> (as defined in the </w:t>
      </w:r>
      <w:hyperlink r:id="rId53">
        <w:r w:rsidRPr="00791469">
          <w:rPr>
            <w:rStyle w:val="Hyperlink"/>
            <w:color w:val="0072CE" w:themeColor="accent1"/>
            <w:u w:val="single"/>
          </w:rPr>
          <w:t>Lobbyist Code of Conduct</w:t>
        </w:r>
      </w:hyperlink>
      <w:r>
        <w:t xml:space="preserve">) are ineligible for appointment to any board that has functions which relate to any matter on which the lobbyist has represented the interests of third parties in the previous 12 months (whether in a paid or unpaid capacity). </w:t>
      </w:r>
    </w:p>
    <w:p w14:paraId="729BC583" w14:textId="5363B250" w:rsidR="00E0316D" w:rsidRDefault="00E0316D">
      <w:pPr>
        <w:rPr>
          <w:b/>
          <w:color w:val="595959" w:themeColor="text1" w:themeTint="A6"/>
          <w:sz w:val="28"/>
        </w:rPr>
      </w:pPr>
      <w:r>
        <w:br w:type="page"/>
      </w:r>
    </w:p>
    <w:p w14:paraId="5FE9EA01" w14:textId="759DB657" w:rsidR="006C4CCB" w:rsidRDefault="006C4CCB" w:rsidP="0017470B">
      <w:pPr>
        <w:pStyle w:val="Heading1"/>
        <w:numPr>
          <w:ilvl w:val="0"/>
          <w:numId w:val="18"/>
        </w:numPr>
        <w:ind w:left="851" w:hanging="567"/>
      </w:pPr>
      <w:bookmarkStart w:id="72" w:name="_Toc147909837"/>
      <w:bookmarkStart w:id="73" w:name="_Toc176339447"/>
      <w:r>
        <w:lastRenderedPageBreak/>
        <w:t xml:space="preserve">Probity checks </w:t>
      </w:r>
      <w:r w:rsidRPr="003A3578">
        <w:t>and a Declaration of Private Interests are mandatory for all appointments, unless an exemption applies</w:t>
      </w:r>
      <w:bookmarkEnd w:id="72"/>
      <w:bookmarkEnd w:id="73"/>
    </w:p>
    <w:p w14:paraId="18E78747" w14:textId="77777777" w:rsidR="005262EE" w:rsidRPr="003B5101" w:rsidRDefault="005262EE" w:rsidP="005262EE">
      <w:pPr>
        <w:pStyle w:val="DPCbody"/>
        <w:numPr>
          <w:ilvl w:val="1"/>
          <w:numId w:val="18"/>
        </w:numPr>
        <w:ind w:left="851" w:hanging="567"/>
      </w:pPr>
      <w:r w:rsidRPr="003B5101">
        <w:t>Probity checks must be undertaken for all appointments, including reappointments, co-opted members, and proxies appointed by Government.</w:t>
      </w:r>
    </w:p>
    <w:p w14:paraId="053D80B2" w14:textId="77777777" w:rsidR="005262EE" w:rsidRDefault="005262EE" w:rsidP="005262EE">
      <w:pPr>
        <w:pStyle w:val="Heading2"/>
      </w:pPr>
      <w:bookmarkStart w:id="74" w:name="_Toc147909838"/>
      <w:bookmarkStart w:id="75" w:name="_Toc176339448"/>
      <w:r>
        <w:t>Probity Checks</w:t>
      </w:r>
      <w:bookmarkEnd w:id="74"/>
      <w:bookmarkEnd w:id="75"/>
    </w:p>
    <w:p w14:paraId="237ECE3C" w14:textId="77777777" w:rsidR="005262EE" w:rsidRPr="003A3578" w:rsidRDefault="005262EE" w:rsidP="005262EE">
      <w:pPr>
        <w:pStyle w:val="DPCbody"/>
        <w:numPr>
          <w:ilvl w:val="1"/>
          <w:numId w:val="18"/>
        </w:numPr>
        <w:ind w:left="851" w:hanging="567"/>
      </w:pPr>
      <w:r>
        <w:t xml:space="preserve">Probity checks are used </w:t>
      </w:r>
      <w:r w:rsidRPr="003A3578">
        <w:t>to determine the suitability of a candidate, including whether a short-listed or preferred candidate:</w:t>
      </w:r>
    </w:p>
    <w:p w14:paraId="52BA95A8" w14:textId="77777777" w:rsidR="005262EE" w:rsidRPr="003A3578" w:rsidRDefault="005262EE" w:rsidP="005262EE">
      <w:pPr>
        <w:pStyle w:val="DPCbullet1"/>
        <w:numPr>
          <w:ilvl w:val="0"/>
          <w:numId w:val="21"/>
        </w:numPr>
        <w:spacing w:after="160"/>
        <w:ind w:left="1134"/>
      </w:pPr>
      <w:r w:rsidRPr="003A3578">
        <w:t xml:space="preserve">is or has </w:t>
      </w:r>
      <w:r w:rsidRPr="003A3578">
        <w:rPr>
          <w:iCs/>
        </w:rPr>
        <w:t>been</w:t>
      </w:r>
      <w:r w:rsidRPr="003A3578">
        <w:t xml:space="preserve"> insolvent</w:t>
      </w:r>
    </w:p>
    <w:p w14:paraId="5B0C4145" w14:textId="77777777" w:rsidR="005262EE" w:rsidRPr="003A3578" w:rsidRDefault="005262EE" w:rsidP="005262EE">
      <w:pPr>
        <w:pStyle w:val="DPCbullet1"/>
        <w:numPr>
          <w:ilvl w:val="0"/>
          <w:numId w:val="21"/>
        </w:numPr>
        <w:spacing w:after="160"/>
        <w:ind w:left="1134"/>
      </w:pPr>
      <w:r w:rsidRPr="003A3578">
        <w:t xml:space="preserve">has a police </w:t>
      </w:r>
      <w:r w:rsidRPr="003A3578">
        <w:rPr>
          <w:iCs/>
        </w:rPr>
        <w:t>record</w:t>
      </w:r>
    </w:p>
    <w:p w14:paraId="0030DBD9" w14:textId="77777777" w:rsidR="005262EE" w:rsidRPr="003A3578" w:rsidRDefault="005262EE" w:rsidP="005262EE">
      <w:pPr>
        <w:pStyle w:val="DPCbullet1"/>
        <w:numPr>
          <w:ilvl w:val="0"/>
          <w:numId w:val="21"/>
        </w:numPr>
        <w:spacing w:after="160"/>
        <w:ind w:left="1134"/>
      </w:pPr>
      <w:r w:rsidRPr="003A3578">
        <w:t xml:space="preserve">has been </w:t>
      </w:r>
      <w:r w:rsidRPr="003A3578">
        <w:rPr>
          <w:iCs/>
        </w:rPr>
        <w:t>convicted</w:t>
      </w:r>
      <w:r w:rsidRPr="003A3578">
        <w:t xml:space="preserve"> of an indictable offence</w:t>
      </w:r>
    </w:p>
    <w:p w14:paraId="6D6EB6E5" w14:textId="77777777" w:rsidR="005262EE" w:rsidRPr="003A3578" w:rsidRDefault="005262EE" w:rsidP="005262EE">
      <w:pPr>
        <w:pStyle w:val="DPCbullet1"/>
        <w:numPr>
          <w:ilvl w:val="0"/>
          <w:numId w:val="21"/>
        </w:numPr>
        <w:spacing w:after="160"/>
        <w:ind w:left="1134"/>
      </w:pPr>
      <w:r w:rsidRPr="003A3578">
        <w:t>has been convicted of fraud</w:t>
      </w:r>
    </w:p>
    <w:p w14:paraId="4B6B6FB2" w14:textId="77777777" w:rsidR="005262EE" w:rsidRDefault="005262EE" w:rsidP="005262EE">
      <w:pPr>
        <w:pStyle w:val="DPCbullet1"/>
        <w:numPr>
          <w:ilvl w:val="0"/>
          <w:numId w:val="21"/>
        </w:numPr>
        <w:spacing w:after="160"/>
        <w:ind w:left="1134"/>
      </w:pPr>
      <w:r w:rsidRPr="003A3578">
        <w:t xml:space="preserve">has been disqualified from acting </w:t>
      </w:r>
      <w:r w:rsidRPr="003A3578">
        <w:rPr>
          <w:iCs/>
        </w:rPr>
        <w:t>as</w:t>
      </w:r>
      <w:r w:rsidRPr="003A3578">
        <w:t xml:space="preserve"> a director or acting in the management of a company.</w:t>
      </w:r>
    </w:p>
    <w:p w14:paraId="73A8D54E" w14:textId="77777777" w:rsidR="005262EE" w:rsidRPr="003A3578" w:rsidRDefault="005262EE" w:rsidP="005262EE">
      <w:pPr>
        <w:pStyle w:val="DPCbody"/>
        <w:numPr>
          <w:ilvl w:val="1"/>
          <w:numId w:val="18"/>
        </w:numPr>
        <w:ind w:left="851" w:hanging="567"/>
      </w:pPr>
      <w:r>
        <w:t xml:space="preserve">Probity checks </w:t>
      </w:r>
      <w:r w:rsidRPr="003A3578">
        <w:t>provide both the Government and the public assurance that appointees have a history of personal integrity, and a demonstrated capacity to manage their financial and business affairs.</w:t>
      </w:r>
    </w:p>
    <w:p w14:paraId="2F0C02C7" w14:textId="77777777" w:rsidR="005262EE" w:rsidRPr="003A3578" w:rsidRDefault="005262EE" w:rsidP="005262EE">
      <w:pPr>
        <w:pStyle w:val="DPCbody"/>
        <w:numPr>
          <w:ilvl w:val="1"/>
          <w:numId w:val="18"/>
        </w:numPr>
        <w:ind w:left="851" w:hanging="567"/>
      </w:pPr>
      <w:r w:rsidRPr="003A3578">
        <w:t>The mandatory completion of a statutory declaration by a candidate attesting to their integrity does not provide sufficient assurance of an appointee’s integrity or their capacity to manage business affairs.</w:t>
      </w:r>
    </w:p>
    <w:p w14:paraId="7AD3666E" w14:textId="77777777" w:rsidR="005262EE" w:rsidRPr="003A3578" w:rsidRDefault="005262EE" w:rsidP="005262EE">
      <w:pPr>
        <w:pStyle w:val="DPCbody"/>
        <w:numPr>
          <w:ilvl w:val="1"/>
          <w:numId w:val="18"/>
        </w:numPr>
        <w:ind w:left="851" w:hanging="567"/>
      </w:pPr>
      <w:r w:rsidRPr="003A3578">
        <w:t>Subject to any legislative requirements, a past criminal conviction or declaration of bankruptcy does not preclude a candidate from being appointed. However, consideration should be given to whether the appointee currently has the personal integrity to be effective and authoritative in the role</w:t>
      </w:r>
      <w:r>
        <w:t xml:space="preserve"> and </w:t>
      </w:r>
      <w:r w:rsidRPr="003A3578">
        <w:t xml:space="preserve">capacity to manage business affairs. </w:t>
      </w:r>
    </w:p>
    <w:p w14:paraId="1B0D7782" w14:textId="77777777" w:rsidR="005262EE" w:rsidRDefault="005262EE" w:rsidP="005262EE">
      <w:pPr>
        <w:pStyle w:val="DPCbody"/>
        <w:numPr>
          <w:ilvl w:val="1"/>
          <w:numId w:val="18"/>
        </w:numPr>
        <w:ind w:left="851" w:hanging="567"/>
      </w:pPr>
      <w:r w:rsidRPr="003A3578">
        <w:t>If a proposed candidate has a disclosable probity outcome, such as a criminal record or a history of bankruptcy, the relevant Cabinet submission should address the probity matter and provide a rationale for why the proposed appointment remains appropriate.</w:t>
      </w:r>
    </w:p>
    <w:p w14:paraId="6EAE7F47" w14:textId="77777777" w:rsidR="005262EE" w:rsidRDefault="005262EE" w:rsidP="005262EE">
      <w:pPr>
        <w:pStyle w:val="DPCbody"/>
        <w:numPr>
          <w:ilvl w:val="1"/>
          <w:numId w:val="18"/>
        </w:numPr>
        <w:ind w:left="851" w:hanging="567"/>
      </w:pPr>
      <w:r>
        <w:t>It is recommended that probity checks are not completed too far in advance of an appointment commencing to ensure the information is up to date. It is recommended that probity checks are completed no more than three months prior to Government considering the appointment.</w:t>
      </w:r>
    </w:p>
    <w:p w14:paraId="3755CAD1" w14:textId="77777777" w:rsidR="005262EE" w:rsidRDefault="005262EE" w:rsidP="005262EE">
      <w:pPr>
        <w:rPr>
          <w:rFonts w:eastAsia="Times" w:cs="Arial"/>
          <w:color w:val="000000" w:themeColor="text1"/>
          <w:sz w:val="22"/>
          <w:szCs w:val="22"/>
        </w:rPr>
      </w:pPr>
      <w:r>
        <w:br w:type="page"/>
      </w:r>
    </w:p>
    <w:p w14:paraId="71528FDC" w14:textId="77777777" w:rsidR="005262EE" w:rsidRDefault="005262EE" w:rsidP="005262EE">
      <w:pPr>
        <w:pStyle w:val="Heading2"/>
      </w:pPr>
      <w:bookmarkStart w:id="76" w:name="_Mandatory_probity_checks"/>
      <w:bookmarkStart w:id="77" w:name="_Toc147909839"/>
      <w:bookmarkStart w:id="78" w:name="_Toc176339449"/>
      <w:bookmarkEnd w:id="76"/>
      <w:r>
        <w:lastRenderedPageBreak/>
        <w:t>Mandatory probity checks</w:t>
      </w:r>
      <w:bookmarkEnd w:id="77"/>
      <w:bookmarkEnd w:id="78"/>
    </w:p>
    <w:p w14:paraId="0765E642" w14:textId="77777777" w:rsidR="005262EE" w:rsidRPr="003A3578" w:rsidRDefault="005262EE" w:rsidP="005262EE">
      <w:pPr>
        <w:pStyle w:val="DPCbody"/>
        <w:numPr>
          <w:ilvl w:val="1"/>
          <w:numId w:val="18"/>
        </w:numPr>
        <w:ind w:left="851" w:hanging="567"/>
      </w:pPr>
      <w:r>
        <w:t xml:space="preserve">At a minimum, </w:t>
      </w:r>
      <w:r w:rsidRPr="00714D72">
        <w:t>departments must obtain</w:t>
      </w:r>
      <w:r w:rsidRPr="003A3578">
        <w:t xml:space="preserve"> the following probity checks for all appointments, subject to any applicable waivers or exceptions described below. </w:t>
      </w:r>
    </w:p>
    <w:p w14:paraId="6B3F24DA" w14:textId="5A1E405E" w:rsidR="005262EE" w:rsidRPr="003A3578" w:rsidRDefault="00D15942" w:rsidP="005262EE">
      <w:pPr>
        <w:pStyle w:val="DPCbody"/>
        <w:ind w:left="851"/>
      </w:pPr>
      <w:r w:rsidRPr="00D15942">
        <w:rPr>
          <w:b/>
          <w:bCs/>
        </w:rPr>
        <w:t>Nationally Coordinated Criminal History Check</w:t>
      </w:r>
      <w:r w:rsidR="005262EE">
        <w:t xml:space="preserve">. As </w:t>
      </w:r>
      <w:r w:rsidRPr="00D15942">
        <w:t>Nationally Coordinated Criminal History Check</w:t>
      </w:r>
      <w:r>
        <w:t>s</w:t>
      </w:r>
      <w:r w:rsidR="005262EE">
        <w:t xml:space="preserve"> can take up to four weeks, it is important that early consideration be given to the completion of probity checks to avoid delays to the appointment process. If a candidate has lived overseas for more than 12 months in the past 10 years or has resided in Australia for less than 12 months, an International Criminal Record Check is also recommended. </w:t>
      </w:r>
    </w:p>
    <w:p w14:paraId="7075A5D8" w14:textId="77777777" w:rsidR="005262EE" w:rsidRPr="003A3578" w:rsidRDefault="005262EE" w:rsidP="005262EE">
      <w:pPr>
        <w:pStyle w:val="DPCbody"/>
        <w:ind w:left="851"/>
      </w:pPr>
      <w:r w:rsidRPr="003A3578">
        <w:rPr>
          <w:b/>
        </w:rPr>
        <w:t xml:space="preserve">Check of the Australian Securities and Investment Commission (ASIC) Register of Persons Banned and Disqualified. </w:t>
      </w:r>
      <w:r w:rsidRPr="003A3578">
        <w:t xml:space="preserve">A register of persons banned or disqualified under the provisions of the </w:t>
      </w:r>
      <w:r w:rsidRPr="003A3578">
        <w:rPr>
          <w:i/>
        </w:rPr>
        <w:t>Corporations Act 2001</w:t>
      </w:r>
      <w:r w:rsidRPr="003A3578">
        <w:t xml:space="preserve"> (</w:t>
      </w:r>
      <w:proofErr w:type="spellStart"/>
      <w:r w:rsidRPr="003A3578">
        <w:t>Cth</w:t>
      </w:r>
      <w:proofErr w:type="spellEnd"/>
      <w:r w:rsidRPr="003A3578">
        <w:t xml:space="preserve">). Searches can be undertaken by accessing the </w:t>
      </w:r>
      <w:hyperlink r:id="rId54" w:history="1">
        <w:r w:rsidRPr="00791469">
          <w:rPr>
            <w:rStyle w:val="Hyperlink"/>
            <w:color w:val="0072CE" w:themeColor="accent1"/>
            <w:u w:val="single"/>
          </w:rPr>
          <w:t>ASIC websi</w:t>
        </w:r>
        <w:bookmarkStart w:id="79" w:name="_Hlt146544053"/>
        <w:bookmarkStart w:id="80" w:name="_Hlt146544054"/>
        <w:r w:rsidRPr="00791469">
          <w:rPr>
            <w:rStyle w:val="Hyperlink"/>
            <w:color w:val="0072CE" w:themeColor="accent1"/>
            <w:u w:val="single"/>
          </w:rPr>
          <w:t>t</w:t>
        </w:r>
        <w:bookmarkEnd w:id="79"/>
        <w:bookmarkEnd w:id="80"/>
        <w:r w:rsidRPr="00791469">
          <w:rPr>
            <w:rStyle w:val="Hyperlink"/>
            <w:color w:val="0072CE" w:themeColor="accent1"/>
            <w:u w:val="single"/>
          </w:rPr>
          <w:t>e</w:t>
        </w:r>
      </w:hyperlink>
      <w:r>
        <w:t>.</w:t>
      </w:r>
      <w:r w:rsidRPr="003A3578">
        <w:t xml:space="preserve"> </w:t>
      </w:r>
    </w:p>
    <w:p w14:paraId="6C6849F9" w14:textId="77777777" w:rsidR="005262EE" w:rsidRPr="003A3578" w:rsidRDefault="005262EE" w:rsidP="005262EE">
      <w:pPr>
        <w:pStyle w:val="DPCbody"/>
        <w:ind w:left="851"/>
      </w:pPr>
      <w:r w:rsidRPr="003A3578">
        <w:rPr>
          <w:b/>
        </w:rPr>
        <w:t xml:space="preserve">Australian Financial Security Authority (AFSA) National Personal Insolvency Index (NPII) check. </w:t>
      </w:r>
      <w:r w:rsidRPr="003A3578">
        <w:t xml:space="preserve">This database is the public record of personal insolvency proceedings in Australia under the </w:t>
      </w:r>
      <w:r w:rsidRPr="003A3578">
        <w:rPr>
          <w:i/>
        </w:rPr>
        <w:t>Bankruptcy Act 1966</w:t>
      </w:r>
      <w:r w:rsidRPr="003A3578">
        <w:t xml:space="preserve"> (</w:t>
      </w:r>
      <w:proofErr w:type="spellStart"/>
      <w:r w:rsidRPr="003A3578">
        <w:t>Cth</w:t>
      </w:r>
      <w:proofErr w:type="spellEnd"/>
      <w:r w:rsidRPr="003A3578">
        <w:t xml:space="preserve">). Information on arranging a search of the NPII can be found on the </w:t>
      </w:r>
      <w:hyperlink r:id="rId55" w:history="1">
        <w:r w:rsidRPr="00F01484">
          <w:rPr>
            <w:rStyle w:val="Hyperlink"/>
            <w:color w:val="0072CE" w:themeColor="accent1"/>
            <w:u w:val="single"/>
          </w:rPr>
          <w:t xml:space="preserve">AFSA </w:t>
        </w:r>
        <w:bookmarkStart w:id="81" w:name="_Hlt146544047"/>
        <w:bookmarkStart w:id="82" w:name="_Hlt146544048"/>
        <w:r w:rsidRPr="00F01484">
          <w:rPr>
            <w:rStyle w:val="Hyperlink"/>
            <w:color w:val="0072CE" w:themeColor="accent1"/>
            <w:u w:val="single"/>
          </w:rPr>
          <w:t>w</w:t>
        </w:r>
        <w:bookmarkEnd w:id="81"/>
        <w:bookmarkEnd w:id="82"/>
        <w:r w:rsidRPr="00F01484">
          <w:rPr>
            <w:rStyle w:val="Hyperlink"/>
            <w:color w:val="0072CE" w:themeColor="accent1"/>
            <w:u w:val="single"/>
          </w:rPr>
          <w:t>ebsite</w:t>
        </w:r>
      </w:hyperlink>
      <w:r w:rsidRPr="003A3578">
        <w:t>.</w:t>
      </w:r>
    </w:p>
    <w:p w14:paraId="77EAD50F" w14:textId="77777777" w:rsidR="005262EE" w:rsidRPr="003A3578" w:rsidRDefault="005262EE" w:rsidP="005262EE">
      <w:pPr>
        <w:pStyle w:val="DPCbody"/>
        <w:ind w:left="851"/>
      </w:pPr>
      <w:r w:rsidRPr="003A3578">
        <w:t xml:space="preserve">The </w:t>
      </w:r>
      <w:r w:rsidRPr="003A3578">
        <w:rPr>
          <w:b/>
          <w:bCs/>
        </w:rPr>
        <w:t>ASIC Register of Persons Banned and Disqualified</w:t>
      </w:r>
      <w:r w:rsidRPr="003A3578">
        <w:t xml:space="preserve"> and the </w:t>
      </w:r>
      <w:r w:rsidRPr="003A3578">
        <w:rPr>
          <w:b/>
          <w:bCs/>
        </w:rPr>
        <w:t>AFSA National Personal Insolvency Index</w:t>
      </w:r>
      <w:r w:rsidRPr="003A3578">
        <w:t xml:space="preserve"> checks can be performed online with results available immediately. </w:t>
      </w:r>
    </w:p>
    <w:p w14:paraId="06FC872E" w14:textId="77777777" w:rsidR="005262EE" w:rsidRPr="003A3578" w:rsidRDefault="005262EE" w:rsidP="005262EE">
      <w:pPr>
        <w:pStyle w:val="DPCbody"/>
        <w:ind w:left="851"/>
      </w:pPr>
      <w:r w:rsidRPr="003A3578">
        <w:t xml:space="preserve">For </w:t>
      </w:r>
      <w:r w:rsidRPr="003A3578">
        <w:rPr>
          <w:i/>
          <w:iCs/>
        </w:rPr>
        <w:t>Corporations Act 2001</w:t>
      </w:r>
      <w:r w:rsidRPr="003A3578">
        <w:t xml:space="preserve"> (</w:t>
      </w:r>
      <w:proofErr w:type="spellStart"/>
      <w:r w:rsidRPr="003A3578">
        <w:t>Cth</w:t>
      </w:r>
      <w:proofErr w:type="spellEnd"/>
      <w:r w:rsidRPr="003A3578">
        <w:t>) entities, the law does not allow an individual to be an officeholder if they are:</w:t>
      </w:r>
    </w:p>
    <w:p w14:paraId="20DAA463" w14:textId="77777777" w:rsidR="005262EE" w:rsidRPr="003A3578" w:rsidRDefault="005262EE" w:rsidP="005262EE">
      <w:pPr>
        <w:pStyle w:val="DPCbullet1"/>
        <w:numPr>
          <w:ilvl w:val="0"/>
          <w:numId w:val="21"/>
        </w:numPr>
        <w:spacing w:after="160"/>
        <w:ind w:left="1134"/>
      </w:pPr>
      <w:r w:rsidRPr="003A3578">
        <w:t>currently bankrupt;</w:t>
      </w:r>
    </w:p>
    <w:p w14:paraId="7EE13809" w14:textId="77777777" w:rsidR="005262EE" w:rsidRPr="003A3578" w:rsidRDefault="005262EE" w:rsidP="005262EE">
      <w:pPr>
        <w:pStyle w:val="DPCbullet1"/>
        <w:numPr>
          <w:ilvl w:val="0"/>
          <w:numId w:val="21"/>
        </w:numPr>
        <w:spacing w:after="160"/>
        <w:ind w:left="1134"/>
      </w:pPr>
      <w:r w:rsidRPr="003A3578">
        <w:t xml:space="preserve">subject to a personal insolvency agreement or composition under the </w:t>
      </w:r>
      <w:r w:rsidRPr="003A3578">
        <w:rPr>
          <w:i/>
          <w:iCs/>
        </w:rPr>
        <w:t>Bankruptcy Act 1966</w:t>
      </w:r>
      <w:r w:rsidRPr="003A3578">
        <w:t xml:space="preserve"> (</w:t>
      </w:r>
      <w:proofErr w:type="spellStart"/>
      <w:r w:rsidRPr="003A3578">
        <w:t>Cth</w:t>
      </w:r>
      <w:proofErr w:type="spellEnd"/>
      <w:r w:rsidRPr="003A3578">
        <w:t>); or</w:t>
      </w:r>
    </w:p>
    <w:p w14:paraId="212FBBD0" w14:textId="77777777" w:rsidR="005262EE" w:rsidRDefault="005262EE" w:rsidP="005262EE">
      <w:pPr>
        <w:pStyle w:val="DPCbullet1"/>
        <w:numPr>
          <w:ilvl w:val="0"/>
          <w:numId w:val="21"/>
        </w:numPr>
        <w:spacing w:after="160"/>
        <w:ind w:left="1134"/>
      </w:pPr>
      <w:r w:rsidRPr="003A3578">
        <w:t>have been convicted of offences like fraud or breaching duties as an officeholder.</w:t>
      </w:r>
    </w:p>
    <w:p w14:paraId="3F44EEDB" w14:textId="77777777" w:rsidR="005262EE" w:rsidRDefault="005262EE" w:rsidP="005262EE">
      <w:pPr>
        <w:pStyle w:val="Heading2"/>
      </w:pPr>
      <w:bookmarkStart w:id="83" w:name="_Toc147909840"/>
      <w:bookmarkStart w:id="84" w:name="_Toc176339450"/>
      <w:r>
        <w:t>Other background checks should also be undertaken</w:t>
      </w:r>
      <w:bookmarkEnd w:id="83"/>
      <w:bookmarkEnd w:id="84"/>
    </w:p>
    <w:p w14:paraId="528C2EA9" w14:textId="77777777" w:rsidR="005262EE" w:rsidRPr="00AB4808" w:rsidRDefault="005262EE" w:rsidP="005262EE">
      <w:pPr>
        <w:pStyle w:val="DPCbody"/>
        <w:numPr>
          <w:ilvl w:val="1"/>
          <w:numId w:val="18"/>
        </w:numPr>
        <w:ind w:left="851" w:hanging="567"/>
      </w:pPr>
      <w:r>
        <w:t xml:space="preserve">In determining </w:t>
      </w:r>
      <w:r w:rsidRPr="00AB4808">
        <w:t xml:space="preserve">the suitability of an appointee for a role, departments should also undertake a search of publicly available information to validate the information that the appointee has provided as part of the recruitment process and to ensure that there are no other sensitivities that may impact their appointment. </w:t>
      </w:r>
    </w:p>
    <w:p w14:paraId="66E6E0D5" w14:textId="77777777" w:rsidR="005262EE" w:rsidRPr="00AB4808" w:rsidRDefault="005262EE" w:rsidP="005262EE">
      <w:pPr>
        <w:pStyle w:val="DPCbody"/>
        <w:numPr>
          <w:ilvl w:val="1"/>
          <w:numId w:val="18"/>
        </w:numPr>
        <w:ind w:left="851" w:hanging="567"/>
      </w:pPr>
      <w:r w:rsidRPr="00AB4808">
        <w:t>It is recommended that search include the following:</w:t>
      </w:r>
    </w:p>
    <w:p w14:paraId="424C4A9B" w14:textId="77777777" w:rsidR="005262EE" w:rsidRPr="00AB4808" w:rsidRDefault="005262EE" w:rsidP="005262EE">
      <w:pPr>
        <w:pStyle w:val="DPCbullet1"/>
        <w:numPr>
          <w:ilvl w:val="0"/>
          <w:numId w:val="21"/>
        </w:numPr>
        <w:spacing w:after="160"/>
        <w:ind w:left="1134"/>
      </w:pPr>
      <w:r w:rsidRPr="00AB4808">
        <w:t>web search of appointee’s name</w:t>
      </w:r>
    </w:p>
    <w:p w14:paraId="03D7067C" w14:textId="77777777" w:rsidR="005262EE" w:rsidRPr="00AB4808" w:rsidRDefault="005262EE" w:rsidP="005262EE">
      <w:pPr>
        <w:pStyle w:val="DPCbullet1"/>
        <w:numPr>
          <w:ilvl w:val="0"/>
          <w:numId w:val="21"/>
        </w:numPr>
        <w:spacing w:after="160"/>
        <w:ind w:left="1134"/>
      </w:pPr>
      <w:r w:rsidRPr="00AB4808">
        <w:t>review of the appointee’s LinkedIn profile (if they have one)</w:t>
      </w:r>
    </w:p>
    <w:p w14:paraId="6B208548" w14:textId="77777777" w:rsidR="005262EE" w:rsidRPr="00AB4808" w:rsidRDefault="005262EE" w:rsidP="005262EE">
      <w:pPr>
        <w:pStyle w:val="DPCbullet1"/>
        <w:numPr>
          <w:ilvl w:val="0"/>
          <w:numId w:val="21"/>
        </w:numPr>
        <w:spacing w:after="160"/>
        <w:ind w:left="1134"/>
      </w:pPr>
      <w:r w:rsidRPr="00AB4808">
        <w:t>search of appointee’s name in media publications.</w:t>
      </w:r>
    </w:p>
    <w:p w14:paraId="59A60AE0" w14:textId="77777777" w:rsidR="005262EE" w:rsidRPr="003A3578" w:rsidRDefault="005262EE" w:rsidP="005262EE">
      <w:pPr>
        <w:pStyle w:val="DPCbody"/>
        <w:numPr>
          <w:ilvl w:val="1"/>
          <w:numId w:val="18"/>
        </w:numPr>
        <w:ind w:left="851" w:hanging="567"/>
      </w:pPr>
      <w:r w:rsidRPr="00AB4808">
        <w:t xml:space="preserve">Departments should also check if an appointee is registered on the </w:t>
      </w:r>
      <w:hyperlink r:id="rId56" w:history="1">
        <w:r w:rsidRPr="00BD255A">
          <w:rPr>
            <w:rStyle w:val="Hyperlink"/>
            <w:color w:val="0072CE" w:themeColor="accent1"/>
            <w:u w:val="single"/>
          </w:rPr>
          <w:t>Register of Lobbyists</w:t>
        </w:r>
      </w:hyperlink>
      <w:r w:rsidRPr="00AB4808">
        <w:t xml:space="preserve"> or the </w:t>
      </w:r>
      <w:hyperlink r:id="rId57" w:history="1">
        <w:r w:rsidRPr="00BD255A">
          <w:rPr>
            <w:rStyle w:val="Hyperlink"/>
            <w:color w:val="0072CE" w:themeColor="accent1"/>
            <w:u w:val="single"/>
          </w:rPr>
          <w:t>Register of Government Aff</w:t>
        </w:r>
        <w:bookmarkStart w:id="85" w:name="_Hlt146544025"/>
        <w:bookmarkStart w:id="86" w:name="_Hlt146544026"/>
        <w:r w:rsidRPr="00BD255A">
          <w:rPr>
            <w:rStyle w:val="Hyperlink"/>
            <w:color w:val="0072CE" w:themeColor="accent1"/>
            <w:u w:val="single"/>
          </w:rPr>
          <w:t>a</w:t>
        </w:r>
        <w:bookmarkEnd w:id="85"/>
        <w:bookmarkEnd w:id="86"/>
        <w:r w:rsidRPr="00BD255A">
          <w:rPr>
            <w:rStyle w:val="Hyperlink"/>
            <w:color w:val="0072CE" w:themeColor="accent1"/>
            <w:u w:val="single"/>
          </w:rPr>
          <w:t>irs Directors</w:t>
        </w:r>
      </w:hyperlink>
      <w:r w:rsidRPr="00AB4808">
        <w:rPr>
          <w:u w:val="dotted"/>
        </w:rPr>
        <w:t>.</w:t>
      </w:r>
      <w:r w:rsidRPr="00AB4808">
        <w:t xml:space="preserve"> The </w:t>
      </w:r>
      <w:hyperlink r:id="rId58" w:history="1">
        <w:r w:rsidRPr="00BD255A">
          <w:rPr>
            <w:rStyle w:val="Hyperlink"/>
            <w:color w:val="0072CE" w:themeColor="accent1"/>
            <w:u w:val="single"/>
          </w:rPr>
          <w:t>Lobbyist Code of Conduct</w:t>
        </w:r>
      </w:hyperlink>
      <w:r w:rsidRPr="00AB4808">
        <w:t xml:space="preserve"> contains specific obligations for lobbyists or Government Affairs Directors who are appointees to a government board or committee.</w:t>
      </w:r>
    </w:p>
    <w:p w14:paraId="51FC069F" w14:textId="77777777" w:rsidR="005262EE" w:rsidRDefault="005262EE" w:rsidP="002B41AB">
      <w:pPr>
        <w:pStyle w:val="Heading2"/>
        <w:keepNext/>
      </w:pPr>
      <w:bookmarkStart w:id="87" w:name="_Toc147909841"/>
      <w:bookmarkStart w:id="88" w:name="_Toc176339451"/>
      <w:r>
        <w:lastRenderedPageBreak/>
        <w:t>Management of conflicts must inform the appointment</w:t>
      </w:r>
      <w:bookmarkEnd w:id="87"/>
      <w:bookmarkEnd w:id="88"/>
    </w:p>
    <w:p w14:paraId="4C96D408" w14:textId="77777777" w:rsidR="005262EE" w:rsidRPr="00AB4808" w:rsidRDefault="005262EE" w:rsidP="005262EE">
      <w:pPr>
        <w:pStyle w:val="DPCbody"/>
        <w:numPr>
          <w:ilvl w:val="1"/>
          <w:numId w:val="18"/>
        </w:numPr>
        <w:ind w:left="851" w:hanging="567"/>
      </w:pPr>
      <w:r>
        <w:t xml:space="preserve">A Declaration of Private Interests (DOPI) must be </w:t>
      </w:r>
      <w:r w:rsidRPr="00AB4808">
        <w:t>made by all appointees:</w:t>
      </w:r>
    </w:p>
    <w:p w14:paraId="515121AE" w14:textId="77777777" w:rsidR="005262EE" w:rsidRPr="00AB4808" w:rsidRDefault="005262EE" w:rsidP="005262EE">
      <w:pPr>
        <w:pStyle w:val="DPCbullet1"/>
        <w:numPr>
          <w:ilvl w:val="0"/>
          <w:numId w:val="21"/>
        </w:numPr>
        <w:spacing w:after="160"/>
        <w:ind w:left="1134"/>
      </w:pPr>
      <w:r w:rsidRPr="00AB4808">
        <w:t>before initial appointment</w:t>
      </w:r>
      <w:r w:rsidRPr="00AB4808">
        <w:rPr>
          <w:vertAlign w:val="superscript"/>
        </w:rPr>
        <w:footnoteReference w:id="3"/>
      </w:r>
    </w:p>
    <w:p w14:paraId="3085E3D5" w14:textId="77777777" w:rsidR="005262EE" w:rsidRPr="00AB4808" w:rsidRDefault="005262EE" w:rsidP="005262EE">
      <w:pPr>
        <w:pStyle w:val="DPCbullet1"/>
        <w:numPr>
          <w:ilvl w:val="0"/>
          <w:numId w:val="21"/>
        </w:numPr>
        <w:spacing w:after="160"/>
        <w:ind w:left="1134"/>
      </w:pPr>
      <w:r w:rsidRPr="00AB4808">
        <w:t>if reappointed</w:t>
      </w:r>
    </w:p>
    <w:p w14:paraId="1B823122" w14:textId="77777777" w:rsidR="005262EE" w:rsidRPr="00AB4808" w:rsidRDefault="005262EE" w:rsidP="005262EE">
      <w:pPr>
        <w:pStyle w:val="DPCbullet1"/>
        <w:numPr>
          <w:ilvl w:val="0"/>
          <w:numId w:val="21"/>
        </w:numPr>
        <w:spacing w:after="160"/>
        <w:ind w:left="1134"/>
      </w:pPr>
      <w:r w:rsidRPr="00AB4808">
        <w:t>annually during the term of the appointment</w:t>
      </w:r>
    </w:p>
    <w:p w14:paraId="6CA39527" w14:textId="77777777" w:rsidR="005262EE" w:rsidRPr="00AB4808" w:rsidRDefault="005262EE" w:rsidP="005262EE">
      <w:pPr>
        <w:pStyle w:val="DPCbullet1"/>
        <w:numPr>
          <w:ilvl w:val="0"/>
          <w:numId w:val="21"/>
        </w:numPr>
        <w:spacing w:after="160"/>
        <w:ind w:left="1134"/>
      </w:pPr>
      <w:r w:rsidRPr="00AB4808">
        <w:t>if there is a material change in the appointee’s interests (including a change in their substantive employment or if they are appointed to an additional Victorian government board).</w:t>
      </w:r>
    </w:p>
    <w:p w14:paraId="5A9DF506" w14:textId="77777777" w:rsidR="005262EE" w:rsidRPr="006859AB" w:rsidRDefault="005262EE" w:rsidP="005262EE">
      <w:pPr>
        <w:pStyle w:val="DPCbody"/>
        <w:numPr>
          <w:ilvl w:val="1"/>
          <w:numId w:val="18"/>
        </w:numPr>
        <w:ind w:left="851" w:hanging="567"/>
        <w:rPr>
          <w:rStyle w:val="Hyperlink"/>
        </w:rPr>
      </w:pPr>
      <w:r w:rsidRPr="00AB4808">
        <w:t xml:space="preserve">The DOPI is used to identify real or perceived conflicts of interest that could present a significant risk to the operation of the board or entity. Departments may prepare and use their own DOPI templates, noting that they must still address the same topics in the </w:t>
      </w:r>
      <w:r>
        <w:fldChar w:fldCharType="begin"/>
      </w:r>
      <w:r>
        <w:instrText xml:space="preserve"> HYPERLINK "https://www.vic.gov.au/guidelines-appointment-remuneration" </w:instrText>
      </w:r>
      <w:r>
        <w:fldChar w:fldCharType="separate"/>
      </w:r>
      <w:r w:rsidRPr="00BD255A">
        <w:rPr>
          <w:rStyle w:val="Hyperlink"/>
          <w:color w:val="0072CE" w:themeColor="accent1"/>
          <w:u w:val="single"/>
        </w:rPr>
        <w:t>DPC te</w:t>
      </w:r>
      <w:bookmarkStart w:id="89" w:name="_Hlt146544012"/>
      <w:bookmarkStart w:id="90" w:name="_Hlt146544013"/>
      <w:r w:rsidRPr="00BD255A">
        <w:rPr>
          <w:rStyle w:val="Hyperlink"/>
          <w:color w:val="0072CE" w:themeColor="accent1"/>
          <w:u w:val="single"/>
        </w:rPr>
        <w:t>m</w:t>
      </w:r>
      <w:bookmarkEnd w:id="89"/>
      <w:bookmarkEnd w:id="90"/>
      <w:r w:rsidRPr="00BD255A">
        <w:rPr>
          <w:rStyle w:val="Hyperlink"/>
          <w:color w:val="0072CE" w:themeColor="accent1"/>
          <w:u w:val="single"/>
        </w:rPr>
        <w:t>plate DOPI</w:t>
      </w:r>
      <w:r w:rsidRPr="006859AB">
        <w:rPr>
          <w:rStyle w:val="Hyperlink"/>
        </w:rPr>
        <w:t>.</w:t>
      </w:r>
    </w:p>
    <w:p w14:paraId="78CDCAC2" w14:textId="77777777" w:rsidR="005262EE" w:rsidRDefault="005262EE" w:rsidP="005262EE">
      <w:pPr>
        <w:pStyle w:val="DPCbody"/>
        <w:numPr>
          <w:ilvl w:val="1"/>
          <w:numId w:val="18"/>
        </w:numPr>
        <w:ind w:left="851" w:hanging="567"/>
      </w:pPr>
      <w:r>
        <w:fldChar w:fldCharType="end"/>
      </w:r>
      <w:r w:rsidRPr="00AB4808">
        <w:t>Appointments and reappointments are contingent on candidates completing a DOPI, including a conflict management plan for any relevant conflicts, to the satisfaction of the minister. The department briefing the minister on the appointment is responsible for reviewing and identifying any real or perceived conflicts of interest based on their understanding of the appointee’s proposed role and assessing the adequacy of the conflict management plan. The department should brief the minister on any proposed conflict management plan.</w:t>
      </w:r>
    </w:p>
    <w:p w14:paraId="09E85DAE" w14:textId="77777777" w:rsidR="005262EE" w:rsidRDefault="005262EE" w:rsidP="005262EE">
      <w:pPr>
        <w:pStyle w:val="Heading2"/>
      </w:pPr>
      <w:bookmarkStart w:id="91" w:name="_Toc147909842"/>
      <w:bookmarkStart w:id="92" w:name="_Toc176339452"/>
      <w:r>
        <w:t>Waivers and exceptions</w:t>
      </w:r>
      <w:bookmarkEnd w:id="91"/>
      <w:bookmarkEnd w:id="92"/>
    </w:p>
    <w:p w14:paraId="325E9096" w14:textId="77777777" w:rsidR="005262EE" w:rsidRDefault="005262EE" w:rsidP="005262EE">
      <w:pPr>
        <w:pStyle w:val="Heading3"/>
        <w:rPr>
          <w:b w:val="0"/>
          <w:bCs/>
          <w:sz w:val="28"/>
          <w:szCs w:val="28"/>
        </w:rPr>
      </w:pPr>
      <w:bookmarkStart w:id="93" w:name="_Toc147909843"/>
      <w:bookmarkStart w:id="94" w:name="_Toc176339453"/>
      <w:r w:rsidRPr="00AB4808">
        <w:t>Ex-officio appointments</w:t>
      </w:r>
      <w:bookmarkEnd w:id="93"/>
      <w:bookmarkEnd w:id="94"/>
    </w:p>
    <w:p w14:paraId="70DDA30E" w14:textId="77777777" w:rsidR="005262EE" w:rsidRPr="00AB4808" w:rsidRDefault="005262EE" w:rsidP="005262EE">
      <w:pPr>
        <w:pStyle w:val="DPCbody"/>
        <w:numPr>
          <w:ilvl w:val="1"/>
          <w:numId w:val="18"/>
        </w:numPr>
        <w:ind w:left="851" w:hanging="567"/>
      </w:pPr>
      <w:r>
        <w:t xml:space="preserve">Where members are appointed </w:t>
      </w:r>
      <w:r w:rsidRPr="00AB4808">
        <w:t xml:space="preserve">due to holding another office or position (generally a requirement in statute or terms of reference), the member is appointed on an ex-officio basis. </w:t>
      </w:r>
    </w:p>
    <w:p w14:paraId="01C544C1" w14:textId="77777777" w:rsidR="005262EE" w:rsidRDefault="005262EE" w:rsidP="005262EE">
      <w:pPr>
        <w:pStyle w:val="DPCbody"/>
        <w:numPr>
          <w:ilvl w:val="1"/>
          <w:numId w:val="18"/>
        </w:numPr>
        <w:ind w:left="851" w:hanging="567"/>
      </w:pPr>
      <w:r w:rsidRPr="00AB4808">
        <w:t>Probity checks and a DOPI are not required if a public sector employee is a member of an entity in an ex-officio capacity</w:t>
      </w:r>
      <w:r>
        <w:t>.</w:t>
      </w:r>
    </w:p>
    <w:p w14:paraId="07EB4C8D" w14:textId="77777777" w:rsidR="005262EE" w:rsidRPr="00AB4808" w:rsidRDefault="005262EE" w:rsidP="005262EE">
      <w:pPr>
        <w:pStyle w:val="Heading3"/>
        <w:rPr>
          <w:b w:val="0"/>
          <w:bCs/>
          <w:sz w:val="28"/>
          <w:szCs w:val="28"/>
        </w:rPr>
      </w:pPr>
      <w:bookmarkStart w:id="95" w:name="_Toc147909844"/>
      <w:bookmarkStart w:id="96" w:name="_Toc176339454"/>
      <w:r w:rsidRPr="00AB4808">
        <w:t>Bodies without formal decision-making responsibilities</w:t>
      </w:r>
      <w:bookmarkEnd w:id="95"/>
      <w:bookmarkEnd w:id="96"/>
    </w:p>
    <w:p w14:paraId="68E465AF" w14:textId="77777777" w:rsidR="005262EE" w:rsidRPr="00AB4808" w:rsidRDefault="005262EE" w:rsidP="005262EE">
      <w:pPr>
        <w:pStyle w:val="DPCbody"/>
        <w:numPr>
          <w:ilvl w:val="1"/>
          <w:numId w:val="18"/>
        </w:numPr>
        <w:ind w:left="851" w:hanging="567"/>
      </w:pPr>
      <w:r>
        <w:t xml:space="preserve">On occasion, ministers may </w:t>
      </w:r>
      <w:r w:rsidRPr="00AB4808">
        <w:t xml:space="preserve">approve the waiver of probity checks and a DOPI for appointments to entities without formal decision-making responsibilities over policy, service delivery or public funds. To enable ministers to make this decision, departments must brief the minister on reasons why probity checks need not been undertaken. </w:t>
      </w:r>
    </w:p>
    <w:p w14:paraId="1D1DDEB5" w14:textId="77777777" w:rsidR="005262EE" w:rsidRDefault="005262EE" w:rsidP="005262EE">
      <w:pPr>
        <w:pStyle w:val="DPCbody"/>
        <w:numPr>
          <w:ilvl w:val="1"/>
          <w:numId w:val="18"/>
        </w:numPr>
        <w:ind w:left="851" w:hanging="567"/>
      </w:pPr>
      <w:r w:rsidRPr="00AB4808">
        <w:lastRenderedPageBreak/>
        <w:t>If the appointment also requires consideration by Cabinet, the submission must state why the minister has determined that some (or all) of the necessary probity checks were not undertaken and/or why a DOPI is not required.</w:t>
      </w:r>
    </w:p>
    <w:p w14:paraId="1DF57EC7" w14:textId="77777777" w:rsidR="005262EE" w:rsidRPr="00AB4808" w:rsidRDefault="005262EE" w:rsidP="005262EE">
      <w:pPr>
        <w:pStyle w:val="Heading3"/>
        <w:rPr>
          <w:b w:val="0"/>
          <w:bCs/>
          <w:sz w:val="28"/>
          <w:szCs w:val="28"/>
        </w:rPr>
      </w:pPr>
      <w:bookmarkStart w:id="97" w:name="_Toc147909845"/>
      <w:bookmarkStart w:id="98" w:name="_Toc176339455"/>
      <w:r w:rsidRPr="00AB4808">
        <w:t>Legislative requirement to appoint serving</w:t>
      </w:r>
      <w:r w:rsidRPr="00AB4808">
        <w:rPr>
          <w:sz w:val="28"/>
          <w:szCs w:val="28"/>
        </w:rPr>
        <w:t xml:space="preserve"> </w:t>
      </w:r>
      <w:r w:rsidRPr="00CC75CF">
        <w:t>judges in an ex-officio capacity from the Supreme, County or Magistrate’s Court</w:t>
      </w:r>
      <w:bookmarkEnd w:id="97"/>
      <w:bookmarkEnd w:id="98"/>
    </w:p>
    <w:p w14:paraId="6E0D5488" w14:textId="77777777" w:rsidR="005262EE" w:rsidRPr="00714D72" w:rsidRDefault="005262EE" w:rsidP="005262EE">
      <w:pPr>
        <w:pStyle w:val="DPCbody"/>
        <w:numPr>
          <w:ilvl w:val="1"/>
          <w:numId w:val="18"/>
        </w:numPr>
        <w:ind w:left="851" w:hanging="567"/>
      </w:pPr>
      <w:r w:rsidRPr="00714D72">
        <w:t>There may be occasions where a judge is appointed to a non-departmental entity, particularly for ex-officio appointments where a judge is required under legislation.</w:t>
      </w:r>
    </w:p>
    <w:p w14:paraId="1070E71C" w14:textId="77777777" w:rsidR="005262EE" w:rsidRPr="00AB4808" w:rsidRDefault="005262EE" w:rsidP="005262EE">
      <w:pPr>
        <w:pStyle w:val="DPCbody"/>
        <w:numPr>
          <w:ilvl w:val="1"/>
          <w:numId w:val="18"/>
        </w:numPr>
        <w:ind w:left="851" w:hanging="567"/>
      </w:pPr>
      <w:r>
        <w:t xml:space="preserve">The Chief </w:t>
      </w:r>
      <w:r w:rsidRPr="00AB4808">
        <w:t>Justice has pre-existing oversight of probity for judges and the appointment submission should therefore note that probity checks and a DOPI are not required.</w:t>
      </w:r>
    </w:p>
    <w:p w14:paraId="565EE0D5" w14:textId="77777777" w:rsidR="005262EE" w:rsidRPr="00AB4808" w:rsidRDefault="005262EE" w:rsidP="005262EE">
      <w:pPr>
        <w:pStyle w:val="DPCbody"/>
        <w:numPr>
          <w:ilvl w:val="1"/>
          <w:numId w:val="18"/>
        </w:numPr>
        <w:ind w:left="851" w:hanging="567"/>
      </w:pPr>
      <w:r w:rsidRPr="00AB4808">
        <w:t xml:space="preserve">In place of a DOPI, serving judges must confirm in writing to the responsible minister that he or she is not aware of any matter that would give rise to a conflict of interest in being appointed to the entity concerned. The appointment submission should note that the minister has received this written confirmation. </w:t>
      </w:r>
    </w:p>
    <w:p w14:paraId="10E4260C" w14:textId="77777777" w:rsidR="005262EE" w:rsidRDefault="005262EE" w:rsidP="005262EE">
      <w:pPr>
        <w:pStyle w:val="DPCbody"/>
        <w:numPr>
          <w:ilvl w:val="1"/>
          <w:numId w:val="18"/>
        </w:numPr>
        <w:ind w:left="851" w:hanging="567"/>
      </w:pPr>
      <w:r w:rsidRPr="00AB4808">
        <w:t>This exemption only applies to statutory appointments that require the appointee to be a serving judge. If a serving judge is nominated for appointment to a role that does not have a legislative requirement to appoint a serving judge, standard DOPI and probity requirements apply.</w:t>
      </w:r>
    </w:p>
    <w:p w14:paraId="1B944598" w14:textId="77777777" w:rsidR="005262EE" w:rsidRPr="00AB4808" w:rsidRDefault="005262EE" w:rsidP="005262EE">
      <w:pPr>
        <w:pStyle w:val="Heading3"/>
        <w:rPr>
          <w:b w:val="0"/>
          <w:bCs/>
          <w:sz w:val="28"/>
          <w:szCs w:val="28"/>
        </w:rPr>
      </w:pPr>
      <w:bookmarkStart w:id="99" w:name="_Toc147909846"/>
      <w:bookmarkStart w:id="100" w:name="_Toc176339456"/>
      <w:r w:rsidRPr="00AB4808">
        <w:t>Waiver of</w:t>
      </w:r>
      <w:r w:rsidRPr="00A542BB">
        <w:t xml:space="preserve"> National Criminal Record Check for Cemetery Trusts</w:t>
      </w:r>
      <w:bookmarkEnd w:id="99"/>
      <w:bookmarkEnd w:id="100"/>
    </w:p>
    <w:p w14:paraId="223EAAA4" w14:textId="77777777" w:rsidR="005262EE" w:rsidRPr="00AB4808" w:rsidRDefault="005262EE" w:rsidP="005262EE">
      <w:pPr>
        <w:pStyle w:val="DPCbody"/>
        <w:numPr>
          <w:ilvl w:val="1"/>
          <w:numId w:val="18"/>
        </w:numPr>
        <w:ind w:left="851" w:hanging="567"/>
      </w:pPr>
      <w:r>
        <w:t xml:space="preserve">The secretary </w:t>
      </w:r>
      <w:r w:rsidRPr="00AB4808">
        <w:t>responsible for Cemetery Trusts may approve a waiver of a National Criminal Record Check for appointments and re-appointments to unpaid Cemetery Trusts. The responsible secretary may waive this check if he or she considers that the operation or assets of the entity do not pose a significant financial or non-financial risk to the State.</w:t>
      </w:r>
    </w:p>
    <w:p w14:paraId="592527EC" w14:textId="77777777" w:rsidR="005262EE" w:rsidRPr="00AB4808" w:rsidRDefault="005262EE" w:rsidP="005262EE">
      <w:pPr>
        <w:pStyle w:val="DPCbody"/>
        <w:numPr>
          <w:ilvl w:val="1"/>
          <w:numId w:val="18"/>
        </w:numPr>
        <w:ind w:left="851" w:hanging="567"/>
      </w:pPr>
      <w:bookmarkStart w:id="101" w:name="_Ref515871764"/>
      <w:r w:rsidRPr="00AB4808">
        <w:t>If a waiver is granted to a Cemetery Trust, the circumstances for the waiver must be reviewed by the secretary at least every three years to ascertain that the criteria for granting the exemption are still valid.</w:t>
      </w:r>
      <w:bookmarkEnd w:id="101"/>
      <w:r w:rsidRPr="00AB4808">
        <w:t xml:space="preserve"> </w:t>
      </w:r>
    </w:p>
    <w:p w14:paraId="01797A7B" w14:textId="77777777" w:rsidR="005262EE" w:rsidRDefault="005262EE" w:rsidP="005262EE">
      <w:pPr>
        <w:pStyle w:val="DPCbody"/>
        <w:numPr>
          <w:ilvl w:val="1"/>
          <w:numId w:val="18"/>
        </w:numPr>
        <w:ind w:left="851" w:hanging="567"/>
      </w:pPr>
      <w:bookmarkStart w:id="102" w:name="_Ref515871799"/>
      <w:r w:rsidRPr="00AB4808">
        <w:t xml:space="preserve">The discretion to waive the National Criminal Record Check does not extend to any </w:t>
      </w:r>
      <w:r>
        <w:t xml:space="preserve">Class A Cemetery Trust as defined under section 3 of the </w:t>
      </w:r>
      <w:r>
        <w:rPr>
          <w:i/>
          <w:iCs/>
        </w:rPr>
        <w:t>Cemeteries and Crematoria Act 2003.</w:t>
      </w:r>
      <w:bookmarkEnd w:id="102"/>
    </w:p>
    <w:p w14:paraId="2C5C69D2" w14:textId="77777777" w:rsidR="005262EE" w:rsidRPr="00AB4808" w:rsidRDefault="005262EE" w:rsidP="005262EE">
      <w:pPr>
        <w:pStyle w:val="Heading3"/>
        <w:rPr>
          <w:b w:val="0"/>
          <w:bCs/>
          <w:sz w:val="28"/>
          <w:szCs w:val="28"/>
        </w:rPr>
      </w:pPr>
      <w:bookmarkStart w:id="103" w:name="_Toc147909847"/>
      <w:bookmarkStart w:id="104" w:name="_Toc176339457"/>
      <w:r w:rsidRPr="00AB4808">
        <w:t>Time-sensitive appointments</w:t>
      </w:r>
      <w:bookmarkEnd w:id="103"/>
      <w:bookmarkEnd w:id="104"/>
    </w:p>
    <w:p w14:paraId="70546C69" w14:textId="77777777" w:rsidR="005262EE" w:rsidRPr="00AB4808" w:rsidRDefault="005262EE" w:rsidP="005262EE">
      <w:pPr>
        <w:pStyle w:val="DPCbody"/>
        <w:numPr>
          <w:ilvl w:val="1"/>
          <w:numId w:val="18"/>
        </w:numPr>
        <w:ind w:left="851" w:hanging="567"/>
      </w:pPr>
      <w:r>
        <w:t xml:space="preserve">In some circumstances, the </w:t>
      </w:r>
      <w:r w:rsidRPr="00AB4808">
        <w:t>appointment process may need to be expedited. This may be the case where an incumbent appointee resigns abruptly, or where Government establishes an inquiry, taskforce, or expert panel to complete a specific task within constrained timelines. Some probity checks (particularly the National Criminal Record Check) can take some time to process, and may not be available when the appointment proceeds to the approval stage. In these circumstances, the appointment may be conditionally approved pending completion of satisfactory probity checks, noting that these checks will need to be completed prior to Governor in Council consideration (where applicable).</w:t>
      </w:r>
      <w:r w:rsidRPr="00AB4808" w:rsidDel="00D03DDC">
        <w:t xml:space="preserve"> </w:t>
      </w:r>
    </w:p>
    <w:p w14:paraId="71CFFCA7" w14:textId="77777777" w:rsidR="005262EE" w:rsidRDefault="005262EE" w:rsidP="005262EE">
      <w:pPr>
        <w:pStyle w:val="DPCbody"/>
        <w:numPr>
          <w:ilvl w:val="1"/>
          <w:numId w:val="18"/>
        </w:numPr>
        <w:ind w:left="851" w:hanging="567"/>
      </w:pPr>
      <w:r w:rsidRPr="00AB4808">
        <w:t xml:space="preserve">If considered by Cabinet, the appointment submission should provide reasons why the appointment is time-sensitive and should seek conditional approval for the </w:t>
      </w:r>
      <w:r w:rsidRPr="00AB4808">
        <w:lastRenderedPageBreak/>
        <w:t xml:space="preserve">appointment pending completion of satisfactory probity checks. </w:t>
      </w:r>
      <w:hyperlink w:anchor="_Approving_an_appointment" w:history="1">
        <w:r w:rsidRPr="00A25258">
          <w:rPr>
            <w:rStyle w:val="Hyperlink"/>
            <w:color w:val="0072CE" w:themeColor="accent1"/>
            <w:u w:val="single"/>
          </w:rPr>
          <w:t>Section 9</w:t>
        </w:r>
      </w:hyperlink>
      <w:r w:rsidRPr="00AB4808">
        <w:t xml:space="preserve"> provides further information on approval processes.</w:t>
      </w:r>
    </w:p>
    <w:p w14:paraId="531C88AE" w14:textId="77777777" w:rsidR="005262EE" w:rsidRPr="00AB4808" w:rsidRDefault="005262EE" w:rsidP="005262EE">
      <w:pPr>
        <w:pStyle w:val="Heading3"/>
        <w:rPr>
          <w:b w:val="0"/>
          <w:bCs/>
          <w:sz w:val="28"/>
          <w:szCs w:val="28"/>
        </w:rPr>
      </w:pPr>
      <w:bookmarkStart w:id="105" w:name="_Toc147909848"/>
      <w:bookmarkStart w:id="106" w:name="_Toc176339458"/>
      <w:r w:rsidRPr="00AB4808">
        <w:t>Acting appointment</w:t>
      </w:r>
      <w:r w:rsidRPr="00AB4808">
        <w:rPr>
          <w:sz w:val="28"/>
          <w:szCs w:val="28"/>
        </w:rPr>
        <w:t>s</w:t>
      </w:r>
      <w:bookmarkEnd w:id="105"/>
      <w:bookmarkEnd w:id="106"/>
    </w:p>
    <w:p w14:paraId="08B4585A" w14:textId="77777777" w:rsidR="005262EE" w:rsidRDefault="005262EE" w:rsidP="005262EE">
      <w:pPr>
        <w:pStyle w:val="DPCbody"/>
        <w:numPr>
          <w:ilvl w:val="1"/>
          <w:numId w:val="18"/>
        </w:numPr>
        <w:ind w:left="851" w:hanging="567"/>
      </w:pPr>
      <w:r>
        <w:t xml:space="preserve">Probity checks </w:t>
      </w:r>
      <w:r w:rsidRPr="00AB4808">
        <w:t>are not required where an existing member of the board acts in another board position, for example, where a Deputy Chair acts as the Chair.</w:t>
      </w:r>
    </w:p>
    <w:p w14:paraId="32BC7F2E" w14:textId="52E56664" w:rsidR="00C47404" w:rsidRDefault="00C47404">
      <w:pPr>
        <w:rPr>
          <w:b/>
          <w:color w:val="595959" w:themeColor="text1" w:themeTint="A6"/>
          <w:sz w:val="28"/>
        </w:rPr>
      </w:pPr>
      <w:r>
        <w:br w:type="page"/>
      </w:r>
    </w:p>
    <w:p w14:paraId="6E376D0D" w14:textId="77777777" w:rsidR="00750859" w:rsidRDefault="00750859" w:rsidP="0017470B">
      <w:pPr>
        <w:pStyle w:val="Heading1"/>
        <w:numPr>
          <w:ilvl w:val="0"/>
          <w:numId w:val="18"/>
        </w:numPr>
        <w:ind w:left="851" w:hanging="567"/>
      </w:pPr>
      <w:bookmarkStart w:id="107" w:name="_Toc147909849"/>
      <w:bookmarkStart w:id="108" w:name="_Toc176339459"/>
      <w:r>
        <w:lastRenderedPageBreak/>
        <w:t xml:space="preserve">Board appointments should be </w:t>
      </w:r>
      <w:r w:rsidRPr="00AB4808">
        <w:t>remunerated in accordance with the relevant classification for the board</w:t>
      </w:r>
      <w:bookmarkEnd w:id="107"/>
      <w:bookmarkEnd w:id="108"/>
    </w:p>
    <w:p w14:paraId="235E3854" w14:textId="77777777" w:rsidR="00713A0A" w:rsidRPr="003B5101" w:rsidRDefault="00713A0A" w:rsidP="00713A0A">
      <w:pPr>
        <w:pStyle w:val="DPCbody"/>
        <w:numPr>
          <w:ilvl w:val="1"/>
          <w:numId w:val="18"/>
        </w:numPr>
        <w:ind w:left="851" w:hanging="567"/>
      </w:pPr>
      <w:r w:rsidRPr="003B5101">
        <w:t xml:space="preserve">Each board must be classified into one of the four Groups (A, B, C or D) outlined in the schedules to the Guidelines. Group A include major commercial boards of Corporations Act entities. Group B include significant industry or Government advisory bodies and quasi-judicial tribunals. Group C include advisory committees, registration boards and management boards of smaller organisations. Group D entities are for Government Inquiries. </w:t>
      </w:r>
    </w:p>
    <w:p w14:paraId="70A3AEBA" w14:textId="77777777" w:rsidR="00713A0A" w:rsidRPr="00AB4808" w:rsidRDefault="00713A0A" w:rsidP="00713A0A">
      <w:pPr>
        <w:pStyle w:val="DPCbody"/>
        <w:numPr>
          <w:ilvl w:val="1"/>
          <w:numId w:val="18"/>
        </w:numPr>
        <w:ind w:left="851" w:hanging="567"/>
      </w:pPr>
      <w:r w:rsidRPr="00AB4808">
        <w:t xml:space="preserve">The classification of an entity determines the level of remuneration and the approval process required for appointments. Departments should retain records of the classification of their portfolio entities. Classifications of existing entities can be found at </w:t>
      </w:r>
      <w:hyperlink r:id="rId59" w:history="1">
        <w:r w:rsidRPr="00247F93">
          <w:rPr>
            <w:rStyle w:val="Hyperlink"/>
            <w:color w:val="0072CE" w:themeColor="accent1"/>
            <w:u w:val="single"/>
          </w:rPr>
          <w:t>p</w:t>
        </w:r>
        <w:bookmarkStart w:id="109" w:name="_Hlt146543990"/>
        <w:bookmarkStart w:id="110" w:name="_Hlt146543991"/>
        <w:r w:rsidRPr="00247F93">
          <w:rPr>
            <w:rStyle w:val="Hyperlink"/>
            <w:color w:val="0072CE" w:themeColor="accent1"/>
            <w:u w:val="single"/>
          </w:rPr>
          <w:t>u</w:t>
        </w:r>
        <w:bookmarkEnd w:id="109"/>
        <w:bookmarkEnd w:id="110"/>
        <w:r w:rsidRPr="00247F93">
          <w:rPr>
            <w:rStyle w:val="Hyperlink"/>
            <w:color w:val="0072CE" w:themeColor="accent1"/>
            <w:u w:val="single"/>
          </w:rPr>
          <w:t>blic board appointments Victoria</w:t>
        </w:r>
      </w:hyperlink>
      <w:r w:rsidRPr="00AB4808">
        <w:t xml:space="preserve">. </w:t>
      </w:r>
    </w:p>
    <w:p w14:paraId="527308F6" w14:textId="77777777" w:rsidR="00713A0A" w:rsidRPr="00AB4808" w:rsidRDefault="00713A0A" w:rsidP="00713A0A">
      <w:pPr>
        <w:pStyle w:val="DPCbody"/>
        <w:numPr>
          <w:ilvl w:val="1"/>
          <w:numId w:val="18"/>
        </w:numPr>
        <w:ind w:left="851" w:hanging="567"/>
      </w:pPr>
      <w:r w:rsidRPr="00AB4808">
        <w:t>Ministers are responsible for classifying and reclassifying (where required) the entities within their portfolio. However, Governance Branch, DPC, must be consulted when determining the proposed classification or reclassification for all entities. Any remuneration change resulting from the reclassification of a board must be endorsed by Cabinet and/or minister and Governor-in-Council (where required) before any increased payment is made.</w:t>
      </w:r>
    </w:p>
    <w:p w14:paraId="222B94B8" w14:textId="77777777" w:rsidR="00713A0A" w:rsidRPr="00AB4808" w:rsidRDefault="00713A0A" w:rsidP="00713A0A">
      <w:pPr>
        <w:pStyle w:val="DPCbody"/>
        <w:numPr>
          <w:ilvl w:val="1"/>
          <w:numId w:val="18"/>
        </w:numPr>
        <w:ind w:left="851" w:hanging="567"/>
      </w:pPr>
      <w:r w:rsidRPr="00AB4808">
        <w:t>Within each of the Schedules outlined below there are bands of remuneration. Ministers determine the level of remuneration from within the specified bands. When setting remuneration levels within the band, consideration should be given to:</w:t>
      </w:r>
    </w:p>
    <w:p w14:paraId="7CF51807" w14:textId="77777777" w:rsidR="00713A0A" w:rsidRPr="00AB4808" w:rsidRDefault="00713A0A" w:rsidP="00713A0A">
      <w:pPr>
        <w:pStyle w:val="DPCbullet1"/>
        <w:numPr>
          <w:ilvl w:val="0"/>
          <w:numId w:val="21"/>
        </w:numPr>
        <w:spacing w:after="160"/>
        <w:ind w:left="1134"/>
      </w:pPr>
      <w:r w:rsidRPr="00AB4808">
        <w:t xml:space="preserve">the nature of the work: whether it is complex, multifaceted and whether the board may be required to direct significant organisational change. </w:t>
      </w:r>
    </w:p>
    <w:p w14:paraId="61A7C5CB" w14:textId="77777777" w:rsidR="00713A0A" w:rsidRDefault="00713A0A" w:rsidP="00713A0A">
      <w:pPr>
        <w:pStyle w:val="DPCbullet1"/>
        <w:numPr>
          <w:ilvl w:val="0"/>
          <w:numId w:val="21"/>
        </w:numPr>
        <w:spacing w:after="160"/>
        <w:ind w:left="1134"/>
      </w:pPr>
      <w:r w:rsidRPr="00AB4808">
        <w:t>the degree of risk and profile of the board, including:</w:t>
      </w:r>
    </w:p>
    <w:p w14:paraId="7C5BE352" w14:textId="77777777" w:rsidR="00713A0A" w:rsidRDefault="00713A0A" w:rsidP="00713A0A">
      <w:pPr>
        <w:pStyle w:val="DPCbullet2"/>
        <w:numPr>
          <w:ilvl w:val="1"/>
          <w:numId w:val="21"/>
        </w:numPr>
        <w:spacing w:after="160"/>
        <w:ind w:left="1418" w:hanging="284"/>
      </w:pPr>
      <w:r>
        <w:t xml:space="preserve">whether there is </w:t>
      </w:r>
      <w:r w:rsidRPr="00AB4808">
        <w:t>personal risk in both financial terms and personal reputation</w:t>
      </w:r>
    </w:p>
    <w:p w14:paraId="6C2CB42D" w14:textId="77777777" w:rsidR="00713A0A" w:rsidRDefault="00713A0A" w:rsidP="00713A0A">
      <w:pPr>
        <w:pStyle w:val="DPCbullet2"/>
        <w:numPr>
          <w:ilvl w:val="1"/>
          <w:numId w:val="21"/>
        </w:numPr>
        <w:spacing w:after="160"/>
        <w:ind w:left="1418" w:hanging="284"/>
      </w:pPr>
      <w:r>
        <w:t xml:space="preserve">the degree of </w:t>
      </w:r>
      <w:r w:rsidRPr="00AB4808">
        <w:t>accountability and responsibility</w:t>
      </w:r>
    </w:p>
    <w:p w14:paraId="0A091810" w14:textId="77777777" w:rsidR="00713A0A" w:rsidRPr="00AB4808" w:rsidRDefault="00713A0A" w:rsidP="00713A0A">
      <w:pPr>
        <w:pStyle w:val="DPCbullet2"/>
        <w:numPr>
          <w:ilvl w:val="1"/>
          <w:numId w:val="21"/>
        </w:numPr>
        <w:spacing w:after="160"/>
        <w:ind w:left="1418" w:hanging="284"/>
      </w:pPr>
      <w:r>
        <w:t xml:space="preserve">whether </w:t>
      </w:r>
      <w:r w:rsidRPr="00AB4808">
        <w:t>the board independently sets long term strategies and policies and has final authority to decide all strategic and operational directions</w:t>
      </w:r>
    </w:p>
    <w:p w14:paraId="19ECDF14" w14:textId="77777777" w:rsidR="00713A0A" w:rsidRDefault="00713A0A" w:rsidP="00713A0A">
      <w:pPr>
        <w:pStyle w:val="DPCbullet2"/>
        <w:numPr>
          <w:ilvl w:val="1"/>
          <w:numId w:val="21"/>
        </w:numPr>
        <w:spacing w:after="160"/>
        <w:ind w:left="1418" w:hanging="284"/>
      </w:pPr>
      <w:r>
        <w:t>w</w:t>
      </w:r>
      <w:r w:rsidRPr="00AB4808">
        <w:t>hether decisions have a major impact on long term organisational performance and will influence the public perception of government</w:t>
      </w:r>
      <w:r>
        <w:t>.</w:t>
      </w:r>
    </w:p>
    <w:p w14:paraId="2F36BDC3" w14:textId="77777777" w:rsidR="00713A0A" w:rsidRPr="00AB4808" w:rsidRDefault="00713A0A" w:rsidP="00713A0A">
      <w:pPr>
        <w:pStyle w:val="DPCbullet1"/>
        <w:numPr>
          <w:ilvl w:val="0"/>
          <w:numId w:val="21"/>
        </w:numPr>
        <w:spacing w:after="160"/>
        <w:ind w:left="1134"/>
      </w:pPr>
      <w:r>
        <w:t xml:space="preserve">the degree </w:t>
      </w:r>
      <w:r w:rsidRPr="00AB4808">
        <w:t>of fiscal responsibility, current economic conditions and relevant financial considerations</w:t>
      </w:r>
    </w:p>
    <w:p w14:paraId="621A9DDB" w14:textId="77777777" w:rsidR="00713A0A" w:rsidRDefault="00713A0A" w:rsidP="00713A0A">
      <w:pPr>
        <w:pStyle w:val="DPCbullet1"/>
        <w:numPr>
          <w:ilvl w:val="0"/>
          <w:numId w:val="21"/>
        </w:numPr>
        <w:spacing w:after="160"/>
        <w:ind w:left="1134"/>
      </w:pPr>
      <w:r w:rsidRPr="00AB4808">
        <w:t>the skills and experience of the appointee: whether extensive commercial experience or other expert knowledge is required</w:t>
      </w:r>
    </w:p>
    <w:p w14:paraId="3226C75B" w14:textId="77777777" w:rsidR="00713A0A" w:rsidRPr="00714D72" w:rsidRDefault="00713A0A" w:rsidP="00713A0A">
      <w:pPr>
        <w:pStyle w:val="DPCbullet1"/>
        <w:numPr>
          <w:ilvl w:val="0"/>
          <w:numId w:val="21"/>
        </w:numPr>
        <w:spacing w:after="160"/>
        <w:ind w:left="1134"/>
      </w:pPr>
      <w:bookmarkStart w:id="111" w:name="_Hlk105504454"/>
      <w:r w:rsidRPr="00714D72">
        <w:t>a commitment to gender equality and closing the gender pay gap.</w:t>
      </w:r>
    </w:p>
    <w:p w14:paraId="14BABE03" w14:textId="77777777" w:rsidR="00713A0A" w:rsidRDefault="00713A0A" w:rsidP="00713A0A">
      <w:pPr>
        <w:pStyle w:val="Heading2"/>
      </w:pPr>
      <w:bookmarkStart w:id="112" w:name="_Toc147909850"/>
      <w:bookmarkStart w:id="113" w:name="_Toc176339460"/>
      <w:bookmarkEnd w:id="111"/>
      <w:r>
        <w:lastRenderedPageBreak/>
        <w:t>Boards with governance responsibilities should be paid remuneration as a default position</w:t>
      </w:r>
      <w:bookmarkEnd w:id="112"/>
      <w:bookmarkEnd w:id="113"/>
    </w:p>
    <w:p w14:paraId="5B18254C" w14:textId="77777777" w:rsidR="00713A0A" w:rsidRDefault="00713A0A" w:rsidP="00713A0A">
      <w:pPr>
        <w:pStyle w:val="DPCbody"/>
        <w:numPr>
          <w:ilvl w:val="1"/>
          <w:numId w:val="18"/>
        </w:numPr>
        <w:ind w:left="1425"/>
      </w:pPr>
      <w:r>
        <w:t>Subject to any legislative or constitutional requirements, it is generally within Ministers’ discretion to set remuneration, including choosing to not pay any remuneration. However, not paying board members who are appointed in their personal capacity may be a barrier to attracting a diverse pool of qualified candidates and may not align with the accountability and professionalism expected of government boards.</w:t>
      </w:r>
    </w:p>
    <w:p w14:paraId="485BB4E4" w14:textId="77777777" w:rsidR="00713A0A" w:rsidRDefault="00713A0A" w:rsidP="00713A0A">
      <w:pPr>
        <w:pStyle w:val="DPCbody"/>
        <w:numPr>
          <w:ilvl w:val="1"/>
          <w:numId w:val="18"/>
        </w:numPr>
        <w:ind w:left="1425"/>
      </w:pPr>
      <w:r>
        <w:t>As a default position, boards with governance responsibilities should be paid remuneration within their relevant classification. This reflects the significant responsibilities that such boards have in the stewardship and oversight of government entities. The default position does not apply to:</w:t>
      </w:r>
    </w:p>
    <w:p w14:paraId="01377855" w14:textId="77777777" w:rsidR="00713A0A" w:rsidRDefault="00713A0A" w:rsidP="00713A0A">
      <w:pPr>
        <w:pStyle w:val="DPCbody"/>
        <w:numPr>
          <w:ilvl w:val="0"/>
          <w:numId w:val="28"/>
        </w:numPr>
      </w:pPr>
      <w:r>
        <w:t>small Crown land committees of management</w:t>
      </w:r>
    </w:p>
    <w:p w14:paraId="480FFEC3" w14:textId="77777777" w:rsidR="00713A0A" w:rsidRDefault="00713A0A" w:rsidP="00713A0A">
      <w:pPr>
        <w:pStyle w:val="DPCbody"/>
        <w:numPr>
          <w:ilvl w:val="0"/>
          <w:numId w:val="28"/>
        </w:numPr>
      </w:pPr>
      <w:r>
        <w:t>small cemetery trusts; and</w:t>
      </w:r>
    </w:p>
    <w:p w14:paraId="28AD6D49" w14:textId="77777777" w:rsidR="00713A0A" w:rsidRDefault="00713A0A" w:rsidP="00713A0A">
      <w:pPr>
        <w:pStyle w:val="DPCbody"/>
        <w:numPr>
          <w:ilvl w:val="0"/>
          <w:numId w:val="28"/>
        </w:numPr>
      </w:pPr>
      <w:r>
        <w:t xml:space="preserve">school councils. </w:t>
      </w:r>
    </w:p>
    <w:p w14:paraId="204664C9" w14:textId="77777777" w:rsidR="00713A0A" w:rsidRDefault="00713A0A" w:rsidP="00713A0A">
      <w:pPr>
        <w:pStyle w:val="Heading2"/>
      </w:pPr>
      <w:bookmarkStart w:id="114" w:name="_Toc147909851"/>
      <w:bookmarkStart w:id="115" w:name="_Toc176339461"/>
      <w:r>
        <w:t xml:space="preserve">Members appointed </w:t>
      </w:r>
      <w:r w:rsidRPr="00AB4808">
        <w:t>to annual-fee paying Group A and B board</w:t>
      </w:r>
      <w:r>
        <w:t>s</w:t>
      </w:r>
      <w:r w:rsidRPr="00AB4808">
        <w:t xml:space="preserve"> may be compensated for intensive work on board sub-committees</w:t>
      </w:r>
      <w:bookmarkEnd w:id="114"/>
      <w:bookmarkEnd w:id="115"/>
    </w:p>
    <w:p w14:paraId="47952FA3" w14:textId="77777777" w:rsidR="00713A0A" w:rsidRPr="00AB4808" w:rsidRDefault="00713A0A" w:rsidP="00713A0A">
      <w:pPr>
        <w:pStyle w:val="DPCbody"/>
        <w:numPr>
          <w:ilvl w:val="1"/>
          <w:numId w:val="18"/>
        </w:numPr>
        <w:ind w:left="851" w:hanging="567"/>
      </w:pPr>
      <w:r>
        <w:t xml:space="preserve">Ministers may approve </w:t>
      </w:r>
      <w:r w:rsidRPr="00AB4808">
        <w:t>additional fees to compensate members of annual-fee paying Group A and Group B boards for work on sub-committees of the board.</w:t>
      </w:r>
    </w:p>
    <w:p w14:paraId="41515808" w14:textId="77777777" w:rsidR="00713A0A" w:rsidRPr="00AB4808" w:rsidRDefault="00713A0A" w:rsidP="00713A0A">
      <w:pPr>
        <w:pStyle w:val="DPCbody"/>
        <w:numPr>
          <w:ilvl w:val="1"/>
          <w:numId w:val="18"/>
        </w:numPr>
        <w:ind w:left="851" w:hanging="567"/>
      </w:pPr>
      <w:r w:rsidRPr="00AB4808">
        <w:t>When considering providing a board with additional committee fees, ministers should assess the responsibilities, commitment required and the level of remuneration warranted by the committee work and the annual fee level paid to board members. The minister must approve payment of any additional fees.</w:t>
      </w:r>
    </w:p>
    <w:p w14:paraId="68AB003F" w14:textId="77777777" w:rsidR="00713A0A" w:rsidRDefault="00713A0A" w:rsidP="00713A0A">
      <w:pPr>
        <w:pStyle w:val="DPCbody"/>
        <w:numPr>
          <w:ilvl w:val="1"/>
          <w:numId w:val="18"/>
        </w:numPr>
        <w:ind w:left="851" w:hanging="567"/>
      </w:pPr>
      <w:r w:rsidRPr="00AB4808">
        <w:t>The approved level of fees are outlined in Schedule A and Schedule B. These fees are an absolute ceiling, regardless of the number of committees to which a board member is appointed and should be considered in the context of the annual fee level paid to board members. Generally, board members should not be involved in more than two committees in addition to their board membership.</w:t>
      </w:r>
    </w:p>
    <w:p w14:paraId="03356CD2" w14:textId="77777777" w:rsidR="00713A0A" w:rsidRDefault="00713A0A" w:rsidP="00713A0A">
      <w:pPr>
        <w:pStyle w:val="Heading2"/>
      </w:pPr>
      <w:bookmarkStart w:id="116" w:name="_Toc147909852"/>
      <w:bookmarkStart w:id="117" w:name="_Toc176339462"/>
      <w:r>
        <w:t>Daily rates – full and half day rates (most B and all C boards)</w:t>
      </w:r>
      <w:bookmarkEnd w:id="116"/>
      <w:bookmarkEnd w:id="117"/>
    </w:p>
    <w:p w14:paraId="339C7866" w14:textId="77777777" w:rsidR="00713A0A" w:rsidRPr="00AB4808" w:rsidRDefault="00713A0A" w:rsidP="00713A0A">
      <w:pPr>
        <w:pStyle w:val="DPCbody"/>
        <w:numPr>
          <w:ilvl w:val="1"/>
          <w:numId w:val="18"/>
        </w:numPr>
        <w:ind w:left="851" w:hanging="567"/>
      </w:pPr>
      <w:r>
        <w:t xml:space="preserve">Daily rates are </w:t>
      </w:r>
      <w:r w:rsidRPr="00AB4808">
        <w:t xml:space="preserve">recommended for all Group C boards and the majority of Group B boards. This is because the workload, regularity of meetings, and other board activities can vary over the course of the year. </w:t>
      </w:r>
    </w:p>
    <w:p w14:paraId="14C3BF2C" w14:textId="77777777" w:rsidR="00713A0A" w:rsidRPr="00AB4808" w:rsidRDefault="00713A0A" w:rsidP="00713A0A">
      <w:pPr>
        <w:pStyle w:val="DPCbody"/>
        <w:numPr>
          <w:ilvl w:val="1"/>
          <w:numId w:val="18"/>
        </w:numPr>
        <w:ind w:left="851" w:hanging="567"/>
      </w:pPr>
      <w:r w:rsidRPr="00AB4808">
        <w:t>The daily rate specified in the relevant Schedule is the maximum payable for official duties on a given day. Where official duties equal or exceed four hours, the maximum should be paid. Official duties of less than four hours should be paid at half the daily rate.</w:t>
      </w:r>
    </w:p>
    <w:p w14:paraId="3489A47F" w14:textId="77777777" w:rsidR="00713A0A" w:rsidRPr="00AB4808" w:rsidRDefault="00713A0A" w:rsidP="00713A0A">
      <w:pPr>
        <w:pStyle w:val="DPCbody"/>
        <w:numPr>
          <w:ilvl w:val="1"/>
          <w:numId w:val="18"/>
        </w:numPr>
        <w:ind w:left="851" w:hanging="567"/>
      </w:pPr>
      <w:r w:rsidRPr="00AB4808">
        <w:t>Daily rates are not capped at an annual maximum amount. However, departments should monitor the performance of these entities, and advise the relevant minister as required, to ensure that payment is made when the relevant duties have been performed and the remuneration structure is appropriate.</w:t>
      </w:r>
    </w:p>
    <w:p w14:paraId="1F7867BE" w14:textId="77777777" w:rsidR="00713A0A" w:rsidRDefault="00713A0A" w:rsidP="00713A0A">
      <w:pPr>
        <w:pStyle w:val="DPCbody"/>
        <w:numPr>
          <w:ilvl w:val="1"/>
          <w:numId w:val="18"/>
        </w:numPr>
        <w:ind w:left="851" w:hanging="567"/>
      </w:pPr>
      <w:r w:rsidRPr="00AB4808">
        <w:lastRenderedPageBreak/>
        <w:t>As a guide, ‘</w:t>
      </w:r>
      <w:r w:rsidRPr="00714D72">
        <w:t>official duties’</w:t>
      </w:r>
      <w:r w:rsidRPr="00AB4808">
        <w:t xml:space="preserve"> may include the following:</w:t>
      </w:r>
    </w:p>
    <w:p w14:paraId="6930A210" w14:textId="77777777" w:rsidR="00713A0A" w:rsidRPr="00AB4808" w:rsidRDefault="00713A0A" w:rsidP="00713A0A">
      <w:pPr>
        <w:pStyle w:val="DPCbullet1"/>
        <w:numPr>
          <w:ilvl w:val="0"/>
          <w:numId w:val="21"/>
        </w:numPr>
        <w:spacing w:after="160"/>
        <w:ind w:left="1134"/>
      </w:pPr>
      <w:r>
        <w:t xml:space="preserve">attendance </w:t>
      </w:r>
      <w:r w:rsidRPr="00AB4808">
        <w:t>at meetings, including official committee meetings of the board and other necessary activities, such as group site visits</w:t>
      </w:r>
    </w:p>
    <w:p w14:paraId="09C628F1" w14:textId="77777777" w:rsidR="00713A0A" w:rsidRPr="00AB4808" w:rsidRDefault="00713A0A" w:rsidP="00713A0A">
      <w:pPr>
        <w:pStyle w:val="DPCbullet1"/>
        <w:numPr>
          <w:ilvl w:val="0"/>
          <w:numId w:val="21"/>
        </w:numPr>
        <w:spacing w:after="160"/>
        <w:ind w:left="1134"/>
      </w:pPr>
      <w:r w:rsidRPr="00AB4808">
        <w:t>formal visits with industry representatives</w:t>
      </w:r>
    </w:p>
    <w:p w14:paraId="121D52F6" w14:textId="77777777" w:rsidR="00713A0A" w:rsidRPr="00AB4808" w:rsidRDefault="00713A0A" w:rsidP="00713A0A">
      <w:pPr>
        <w:pStyle w:val="DPCbullet1"/>
        <w:numPr>
          <w:ilvl w:val="0"/>
          <w:numId w:val="21"/>
        </w:numPr>
        <w:spacing w:after="160"/>
        <w:ind w:left="1134"/>
      </w:pPr>
      <w:r w:rsidRPr="00AB4808">
        <w:t>for Group B and C entities – in special circumstances, authorised by the minister, days spent on additional work directly related to the business of the body, such as preparation of reports formally commissioned for a meeting or for Government. If substantial blocks of time are involved, a separate rate should be negotiated</w:t>
      </w:r>
    </w:p>
    <w:p w14:paraId="0A045DB2" w14:textId="77777777" w:rsidR="00713A0A" w:rsidRDefault="00713A0A" w:rsidP="00713A0A">
      <w:pPr>
        <w:pStyle w:val="DPCbullet1"/>
        <w:numPr>
          <w:ilvl w:val="0"/>
          <w:numId w:val="21"/>
        </w:numPr>
        <w:spacing w:after="160"/>
        <w:ind w:left="1134"/>
      </w:pPr>
      <w:r w:rsidRPr="00AB4808">
        <w:t>for Group D entities only – days spent on work directly related to the business of the organisation</w:t>
      </w:r>
      <w:r>
        <w:t xml:space="preserve"> (i.e. </w:t>
      </w:r>
      <w:r w:rsidRPr="00AB4808">
        <w:t>preparation of reports commissioned for a meeting of the Government</w:t>
      </w:r>
      <w:r>
        <w:t>).</w:t>
      </w:r>
    </w:p>
    <w:p w14:paraId="648B1D39" w14:textId="77777777" w:rsidR="00713A0A" w:rsidRDefault="00713A0A" w:rsidP="00713A0A">
      <w:pPr>
        <w:pStyle w:val="DPCbody"/>
        <w:numPr>
          <w:ilvl w:val="1"/>
          <w:numId w:val="18"/>
        </w:numPr>
        <w:ind w:left="851" w:hanging="567"/>
      </w:pPr>
      <w:r>
        <w:t>Payment must not be made for:</w:t>
      </w:r>
    </w:p>
    <w:p w14:paraId="47ED1050" w14:textId="77777777" w:rsidR="00713A0A" w:rsidRDefault="00713A0A" w:rsidP="00713A0A">
      <w:pPr>
        <w:pStyle w:val="DPCbullet1"/>
        <w:numPr>
          <w:ilvl w:val="0"/>
          <w:numId w:val="21"/>
        </w:numPr>
        <w:spacing w:after="160"/>
        <w:ind w:left="1134"/>
      </w:pPr>
      <w:r>
        <w:t>individual research, or reports (unless authorised by the minister)</w:t>
      </w:r>
    </w:p>
    <w:p w14:paraId="6C97A986" w14:textId="77777777" w:rsidR="00713A0A" w:rsidRDefault="00713A0A" w:rsidP="00713A0A">
      <w:pPr>
        <w:pStyle w:val="DPCbullet1"/>
        <w:numPr>
          <w:ilvl w:val="0"/>
          <w:numId w:val="21"/>
        </w:numPr>
        <w:spacing w:after="160"/>
        <w:ind w:left="1134"/>
      </w:pPr>
      <w:r>
        <w:t>preparation time for meetings (as this is incorporated into the daily fee).</w:t>
      </w:r>
    </w:p>
    <w:p w14:paraId="114F5911" w14:textId="77777777" w:rsidR="00713A0A" w:rsidRPr="00714D72" w:rsidRDefault="00713A0A" w:rsidP="00713A0A">
      <w:pPr>
        <w:pStyle w:val="Heading2"/>
      </w:pPr>
      <w:bookmarkStart w:id="118" w:name="_Remuneration_levels_for"/>
      <w:bookmarkStart w:id="119" w:name="_Toc147909853"/>
      <w:bookmarkStart w:id="120" w:name="_Toc176339463"/>
      <w:bookmarkEnd w:id="118"/>
      <w:r w:rsidRPr="00714D72">
        <w:t>Remuneration levels for Group D entities are not specified in these Guidelines</w:t>
      </w:r>
      <w:bookmarkEnd w:id="119"/>
      <w:bookmarkEnd w:id="120"/>
    </w:p>
    <w:p w14:paraId="2C189D7F" w14:textId="77777777" w:rsidR="00713A0A" w:rsidRPr="00714D72" w:rsidRDefault="00713A0A" w:rsidP="00713A0A">
      <w:pPr>
        <w:pStyle w:val="DPCbody"/>
        <w:numPr>
          <w:ilvl w:val="1"/>
          <w:numId w:val="18"/>
        </w:numPr>
        <w:ind w:left="851" w:hanging="567"/>
      </w:pPr>
      <w:r w:rsidRPr="00714D72">
        <w:t>Ministers should determine the level of remuneration for Group D entities on a case-by-case basis, also giving recognition to the intensity of the workload and the expertise required.</w:t>
      </w:r>
    </w:p>
    <w:p w14:paraId="475ECD14" w14:textId="77777777" w:rsidR="00713A0A" w:rsidRDefault="00713A0A" w:rsidP="00713A0A">
      <w:pPr>
        <w:pStyle w:val="Heading2"/>
      </w:pPr>
      <w:bookmarkStart w:id="121" w:name="_Remuneration_above_the"/>
      <w:bookmarkStart w:id="122" w:name="_Toc147909854"/>
      <w:bookmarkStart w:id="123" w:name="_Toc176339464"/>
      <w:bookmarkEnd w:id="121"/>
      <w:r>
        <w:t>Remuneration above the bands</w:t>
      </w:r>
      <w:bookmarkEnd w:id="122"/>
      <w:bookmarkEnd w:id="123"/>
    </w:p>
    <w:p w14:paraId="1AEE5E19" w14:textId="77777777" w:rsidR="00713A0A" w:rsidRPr="00AB4808" w:rsidRDefault="00713A0A" w:rsidP="00713A0A">
      <w:pPr>
        <w:pStyle w:val="DPCbody"/>
        <w:numPr>
          <w:ilvl w:val="1"/>
          <w:numId w:val="18"/>
        </w:numPr>
        <w:ind w:left="851" w:hanging="567"/>
      </w:pPr>
      <w:r>
        <w:t xml:space="preserve">In rare cases, a minister </w:t>
      </w:r>
      <w:r w:rsidRPr="00AB4808">
        <w:t>may determine that an appointee should be remunerated at an amount above the specified bands. This may be if a board member is asked to adopt a quasi-executive role or take on additional responsibilities. Additionally, the minister may consider factors such as labour market pressures in the relevant industry, remuneration rates of comparable appointments, an increase in the appointee’s responsibilities (in either a temporary or ongoing capacity).</w:t>
      </w:r>
    </w:p>
    <w:p w14:paraId="459C92CA" w14:textId="77777777" w:rsidR="00713A0A" w:rsidRPr="00AB4808" w:rsidRDefault="00713A0A" w:rsidP="00713A0A">
      <w:pPr>
        <w:pStyle w:val="DPCbody"/>
        <w:numPr>
          <w:ilvl w:val="1"/>
          <w:numId w:val="18"/>
        </w:numPr>
        <w:ind w:left="851" w:hanging="567"/>
      </w:pPr>
      <w:r w:rsidRPr="00AB4808">
        <w:t>Cabinet approval is required for all proposals to remunerate an appointee above the bands. Departments should consult Governance Branch, DPC, before seeking Cabinet approval.</w:t>
      </w:r>
    </w:p>
    <w:p w14:paraId="22B82195" w14:textId="77777777" w:rsidR="00713A0A" w:rsidRDefault="00713A0A" w:rsidP="00713A0A">
      <w:pPr>
        <w:pStyle w:val="DPCbody"/>
        <w:numPr>
          <w:ilvl w:val="1"/>
          <w:numId w:val="18"/>
        </w:numPr>
        <w:ind w:left="851" w:hanging="567"/>
      </w:pPr>
      <w:r w:rsidRPr="00AB4808">
        <w:t>To ensure consistency and fairness, Cabinet submissions must provide a strong rationale for why the higher rate is considered necessary.</w:t>
      </w:r>
    </w:p>
    <w:p w14:paraId="0CED0E93" w14:textId="77777777" w:rsidR="00713A0A" w:rsidRDefault="00713A0A" w:rsidP="00713A0A">
      <w:pPr>
        <w:pStyle w:val="Heading2"/>
      </w:pPr>
      <w:bookmarkStart w:id="124" w:name="_Toc147909855"/>
      <w:bookmarkStart w:id="125" w:name="_Toc176339465"/>
      <w:r>
        <w:t>Th</w:t>
      </w:r>
      <w:r w:rsidRPr="006B7197">
        <w:t>ere is no separate scale of fees for Deputy Chairs</w:t>
      </w:r>
      <w:bookmarkEnd w:id="124"/>
      <w:bookmarkEnd w:id="125"/>
    </w:p>
    <w:p w14:paraId="7D54CEC7" w14:textId="77777777" w:rsidR="00713A0A" w:rsidRDefault="00713A0A" w:rsidP="00713A0A">
      <w:pPr>
        <w:pStyle w:val="DPCbody"/>
        <w:numPr>
          <w:ilvl w:val="1"/>
          <w:numId w:val="18"/>
        </w:numPr>
        <w:ind w:left="851" w:hanging="567"/>
      </w:pPr>
      <w:r>
        <w:t xml:space="preserve">If a Deputy Chair </w:t>
      </w:r>
      <w:r w:rsidRPr="00AB4808">
        <w:t>is appointed, payment will be made at the members’ rate. If the Deputy Chair assumes the role of the Chair, the Chair’s fee will be payable for the period the Deputy Chair acts as the Chair. The remuneration of the Deputy Chair when acting as the Chair must be outlined in the Deputy Chair’s instrument of appointment.</w:t>
      </w:r>
    </w:p>
    <w:p w14:paraId="47AAF3C9" w14:textId="77777777" w:rsidR="00713A0A" w:rsidRDefault="00713A0A">
      <w:r>
        <w:br w:type="page"/>
      </w:r>
    </w:p>
    <w:p w14:paraId="6D9E5949" w14:textId="77777777" w:rsidR="00AC68B3" w:rsidRDefault="00AC68B3" w:rsidP="0017470B">
      <w:pPr>
        <w:pStyle w:val="Heading1"/>
        <w:numPr>
          <w:ilvl w:val="0"/>
          <w:numId w:val="18"/>
        </w:numPr>
        <w:ind w:left="851" w:hanging="567"/>
      </w:pPr>
      <w:bookmarkStart w:id="126" w:name="_Remuneration_of_single"/>
      <w:bookmarkStart w:id="127" w:name="_Toc147909856"/>
      <w:bookmarkStart w:id="128" w:name="_Toc176339466"/>
      <w:bookmarkEnd w:id="126"/>
      <w:r>
        <w:lastRenderedPageBreak/>
        <w:t>Remuneration of single officer appointments</w:t>
      </w:r>
      <w:bookmarkEnd w:id="127"/>
      <w:bookmarkEnd w:id="128"/>
    </w:p>
    <w:p w14:paraId="693759DB" w14:textId="77777777" w:rsidR="00263D14" w:rsidRDefault="00263D14" w:rsidP="0017470B">
      <w:pPr>
        <w:pStyle w:val="DPCbody"/>
        <w:numPr>
          <w:ilvl w:val="1"/>
          <w:numId w:val="18"/>
        </w:numPr>
        <w:ind w:left="851" w:hanging="567"/>
      </w:pPr>
      <w:r>
        <w:t xml:space="preserve">The remuneration bands </w:t>
      </w:r>
      <w:r w:rsidRPr="00BF530D">
        <w:t xml:space="preserve">in these Guidelines do </w:t>
      </w:r>
      <w:r w:rsidRPr="00BF530D">
        <w:rPr>
          <w:b/>
          <w:bCs/>
        </w:rPr>
        <w:t xml:space="preserve">not </w:t>
      </w:r>
      <w:r w:rsidRPr="00BF530D">
        <w:t>apply to single officer appointments</w:t>
      </w:r>
      <w:r>
        <w:t>.</w:t>
      </w:r>
    </w:p>
    <w:p w14:paraId="0B7F1D2C" w14:textId="77777777" w:rsidR="00263D14" w:rsidRDefault="00263D14" w:rsidP="00263D14">
      <w:pPr>
        <w:pStyle w:val="DPCbody"/>
        <w:numPr>
          <w:ilvl w:val="1"/>
          <w:numId w:val="18"/>
        </w:numPr>
        <w:ind w:left="851" w:hanging="567"/>
      </w:pPr>
      <w:r>
        <w:t xml:space="preserve">Unless otherwise </w:t>
      </w:r>
      <w:r w:rsidRPr="00BF530D">
        <w:t xml:space="preserve">specified in legislation, ministers are responsible for setting remuneration for single officer appointments, subject to Cabinet approval. In determining remuneration levels for single officer roles, the remuneration bands for public service and public entity executives set by the Victorian Independent Remuneration Tribunal are a helpful guide. The remuneration bands can be found </w:t>
      </w:r>
      <w:r>
        <w:t xml:space="preserve">on the </w:t>
      </w:r>
      <w:hyperlink r:id="rId60" w:history="1">
        <w:r w:rsidRPr="00247F93">
          <w:rPr>
            <w:rStyle w:val="Hyperlink"/>
            <w:color w:val="0072CE" w:themeColor="accent1"/>
            <w:u w:val="single"/>
          </w:rPr>
          <w:t>Victorian Independent Remuneration Tribunal website</w:t>
        </w:r>
      </w:hyperlink>
      <w:r>
        <w:t>.</w:t>
      </w:r>
    </w:p>
    <w:p w14:paraId="268EE911" w14:textId="77777777" w:rsidR="00263D14" w:rsidRDefault="00263D14" w:rsidP="00263D14">
      <w:pPr>
        <w:pStyle w:val="DPCbody"/>
        <w:numPr>
          <w:ilvl w:val="1"/>
          <w:numId w:val="18"/>
        </w:numPr>
        <w:ind w:left="851" w:hanging="567"/>
      </w:pPr>
      <w:r>
        <w:t xml:space="preserve">The rationale </w:t>
      </w:r>
      <w:r w:rsidRPr="00BF530D">
        <w:t>for the proposed remuneration should be outlined in the Cabinet submission.</w:t>
      </w:r>
    </w:p>
    <w:p w14:paraId="73B20FD7" w14:textId="77777777" w:rsidR="00263D14" w:rsidRDefault="00263D14">
      <w:r>
        <w:br w:type="page"/>
      </w:r>
    </w:p>
    <w:p w14:paraId="0221C2A2" w14:textId="66EE1EAA" w:rsidR="00276325" w:rsidRPr="00276325" w:rsidRDefault="008C5DA0" w:rsidP="0017470B">
      <w:pPr>
        <w:pStyle w:val="Heading1"/>
        <w:numPr>
          <w:ilvl w:val="0"/>
          <w:numId w:val="18"/>
        </w:numPr>
        <w:ind w:left="851" w:hanging="567"/>
      </w:pPr>
      <w:bookmarkStart w:id="129" w:name="_Remuneration_–_other"/>
      <w:bookmarkStart w:id="130" w:name="_Toc147909857"/>
      <w:bookmarkStart w:id="131" w:name="_Toc176339467"/>
      <w:bookmarkEnd w:id="129"/>
      <w:r>
        <w:lastRenderedPageBreak/>
        <w:t>Remuneration – other considerations</w:t>
      </w:r>
      <w:bookmarkEnd w:id="130"/>
      <w:bookmarkEnd w:id="131"/>
    </w:p>
    <w:p w14:paraId="6C054240" w14:textId="77777777" w:rsidR="00276325" w:rsidRDefault="00276325" w:rsidP="00276325">
      <w:pPr>
        <w:pStyle w:val="Heading2"/>
      </w:pPr>
      <w:bookmarkStart w:id="132" w:name="_Toc147909858"/>
      <w:bookmarkStart w:id="133" w:name="_Toc176339468"/>
      <w:r>
        <w:t>Approving remuneration levels</w:t>
      </w:r>
      <w:bookmarkEnd w:id="132"/>
      <w:bookmarkEnd w:id="133"/>
    </w:p>
    <w:p w14:paraId="377EDB9A" w14:textId="77777777" w:rsidR="00276325" w:rsidRPr="00BF530D" w:rsidRDefault="00276325" w:rsidP="00276325">
      <w:pPr>
        <w:pStyle w:val="DPCbody"/>
        <w:numPr>
          <w:ilvl w:val="1"/>
          <w:numId w:val="18"/>
        </w:numPr>
        <w:ind w:left="851" w:hanging="567"/>
      </w:pPr>
      <w:r>
        <w:t xml:space="preserve">Unless specified </w:t>
      </w:r>
      <w:r w:rsidRPr="00BF530D">
        <w:t xml:space="preserve">in statute, remuneration is approved by the same decision-maker that approves the appointment (e.g. the minister or Cabinet). </w:t>
      </w:r>
    </w:p>
    <w:p w14:paraId="18BB7A77" w14:textId="49BCFAFD" w:rsidR="00276325" w:rsidRDefault="00276325" w:rsidP="00276325">
      <w:pPr>
        <w:pStyle w:val="DPCbody"/>
        <w:numPr>
          <w:ilvl w:val="1"/>
          <w:numId w:val="18"/>
        </w:numPr>
        <w:ind w:left="851" w:hanging="567"/>
      </w:pPr>
      <w:r w:rsidRPr="00BF530D">
        <w:t xml:space="preserve">Approval requirements for appointments and remuneration are outlined in </w:t>
      </w:r>
      <w:hyperlink w:anchor="_Approving_an_appointment" w:history="1">
        <w:r w:rsidRPr="00247F93">
          <w:rPr>
            <w:rStyle w:val="Hyperlink"/>
            <w:color w:val="0072CE" w:themeColor="accent1"/>
            <w:u w:val="single"/>
          </w:rPr>
          <w:t>section 9</w:t>
        </w:r>
        <w:r w:rsidRPr="00B02EEA">
          <w:rPr>
            <w:rStyle w:val="Hyperlink"/>
          </w:rPr>
          <w:t>.</w:t>
        </w:r>
      </w:hyperlink>
    </w:p>
    <w:p w14:paraId="6B55E0B3" w14:textId="77777777" w:rsidR="00276325" w:rsidRDefault="00276325" w:rsidP="00276325">
      <w:pPr>
        <w:pStyle w:val="Heading2"/>
      </w:pPr>
      <w:bookmarkStart w:id="134" w:name="_Toc147909859"/>
      <w:bookmarkStart w:id="135" w:name="_Toc176339469"/>
      <w:r>
        <w:t>Exclusions and exceptions</w:t>
      </w:r>
      <w:bookmarkEnd w:id="134"/>
      <w:bookmarkEnd w:id="135"/>
    </w:p>
    <w:p w14:paraId="589A1914" w14:textId="77777777" w:rsidR="00276325" w:rsidRPr="00BF530D" w:rsidRDefault="00276325" w:rsidP="00276325">
      <w:pPr>
        <w:pStyle w:val="Heading3"/>
        <w:rPr>
          <w:b w:val="0"/>
          <w:bCs/>
          <w:sz w:val="28"/>
          <w:szCs w:val="28"/>
        </w:rPr>
      </w:pPr>
      <w:bookmarkStart w:id="136" w:name="_Public_sector_employees_1"/>
      <w:bookmarkStart w:id="137" w:name="_Toc147909860"/>
      <w:bookmarkStart w:id="138" w:name="_Toc176339470"/>
      <w:bookmarkEnd w:id="136"/>
      <w:r w:rsidRPr="00BF530D">
        <w:t>Public sector employees</w:t>
      </w:r>
      <w:bookmarkEnd w:id="137"/>
      <w:bookmarkEnd w:id="138"/>
    </w:p>
    <w:p w14:paraId="2AC0FD64" w14:textId="7BD9EB2A" w:rsidR="00276325" w:rsidRPr="00BF530D" w:rsidRDefault="00276325" w:rsidP="00276325">
      <w:pPr>
        <w:pStyle w:val="DPCbody"/>
        <w:numPr>
          <w:ilvl w:val="1"/>
          <w:numId w:val="18"/>
        </w:numPr>
        <w:ind w:left="851" w:hanging="567"/>
      </w:pPr>
      <w:r>
        <w:t>As per</w:t>
      </w:r>
      <w:bookmarkStart w:id="139" w:name="_When_can_public"/>
      <w:bookmarkEnd w:id="139"/>
      <w:r w:rsidR="008276F3">
        <w:t xml:space="preserve"> </w:t>
      </w:r>
      <w:hyperlink w:anchor="_Public_sector_employees_2" w:history="1">
        <w:r w:rsidR="008276F3" w:rsidRPr="008276F3">
          <w:rPr>
            <w:rStyle w:val="Hyperlink"/>
            <w:color w:val="0072CE" w:themeColor="accent1"/>
            <w:u w:val="single"/>
          </w:rPr>
          <w:t>4.12-4.16</w:t>
        </w:r>
      </w:hyperlink>
      <w:r w:rsidRPr="00BF530D">
        <w:t>, public</w:t>
      </w:r>
      <w:r w:rsidRPr="00782E4F">
        <w:t xml:space="preserve"> </w:t>
      </w:r>
      <w:r>
        <w:t xml:space="preserve">sector employees </w:t>
      </w:r>
      <w:r w:rsidRPr="00782E4F">
        <w:t>are generally not appointed to Government boards, because of the risk of actual</w:t>
      </w:r>
      <w:r>
        <w:t>, potential</w:t>
      </w:r>
      <w:r w:rsidRPr="00782E4F">
        <w:t xml:space="preserve"> or perceived conflict between their role and duties as public servants and as board members.</w:t>
      </w:r>
    </w:p>
    <w:p w14:paraId="48C5B919" w14:textId="77777777" w:rsidR="00276325" w:rsidRPr="00BF530D" w:rsidRDefault="00276325" w:rsidP="00276325">
      <w:pPr>
        <w:pStyle w:val="Heading4"/>
      </w:pPr>
      <w:bookmarkStart w:id="140" w:name="_Public_sector_employees"/>
      <w:bookmarkEnd w:id="140"/>
      <w:r w:rsidRPr="00BF530D">
        <w:t xml:space="preserve">Public sector employees and executive officers are only eligible for remuneration under certain criteria </w:t>
      </w:r>
    </w:p>
    <w:p w14:paraId="645AD0C4" w14:textId="77777777" w:rsidR="00276325" w:rsidRPr="00BF530D" w:rsidRDefault="00276325" w:rsidP="00276325">
      <w:pPr>
        <w:pStyle w:val="DPCbody"/>
        <w:numPr>
          <w:ilvl w:val="1"/>
          <w:numId w:val="18"/>
        </w:numPr>
        <w:ind w:left="851" w:hanging="567"/>
      </w:pPr>
      <w:bookmarkStart w:id="141" w:name="_Ref86323286"/>
      <w:r w:rsidRPr="00BF530D">
        <w:t xml:space="preserve">If the appointment is an </w:t>
      </w:r>
      <w:r w:rsidRPr="00BF530D">
        <w:rPr>
          <w:i/>
        </w:rPr>
        <w:t>ex-officio</w:t>
      </w:r>
      <w:r w:rsidRPr="00BF530D">
        <w:t xml:space="preserve"> appointment (i.e. as a requirement of their substantive position), public sector employees are not eligible for remuneration.</w:t>
      </w:r>
      <w:bookmarkEnd w:id="141"/>
      <w:r w:rsidRPr="00BF530D">
        <w:t xml:space="preserve">  </w:t>
      </w:r>
    </w:p>
    <w:p w14:paraId="0B07E37F" w14:textId="5BE5B29B" w:rsidR="00276325" w:rsidRPr="00BF530D" w:rsidRDefault="00276325" w:rsidP="00276325">
      <w:pPr>
        <w:pStyle w:val="DPCbody"/>
        <w:numPr>
          <w:ilvl w:val="1"/>
          <w:numId w:val="18"/>
        </w:numPr>
        <w:ind w:left="851" w:hanging="567"/>
      </w:pPr>
      <w:bookmarkStart w:id="142" w:name="_Ref505181452"/>
      <w:r w:rsidRPr="00BF530D">
        <w:t xml:space="preserve">Subject to the requirements for the appointment of a public sector employee at </w:t>
      </w:r>
      <w:hyperlink w:anchor="_Public_sector_employees_2" w:history="1">
        <w:r w:rsidRPr="00371BA8">
          <w:rPr>
            <w:rStyle w:val="Hyperlink"/>
            <w:color w:val="0072CE" w:themeColor="accent1"/>
            <w:u w:val="single"/>
          </w:rPr>
          <w:t>4.</w:t>
        </w:r>
        <w:r w:rsidR="00371BA8" w:rsidRPr="00371BA8">
          <w:rPr>
            <w:rStyle w:val="Hyperlink"/>
            <w:color w:val="0072CE" w:themeColor="accent1"/>
            <w:u w:val="single"/>
          </w:rPr>
          <w:t>12</w:t>
        </w:r>
        <w:r w:rsidRPr="00371BA8">
          <w:rPr>
            <w:rStyle w:val="Hyperlink"/>
            <w:color w:val="0072CE" w:themeColor="accent1"/>
            <w:u w:val="single"/>
          </w:rPr>
          <w:t xml:space="preserve"> to 4.1</w:t>
        </w:r>
        <w:r w:rsidR="00371BA8" w:rsidRPr="00371BA8">
          <w:rPr>
            <w:rStyle w:val="Hyperlink"/>
            <w:color w:val="0072CE" w:themeColor="accent1"/>
            <w:u w:val="single"/>
          </w:rPr>
          <w:t>6</w:t>
        </w:r>
      </w:hyperlink>
    </w:p>
    <w:p w14:paraId="48AF2F04" w14:textId="77777777" w:rsidR="00276325" w:rsidRPr="00BF530D" w:rsidRDefault="00276325" w:rsidP="00276325">
      <w:pPr>
        <w:pStyle w:val="DPCbullet1"/>
        <w:numPr>
          <w:ilvl w:val="0"/>
          <w:numId w:val="21"/>
        </w:numPr>
        <w:spacing w:after="160"/>
        <w:ind w:left="1134"/>
      </w:pPr>
      <w:r w:rsidRPr="00BF530D">
        <w:t xml:space="preserve">full-time and part-time public sector employees are only eligible for remuneration if the proposed appointment is not </w:t>
      </w:r>
      <w:r w:rsidRPr="00BF530D">
        <w:rPr>
          <w:i/>
          <w:iCs/>
        </w:rPr>
        <w:t>ex-officio</w:t>
      </w:r>
      <w:r w:rsidRPr="00BF530D">
        <w:rPr>
          <w:vertAlign w:val="superscript"/>
        </w:rPr>
        <w:footnoteReference w:id="4"/>
      </w:r>
    </w:p>
    <w:p w14:paraId="03AB88EB" w14:textId="77777777" w:rsidR="00276325" w:rsidRPr="00BF530D" w:rsidRDefault="00276325" w:rsidP="00276325">
      <w:pPr>
        <w:pStyle w:val="DPCbullet1"/>
        <w:numPr>
          <w:ilvl w:val="0"/>
          <w:numId w:val="21"/>
        </w:numPr>
        <w:spacing w:after="160"/>
        <w:ind w:left="1134"/>
      </w:pPr>
      <w:r w:rsidRPr="00BF530D">
        <w:t xml:space="preserve">the work required for the board will be undertaken in the employee’s own time, or during periods of approved leave, and </w:t>
      </w:r>
    </w:p>
    <w:p w14:paraId="66B05864" w14:textId="77777777" w:rsidR="00276325" w:rsidRPr="00BF530D" w:rsidRDefault="00276325" w:rsidP="00276325">
      <w:pPr>
        <w:pStyle w:val="DPCbullet1"/>
        <w:numPr>
          <w:ilvl w:val="0"/>
          <w:numId w:val="21"/>
        </w:numPr>
        <w:spacing w:after="160"/>
        <w:ind w:left="1134"/>
      </w:pPr>
      <w:r w:rsidRPr="00BF530D">
        <w:t>the public sector employee’s substantive employer</w:t>
      </w:r>
      <w:r w:rsidRPr="00BF530D">
        <w:rPr>
          <w:vertAlign w:val="superscript"/>
        </w:rPr>
        <w:footnoteReference w:id="5"/>
      </w:r>
      <w:r w:rsidRPr="00BF530D">
        <w:t xml:space="preserve"> must confirm in writing that the work involved in the appointment can, and will, be performed in the employee’s own time.</w:t>
      </w:r>
      <w:bookmarkEnd w:id="142"/>
      <w:r w:rsidRPr="00BF530D">
        <w:rPr>
          <w:vertAlign w:val="superscript"/>
        </w:rPr>
        <w:footnoteReference w:id="6"/>
      </w:r>
      <w:r w:rsidRPr="00BF530D">
        <w:t xml:space="preserve"> This confirmation must also be received prior to reappointment if the appointee’s role or employer has changed since the initial appointment. </w:t>
      </w:r>
    </w:p>
    <w:p w14:paraId="163BD6F0" w14:textId="77777777" w:rsidR="00276325" w:rsidRDefault="00276325" w:rsidP="00276325">
      <w:pPr>
        <w:pStyle w:val="DPCbody"/>
        <w:numPr>
          <w:ilvl w:val="1"/>
          <w:numId w:val="18"/>
        </w:numPr>
        <w:ind w:left="851" w:hanging="567"/>
      </w:pPr>
      <w:r w:rsidRPr="00BF530D">
        <w:t xml:space="preserve">In relation to an executive officer or equivalent, departments must fulfil the requirements at </w:t>
      </w:r>
      <w:hyperlink w:anchor="_When_can_public_1">
        <w:r w:rsidRPr="194EFCAA">
          <w:rPr>
            <w:rStyle w:val="Hyperlink"/>
          </w:rPr>
          <w:t xml:space="preserve">sections </w:t>
        </w:r>
        <w:hyperlink w:anchor="_Public_sector_employees_2" w:history="1">
          <w:r w:rsidRPr="007353AD">
            <w:rPr>
              <w:rStyle w:val="Hyperlink"/>
            </w:rPr>
            <w:t>4.9 to 4.13</w:t>
          </w:r>
        </w:hyperlink>
      </w:hyperlink>
      <w:r>
        <w:t>.</w:t>
      </w:r>
      <w:r w:rsidRPr="00BF530D">
        <w:t xml:space="preserve"> They must also seek written approval for the proposed remuneration of the public sector executive officer from the Secretary of the relevant portfolio department responsible for the </w:t>
      </w:r>
      <w:r>
        <w:t>non-departmental</w:t>
      </w:r>
      <w:r w:rsidRPr="00BF530D">
        <w:t xml:space="preserve"> entity to which the appointment is being made. This must occur before seeking approval for the </w:t>
      </w:r>
      <w:r w:rsidRPr="00BF530D">
        <w:lastRenderedPageBreak/>
        <w:t>appointment itself. If Cabinet consideration is required, the approval submission should note that such approval has been sought and granted.</w:t>
      </w:r>
    </w:p>
    <w:p w14:paraId="10B16A2A" w14:textId="77777777" w:rsidR="00276325" w:rsidRPr="00BF530D" w:rsidRDefault="00276325" w:rsidP="00276325">
      <w:pPr>
        <w:pStyle w:val="DPCbody"/>
        <w:numPr>
          <w:ilvl w:val="1"/>
          <w:numId w:val="18"/>
        </w:numPr>
        <w:ind w:left="851" w:hanging="567"/>
      </w:pPr>
      <w:r>
        <w:t xml:space="preserve">If an executive </w:t>
      </w:r>
      <w:r w:rsidRPr="00BF530D">
        <w:t>officer or equivalent is considered for reappointment, the department should seek written approval for their remuneration ahead of seeking approval for the reappointment, unless:</w:t>
      </w:r>
    </w:p>
    <w:p w14:paraId="014290D9" w14:textId="77777777" w:rsidR="00276325" w:rsidRPr="00BF530D" w:rsidRDefault="00276325" w:rsidP="00276325">
      <w:pPr>
        <w:pStyle w:val="DPCbullet1"/>
        <w:numPr>
          <w:ilvl w:val="0"/>
          <w:numId w:val="21"/>
        </w:numPr>
        <w:spacing w:after="160"/>
        <w:ind w:left="1134"/>
      </w:pPr>
      <w:r w:rsidRPr="00BF530D">
        <w:t>written approval from the Secretary was obtained at the time of</w:t>
      </w:r>
      <w:r>
        <w:t xml:space="preserve"> the</w:t>
      </w:r>
      <w:r w:rsidRPr="00BF530D">
        <w:t xml:space="preserve"> initial appointment, and</w:t>
      </w:r>
    </w:p>
    <w:p w14:paraId="71BB8229" w14:textId="77777777" w:rsidR="00276325" w:rsidRDefault="00276325" w:rsidP="00276325">
      <w:pPr>
        <w:pStyle w:val="DPCbullet1"/>
        <w:numPr>
          <w:ilvl w:val="0"/>
          <w:numId w:val="21"/>
        </w:numPr>
        <w:spacing w:after="160"/>
        <w:ind w:left="1134"/>
      </w:pPr>
      <w:r w:rsidRPr="00BF530D">
        <w:t>there has not been a material change to their employment since the time that written approval from the Secretary was obtained (such as a change of position or employer).</w:t>
      </w:r>
    </w:p>
    <w:p w14:paraId="417D5AFA" w14:textId="799A8D4A" w:rsidR="00276325" w:rsidRDefault="00276325" w:rsidP="00994637">
      <w:pPr>
        <w:pStyle w:val="Heading4"/>
      </w:pPr>
      <w:r>
        <w:t>Victorian Public Sector Voluntary Departure Packages</w:t>
      </w:r>
    </w:p>
    <w:p w14:paraId="01180669" w14:textId="77777777" w:rsidR="00276325" w:rsidRDefault="00276325" w:rsidP="00276325">
      <w:pPr>
        <w:pStyle w:val="DPCbody"/>
        <w:numPr>
          <w:ilvl w:val="1"/>
          <w:numId w:val="18"/>
        </w:numPr>
        <w:ind w:left="851" w:hanging="567"/>
      </w:pPr>
      <w:r>
        <w:t xml:space="preserve">Recipients of </w:t>
      </w:r>
      <w:r w:rsidRPr="00BF530D">
        <w:t>Victorian Public Sector Voluntary Departure Packages (VDPs) are not eligible for remuneration from any public sector employer for one year from the date of their separation.</w:t>
      </w:r>
    </w:p>
    <w:p w14:paraId="11BA989A" w14:textId="77777777" w:rsidR="00276325" w:rsidRPr="00A542BB" w:rsidRDefault="00276325" w:rsidP="00276325">
      <w:pPr>
        <w:pStyle w:val="Heading3"/>
        <w:rPr>
          <w:b w:val="0"/>
        </w:rPr>
      </w:pPr>
      <w:bookmarkStart w:id="143" w:name="_Toc147909861"/>
      <w:bookmarkStart w:id="144" w:name="_Toc176339471"/>
      <w:r w:rsidRPr="00BF530D">
        <w:t>Appointees are</w:t>
      </w:r>
      <w:r w:rsidRPr="00A542BB">
        <w:t xml:space="preserve"> eligible to be reimbursed for reasonable out of pocket expenses</w:t>
      </w:r>
      <w:bookmarkEnd w:id="143"/>
      <w:bookmarkEnd w:id="144"/>
    </w:p>
    <w:p w14:paraId="3E7D171A" w14:textId="77777777" w:rsidR="00276325" w:rsidRDefault="00276325" w:rsidP="00276325">
      <w:pPr>
        <w:pStyle w:val="DPCbody"/>
        <w:numPr>
          <w:ilvl w:val="1"/>
          <w:numId w:val="18"/>
        </w:numPr>
        <w:ind w:left="851" w:hanging="567"/>
      </w:pPr>
      <w:r>
        <w:t xml:space="preserve">All appointees, whether </w:t>
      </w:r>
      <w:r w:rsidRPr="00BF530D">
        <w:t>remunerated or unremunerated, are eligible to be reimbursed for reasonable out-of-pocket expenses such as travelling, accommodation, meals and other incidental expenses associated with attendance at meetings, overnight absence from home or absence from the normal work location during field duties. Such reimbursement will be in accordance with the policies of the portfolio department.</w:t>
      </w:r>
    </w:p>
    <w:p w14:paraId="5FEC068A" w14:textId="77777777" w:rsidR="00276325" w:rsidRPr="00A542BB" w:rsidRDefault="00276325" w:rsidP="00276325">
      <w:pPr>
        <w:pStyle w:val="Heading3"/>
        <w:rPr>
          <w:b w:val="0"/>
        </w:rPr>
      </w:pPr>
      <w:bookmarkStart w:id="145" w:name="_Toc147909862"/>
      <w:bookmarkStart w:id="146" w:name="_Toc176339472"/>
      <w:r w:rsidRPr="00BF530D">
        <w:t>Payments should only</w:t>
      </w:r>
      <w:r w:rsidRPr="00A542BB">
        <w:t xml:space="preserve"> be made to the appointee in their personal capacity</w:t>
      </w:r>
      <w:bookmarkEnd w:id="145"/>
      <w:bookmarkEnd w:id="146"/>
    </w:p>
    <w:p w14:paraId="7CC3C63A" w14:textId="77777777" w:rsidR="00276325" w:rsidRPr="00BF530D" w:rsidRDefault="00276325" w:rsidP="00276325">
      <w:pPr>
        <w:pStyle w:val="DPCbody"/>
        <w:numPr>
          <w:ilvl w:val="1"/>
          <w:numId w:val="18"/>
        </w:numPr>
        <w:ind w:left="851" w:hanging="567"/>
      </w:pPr>
      <w:r>
        <w:t xml:space="preserve">Remuneration and </w:t>
      </w:r>
      <w:r w:rsidRPr="00BF530D">
        <w:t xml:space="preserve">any other payments to appointees are personal and should only be made to the appointee in their personal capacity. Payments to third parties, including trusts or companies associated with the appointee, are prohibited, unless payments are made to a nominating organisation as described in </w:t>
      </w:r>
      <w:r>
        <w:t>section 8.11</w:t>
      </w:r>
      <w:r w:rsidRPr="00BF530D">
        <w:t xml:space="preserve">. Payments may be made to an appointee’s personal superannuation account. Payments should not be made on invoices. </w:t>
      </w:r>
    </w:p>
    <w:p w14:paraId="7D98A710" w14:textId="77777777" w:rsidR="00276325" w:rsidRDefault="00276325" w:rsidP="00276325">
      <w:pPr>
        <w:pStyle w:val="DPCbody"/>
        <w:numPr>
          <w:ilvl w:val="1"/>
          <w:numId w:val="18"/>
        </w:numPr>
        <w:ind w:left="851" w:hanging="567"/>
      </w:pPr>
      <w:r w:rsidRPr="00BF530D">
        <w:t>A payment to a third party is allowable in circumstances where organisations with nomination rights to bodies nominate an employee to represent them on that body. In this case the employer with nomination rights may be entitled to receive payment to compensate for the time spent by their employee representing the organisation on the body.</w:t>
      </w:r>
    </w:p>
    <w:p w14:paraId="644E04BA" w14:textId="77777777" w:rsidR="00276325" w:rsidRPr="00BF530D" w:rsidRDefault="00276325" w:rsidP="00276325">
      <w:pPr>
        <w:pStyle w:val="Heading3"/>
        <w:rPr>
          <w:b w:val="0"/>
          <w:bCs/>
          <w:sz w:val="28"/>
          <w:szCs w:val="28"/>
        </w:rPr>
      </w:pPr>
      <w:bookmarkStart w:id="147" w:name="_Toc147909863"/>
      <w:bookmarkStart w:id="148" w:name="_Toc176339473"/>
      <w:r w:rsidRPr="00BF530D">
        <w:t>Annual remuneration adjustment for boards</w:t>
      </w:r>
      <w:bookmarkEnd w:id="147"/>
      <w:bookmarkEnd w:id="148"/>
    </w:p>
    <w:p w14:paraId="20182D69" w14:textId="77777777" w:rsidR="00276325" w:rsidRPr="00BF530D" w:rsidRDefault="00276325" w:rsidP="00276325">
      <w:pPr>
        <w:pStyle w:val="DPCbody"/>
        <w:numPr>
          <w:ilvl w:val="1"/>
          <w:numId w:val="18"/>
        </w:numPr>
        <w:ind w:left="851" w:hanging="567"/>
      </w:pPr>
      <w:r>
        <w:t xml:space="preserve">The remuneration bands </w:t>
      </w:r>
      <w:r w:rsidRPr="00BF530D">
        <w:t>contained in Schedules A – D and committee fees payable to Group A and B annual-fee paying boards may be subject to annual adjustment determined by the government for each financial year. Ministers may review the remuneration (and committee fees, where applicable) paid to boards and committees with a view to passing on the adjustment in full or in part.</w:t>
      </w:r>
    </w:p>
    <w:p w14:paraId="5A92E6D1" w14:textId="77777777" w:rsidR="00276325" w:rsidRPr="00BF530D" w:rsidRDefault="00276325" w:rsidP="00276325">
      <w:pPr>
        <w:pStyle w:val="DPCbody"/>
        <w:numPr>
          <w:ilvl w:val="1"/>
          <w:numId w:val="18"/>
        </w:numPr>
        <w:ind w:left="851" w:hanging="567"/>
      </w:pPr>
      <w:r w:rsidRPr="00BF530D">
        <w:t xml:space="preserve">Factors such as ministerial satisfaction, budget and performance may be considered when any review of remuneration is conducted. </w:t>
      </w:r>
    </w:p>
    <w:p w14:paraId="50ADB951" w14:textId="77777777" w:rsidR="00276325" w:rsidRDefault="00276325" w:rsidP="00276325">
      <w:pPr>
        <w:pStyle w:val="DPCbody"/>
        <w:numPr>
          <w:ilvl w:val="1"/>
          <w:numId w:val="18"/>
        </w:numPr>
        <w:ind w:left="851" w:hanging="567"/>
      </w:pPr>
      <w:r w:rsidRPr="00BF530D">
        <w:lastRenderedPageBreak/>
        <w:t>Cabinet approval is not required to pass on this adjustment.</w:t>
      </w:r>
    </w:p>
    <w:p w14:paraId="33AB26A7" w14:textId="77777777" w:rsidR="00276325" w:rsidRPr="00D8512C" w:rsidRDefault="00276325" w:rsidP="00276325">
      <w:pPr>
        <w:pStyle w:val="Heading3"/>
        <w:rPr>
          <w:b w:val="0"/>
          <w:bCs/>
        </w:rPr>
      </w:pPr>
      <w:bookmarkStart w:id="149" w:name="_Toc147909864"/>
      <w:bookmarkStart w:id="150" w:name="_Toc176339474"/>
      <w:r w:rsidRPr="00BF530D">
        <w:t xml:space="preserve">Annual </w:t>
      </w:r>
      <w:r w:rsidRPr="00D8512C">
        <w:t>remuneration adjustment for single officer roles</w:t>
      </w:r>
      <w:bookmarkEnd w:id="149"/>
      <w:bookmarkEnd w:id="150"/>
    </w:p>
    <w:p w14:paraId="47F6A06C" w14:textId="77777777" w:rsidR="00276325" w:rsidRPr="00BF530D" w:rsidRDefault="00276325" w:rsidP="00276325">
      <w:pPr>
        <w:pStyle w:val="DPCbody"/>
        <w:numPr>
          <w:ilvl w:val="1"/>
          <w:numId w:val="18"/>
        </w:numPr>
        <w:ind w:left="851" w:hanging="567"/>
      </w:pPr>
      <w:r>
        <w:t xml:space="preserve">The remuneration </w:t>
      </w:r>
      <w:r w:rsidRPr="00BF530D">
        <w:t>of single officer roles may be subject to annual adjustment determined by the government for each financial year. Ministers may review the remuneration of single officer roles with a view to passing on the adjustment in full or in part.</w:t>
      </w:r>
    </w:p>
    <w:p w14:paraId="5B751B36" w14:textId="77777777" w:rsidR="00276325" w:rsidRPr="00BF530D" w:rsidRDefault="00276325" w:rsidP="00276325">
      <w:pPr>
        <w:pStyle w:val="DPCbody"/>
        <w:numPr>
          <w:ilvl w:val="1"/>
          <w:numId w:val="18"/>
        </w:numPr>
        <w:ind w:left="851" w:hanging="567"/>
      </w:pPr>
      <w:r w:rsidRPr="00BF530D">
        <w:t xml:space="preserve">Factors such as ministerial satisfaction, budget and performance may be considered when any review of remuneration is conducted. </w:t>
      </w:r>
    </w:p>
    <w:p w14:paraId="36A1C780" w14:textId="77777777" w:rsidR="00276325" w:rsidRDefault="00276325" w:rsidP="00276325">
      <w:pPr>
        <w:pStyle w:val="DPCbody"/>
        <w:numPr>
          <w:ilvl w:val="1"/>
          <w:numId w:val="18"/>
        </w:numPr>
        <w:ind w:left="851" w:hanging="567"/>
      </w:pPr>
      <w:r w:rsidRPr="00BF530D">
        <w:t>Cabinet approval is not required to pass on this adjustment.</w:t>
      </w:r>
    </w:p>
    <w:p w14:paraId="776F4E04" w14:textId="77777777" w:rsidR="00276325" w:rsidRPr="00BF530D" w:rsidRDefault="00276325" w:rsidP="00276325">
      <w:pPr>
        <w:pStyle w:val="Heading3"/>
        <w:rPr>
          <w:b w:val="0"/>
          <w:bCs/>
          <w:sz w:val="28"/>
          <w:szCs w:val="28"/>
        </w:rPr>
      </w:pPr>
      <w:bookmarkStart w:id="151" w:name="_Toc147909865"/>
      <w:bookmarkStart w:id="152" w:name="_Toc176339475"/>
      <w:r w:rsidRPr="00BF530D">
        <w:t xml:space="preserve">The </w:t>
      </w:r>
      <w:r w:rsidRPr="00D8512C">
        <w:t>remuneration levels in these guidelines do not constitute the Total Cost to the Employer</w:t>
      </w:r>
      <w:bookmarkEnd w:id="151"/>
      <w:bookmarkEnd w:id="152"/>
      <w:r w:rsidRPr="00D8512C">
        <w:t xml:space="preserve"> </w:t>
      </w:r>
    </w:p>
    <w:p w14:paraId="0410EB77" w14:textId="77777777" w:rsidR="00276325" w:rsidRDefault="00276325" w:rsidP="00276325">
      <w:pPr>
        <w:pStyle w:val="DPCbody"/>
        <w:numPr>
          <w:ilvl w:val="1"/>
          <w:numId w:val="18"/>
        </w:numPr>
        <w:ind w:left="851" w:hanging="567"/>
      </w:pPr>
      <w:r>
        <w:t xml:space="preserve">The remuneration </w:t>
      </w:r>
      <w:r w:rsidRPr="00BF530D">
        <w:t xml:space="preserve">levels set out in the Schedules to these Guidelines reflect the remuneration to the recipient and include any non-cash benefits which should be subject to Fringe Benefits Tax (e.g. provision of a motor vehicle). Departments should be aware of the Total Cost to the Employer </w:t>
      </w:r>
      <w:r>
        <w:t>(</w:t>
      </w:r>
      <w:r w:rsidRPr="00BF530D">
        <w:t>TCE</w:t>
      </w:r>
      <w:r>
        <w:t>)</w:t>
      </w:r>
      <w:r w:rsidRPr="00BF530D">
        <w:t xml:space="preserve"> for entities within their portfolio. The remuneration levels set out in the Schedules do not include any applicable superannuation benefit, </w:t>
      </w:r>
      <w:proofErr w:type="spellStart"/>
      <w:r w:rsidRPr="00BF530D">
        <w:t>WorkCover</w:t>
      </w:r>
      <w:proofErr w:type="spellEnd"/>
      <w:r w:rsidRPr="00BF530D">
        <w:t xml:space="preserve"> costs or Payroll tax. Departments will need to take these obligations into account when considering the TCE.</w:t>
      </w:r>
    </w:p>
    <w:p w14:paraId="1825D906" w14:textId="77777777" w:rsidR="00276325" w:rsidRPr="00BF530D" w:rsidRDefault="00276325" w:rsidP="00276325">
      <w:pPr>
        <w:pStyle w:val="Heading3"/>
        <w:rPr>
          <w:b w:val="0"/>
          <w:bCs/>
          <w:sz w:val="28"/>
          <w:szCs w:val="28"/>
        </w:rPr>
      </w:pPr>
      <w:bookmarkStart w:id="153" w:name="_Toc147909866"/>
      <w:bookmarkStart w:id="154" w:name="_Toc176339476"/>
      <w:r w:rsidRPr="00BF530D">
        <w:t>The remuneration</w:t>
      </w:r>
      <w:r w:rsidRPr="00A542BB">
        <w:t xml:space="preserve"> levels in the Schedules to these Guidelines are exclusive of superannuation</w:t>
      </w:r>
      <w:bookmarkEnd w:id="153"/>
      <w:bookmarkEnd w:id="154"/>
    </w:p>
    <w:p w14:paraId="7F0375C5" w14:textId="77777777" w:rsidR="00276325" w:rsidRPr="00BF530D" w:rsidRDefault="00276325" w:rsidP="00276325">
      <w:pPr>
        <w:pStyle w:val="DPCbody"/>
        <w:numPr>
          <w:ilvl w:val="1"/>
          <w:numId w:val="18"/>
        </w:numPr>
        <w:ind w:left="851" w:hanging="567"/>
      </w:pPr>
      <w:r>
        <w:t xml:space="preserve">Under the </w:t>
      </w:r>
      <w:r w:rsidRPr="00BF530D">
        <w:rPr>
          <w:i/>
          <w:iCs/>
        </w:rPr>
        <w:t>Superannuation Guarantee (Administration) Act 1992</w:t>
      </w:r>
      <w:r w:rsidRPr="00BF530D">
        <w:t xml:space="preserve"> (</w:t>
      </w:r>
      <w:proofErr w:type="spellStart"/>
      <w:r w:rsidRPr="00BF530D">
        <w:t>Cth</w:t>
      </w:r>
      <w:proofErr w:type="spellEnd"/>
      <w:r w:rsidRPr="00BF530D">
        <w:t xml:space="preserve">) all employers are required from 1 July 1992 to provide a minimum level of superannuation for all employees who earn more than the minimum per month prescribed by that Act. It is current practice that Government employers will pay only the minimum level of superannuation required under the Act. </w:t>
      </w:r>
    </w:p>
    <w:p w14:paraId="42CA086B" w14:textId="77777777" w:rsidR="00276325" w:rsidRPr="00BF530D" w:rsidRDefault="00276325" w:rsidP="00276325">
      <w:pPr>
        <w:pStyle w:val="DPCbody"/>
        <w:numPr>
          <w:ilvl w:val="1"/>
          <w:numId w:val="18"/>
        </w:numPr>
        <w:ind w:left="851" w:hanging="567"/>
      </w:pPr>
      <w:r w:rsidRPr="00BF530D">
        <w:t>The remuneration levels set out in the Schedules to these Guidelines are exclusive of superannuation.</w:t>
      </w:r>
    </w:p>
    <w:p w14:paraId="5BB1C277" w14:textId="77777777" w:rsidR="00276325" w:rsidRDefault="00276325" w:rsidP="00276325">
      <w:pPr>
        <w:pStyle w:val="DPCbody"/>
        <w:numPr>
          <w:ilvl w:val="1"/>
          <w:numId w:val="18"/>
        </w:numPr>
        <w:ind w:left="851" w:hanging="567"/>
      </w:pPr>
      <w:r w:rsidRPr="00BF530D">
        <w:t>The State’s superannuation obligations with respect to appointees should be ascertained on a case by case basis, with the assistance of staff from the ATO's Superannuation Information Line.</w:t>
      </w:r>
    </w:p>
    <w:p w14:paraId="4D7E4804" w14:textId="77777777" w:rsidR="00276325" w:rsidRPr="00BF530D" w:rsidRDefault="00276325" w:rsidP="00276325">
      <w:pPr>
        <w:pStyle w:val="Heading3"/>
        <w:rPr>
          <w:b w:val="0"/>
          <w:bCs/>
          <w:sz w:val="28"/>
          <w:szCs w:val="28"/>
        </w:rPr>
      </w:pPr>
      <w:bookmarkStart w:id="155" w:name="_Toc147909867"/>
      <w:bookmarkStart w:id="156" w:name="_Toc176339477"/>
      <w:r w:rsidRPr="00BF530D">
        <w:t>Workcover and Payroll tax costs</w:t>
      </w:r>
      <w:bookmarkEnd w:id="155"/>
      <w:bookmarkEnd w:id="156"/>
    </w:p>
    <w:p w14:paraId="009D93CE" w14:textId="77777777" w:rsidR="00276325" w:rsidRDefault="00276325" w:rsidP="00276325">
      <w:pPr>
        <w:pStyle w:val="DPCbody"/>
        <w:numPr>
          <w:ilvl w:val="1"/>
          <w:numId w:val="18"/>
        </w:numPr>
        <w:ind w:left="851" w:hanging="567"/>
      </w:pPr>
      <w:proofErr w:type="spellStart"/>
      <w:r>
        <w:t>WorkCover</w:t>
      </w:r>
      <w:proofErr w:type="spellEnd"/>
      <w:r>
        <w:t xml:space="preserve"> </w:t>
      </w:r>
      <w:r w:rsidRPr="00BF530D">
        <w:t xml:space="preserve">and Payroll tax are the other components which should be included in the TCE, but not in the remuneration package. The </w:t>
      </w:r>
      <w:proofErr w:type="spellStart"/>
      <w:r w:rsidRPr="00BF530D">
        <w:t>WorkCover</w:t>
      </w:r>
      <w:proofErr w:type="spellEnd"/>
      <w:r w:rsidRPr="00BF530D">
        <w:t xml:space="preserve"> cost is a variable cost dependent upon the agency's premium rate for any given year. Payroll tax is a determined percentage of salary and is paid by the employer. The department facilitating the appointment will need to ensure </w:t>
      </w:r>
      <w:proofErr w:type="spellStart"/>
      <w:r w:rsidRPr="00BF530D">
        <w:t>WorkCover</w:t>
      </w:r>
      <w:proofErr w:type="spellEnd"/>
      <w:r w:rsidRPr="00BF530D">
        <w:t xml:space="preserve"> and Payroll tax obligations are met, and included in the TCE. In most cases, </w:t>
      </w:r>
      <w:proofErr w:type="spellStart"/>
      <w:r w:rsidRPr="00BF530D">
        <w:t>WorkCover</w:t>
      </w:r>
      <w:proofErr w:type="spellEnd"/>
      <w:r w:rsidRPr="00BF530D">
        <w:t xml:space="preserve"> and Payroll tax will not be additional costs to employers as these have been incurred, in some form or another, since positions were established.</w:t>
      </w:r>
    </w:p>
    <w:p w14:paraId="383BEADA" w14:textId="77777777" w:rsidR="00276325" w:rsidRPr="00BF530D" w:rsidRDefault="00276325" w:rsidP="00276325">
      <w:pPr>
        <w:pStyle w:val="Heading3"/>
        <w:rPr>
          <w:b w:val="0"/>
          <w:bCs/>
          <w:sz w:val="28"/>
          <w:szCs w:val="28"/>
        </w:rPr>
      </w:pPr>
      <w:bookmarkStart w:id="157" w:name="_Toc147909868"/>
      <w:bookmarkStart w:id="158" w:name="_Toc176339478"/>
      <w:r w:rsidRPr="00BF530D">
        <w:lastRenderedPageBreak/>
        <w:t>Provision of a motor vehicle to board members</w:t>
      </w:r>
      <w:bookmarkEnd w:id="157"/>
      <w:bookmarkEnd w:id="158"/>
    </w:p>
    <w:p w14:paraId="6DAD7CB1" w14:textId="77777777" w:rsidR="00276325" w:rsidRPr="00A07618" w:rsidRDefault="00276325" w:rsidP="00276325">
      <w:pPr>
        <w:pStyle w:val="DPCbody"/>
        <w:numPr>
          <w:ilvl w:val="1"/>
          <w:numId w:val="18"/>
        </w:numPr>
        <w:ind w:left="851" w:hanging="567"/>
      </w:pPr>
      <w:r w:rsidRPr="00A07618">
        <w:t xml:space="preserve">Board members who are remunerated on an annual basis may be given access to an agency vehicle for business purposes. Motor vehicles should not be provided to appointees who are paid on a daily basis. </w:t>
      </w:r>
    </w:p>
    <w:p w14:paraId="33959341" w14:textId="77777777" w:rsidR="00276325" w:rsidRDefault="00276325" w:rsidP="00276325">
      <w:pPr>
        <w:pStyle w:val="DPCbody"/>
        <w:numPr>
          <w:ilvl w:val="1"/>
          <w:numId w:val="18"/>
        </w:numPr>
        <w:ind w:left="851" w:hanging="567"/>
      </w:pPr>
      <w:r w:rsidRPr="00BF530D">
        <w:t>Generally, board members should not be given access to motor vehicles for private use. If the board decides to provide a motor vehicle to a board member then the full cost of the private use component, calculated using an appropriate methodology, must be borne by the board member through a salary sacrifice arrangement. Departments will also need to seek specialist tax advice on a case-by-case basis to understand the tax implications if a motor vehicle is provided for private use.</w:t>
      </w:r>
    </w:p>
    <w:p w14:paraId="1C482F98" w14:textId="77777777" w:rsidR="006950AE" w:rsidRDefault="006950AE">
      <w:r>
        <w:br w:type="page"/>
      </w:r>
    </w:p>
    <w:p w14:paraId="378938D9" w14:textId="77777777" w:rsidR="008F404E" w:rsidRDefault="008F404E" w:rsidP="0017470B">
      <w:pPr>
        <w:pStyle w:val="Heading1"/>
        <w:numPr>
          <w:ilvl w:val="0"/>
          <w:numId w:val="18"/>
        </w:numPr>
        <w:ind w:left="851" w:hanging="567"/>
      </w:pPr>
      <w:bookmarkStart w:id="159" w:name="_Approving_an_appointment"/>
      <w:bookmarkStart w:id="160" w:name="_Toc147909869"/>
      <w:bookmarkStart w:id="161" w:name="_Toc176339479"/>
      <w:bookmarkEnd w:id="159"/>
      <w:r>
        <w:lastRenderedPageBreak/>
        <w:t>Approving an appointment</w:t>
      </w:r>
      <w:bookmarkEnd w:id="160"/>
      <w:bookmarkEnd w:id="161"/>
    </w:p>
    <w:p w14:paraId="56AB968A" w14:textId="77777777" w:rsidR="00082F4A" w:rsidRDefault="00082F4A" w:rsidP="00082F4A">
      <w:pPr>
        <w:pStyle w:val="Heading2"/>
      </w:pPr>
      <w:bookmarkStart w:id="162" w:name="_Toc147909870"/>
      <w:bookmarkStart w:id="163" w:name="_Toc176339480"/>
      <w:r>
        <w:t>Cabinet approval</w:t>
      </w:r>
      <w:bookmarkEnd w:id="162"/>
      <w:bookmarkEnd w:id="163"/>
    </w:p>
    <w:p w14:paraId="1705FA6E" w14:textId="77777777" w:rsidR="00082F4A" w:rsidRPr="00BF530D" w:rsidRDefault="00082F4A" w:rsidP="00082F4A">
      <w:pPr>
        <w:pStyle w:val="DPCbody"/>
        <w:numPr>
          <w:ilvl w:val="1"/>
          <w:numId w:val="18"/>
        </w:numPr>
        <w:ind w:left="851" w:hanging="567"/>
      </w:pPr>
      <w:r>
        <w:t xml:space="preserve">Cabinet approval </w:t>
      </w:r>
      <w:r w:rsidRPr="00BF530D">
        <w:t>(in addition to minister or Governor-in-Council approval, as relevant) is required for the appointment and remuneration of:</w:t>
      </w:r>
    </w:p>
    <w:p w14:paraId="5B65137E" w14:textId="77777777" w:rsidR="00082F4A" w:rsidRPr="00BF530D" w:rsidRDefault="00082F4A" w:rsidP="00082F4A">
      <w:pPr>
        <w:pStyle w:val="DPCbullet1"/>
        <w:numPr>
          <w:ilvl w:val="0"/>
          <w:numId w:val="21"/>
        </w:numPr>
        <w:spacing w:after="160"/>
        <w:ind w:left="1134"/>
      </w:pPr>
      <w:r w:rsidRPr="00BF530D">
        <w:t>all appointments to Group A entities</w:t>
      </w:r>
    </w:p>
    <w:p w14:paraId="4FA9B831" w14:textId="77777777" w:rsidR="00082F4A" w:rsidRPr="00BF530D" w:rsidRDefault="00082F4A" w:rsidP="00082F4A">
      <w:pPr>
        <w:pStyle w:val="DPCbullet1"/>
        <w:numPr>
          <w:ilvl w:val="0"/>
          <w:numId w:val="21"/>
        </w:numPr>
        <w:spacing w:after="160"/>
        <w:ind w:left="1134"/>
      </w:pPr>
      <w:r w:rsidRPr="00BF530D">
        <w:t>all appointments to Group B entities</w:t>
      </w:r>
    </w:p>
    <w:p w14:paraId="3D0C0D76" w14:textId="77777777" w:rsidR="00082F4A" w:rsidRPr="00BF530D" w:rsidRDefault="00082F4A" w:rsidP="00082F4A">
      <w:pPr>
        <w:pStyle w:val="DPCbullet1"/>
        <w:numPr>
          <w:ilvl w:val="0"/>
          <w:numId w:val="21"/>
        </w:numPr>
        <w:spacing w:after="160"/>
        <w:ind w:left="1134"/>
      </w:pPr>
      <w:r w:rsidRPr="00BF530D">
        <w:t>non-elected Chairs of Group C entities</w:t>
      </w:r>
    </w:p>
    <w:p w14:paraId="126D43A8" w14:textId="77777777" w:rsidR="00082F4A" w:rsidRPr="00BF530D" w:rsidRDefault="00082F4A" w:rsidP="00082F4A">
      <w:pPr>
        <w:pStyle w:val="DPCbullet1"/>
        <w:numPr>
          <w:ilvl w:val="0"/>
          <w:numId w:val="21"/>
        </w:numPr>
        <w:spacing w:after="160"/>
        <w:ind w:left="1134"/>
      </w:pPr>
      <w:r w:rsidRPr="00BF530D">
        <w:t>all appointments to Group D1 and D2 entities</w:t>
      </w:r>
    </w:p>
    <w:p w14:paraId="04C94B11" w14:textId="1A9D1F98" w:rsidR="00082F4A" w:rsidRPr="00BF530D" w:rsidRDefault="00082F4A" w:rsidP="00082F4A">
      <w:pPr>
        <w:pStyle w:val="DPCbullet1"/>
        <w:numPr>
          <w:ilvl w:val="0"/>
          <w:numId w:val="21"/>
        </w:numPr>
        <w:spacing w:after="160"/>
        <w:ind w:left="1134"/>
      </w:pPr>
      <w:r w:rsidRPr="00BF530D">
        <w:t>all single officer appointments made by the relevant minister or Governor in Council (</w:t>
      </w:r>
      <w:hyperlink w:anchor="_The_Guidelines_apply" w:history="1">
        <w:r w:rsidRPr="006F2F92">
          <w:rPr>
            <w:rStyle w:val="Hyperlink"/>
          </w:rPr>
          <w:t xml:space="preserve">see </w:t>
        </w:r>
        <w:r w:rsidRPr="00335109">
          <w:rPr>
            <w:rStyle w:val="Hyperlink"/>
            <w:color w:val="0072CE" w:themeColor="accent1"/>
            <w:u w:val="single"/>
          </w:rPr>
          <w:t>sections 2.2 to 2.4</w:t>
        </w:r>
      </w:hyperlink>
      <w:r w:rsidRPr="00BF530D">
        <w:t>).</w:t>
      </w:r>
    </w:p>
    <w:p w14:paraId="39518625" w14:textId="77777777" w:rsidR="00082F4A" w:rsidRPr="00BF530D" w:rsidRDefault="00082F4A" w:rsidP="00082F4A">
      <w:pPr>
        <w:pStyle w:val="DPCbody"/>
        <w:ind w:left="851"/>
      </w:pPr>
      <w:bookmarkStart w:id="164" w:name="_Ref512858575"/>
      <w:r w:rsidRPr="00BF530D">
        <w:t>In addition, Cabinet approval is also required for:</w:t>
      </w:r>
      <w:bookmarkEnd w:id="164"/>
    </w:p>
    <w:p w14:paraId="07941169" w14:textId="6D2D3920" w:rsidR="00082F4A" w:rsidRPr="00BF530D" w:rsidRDefault="00082F4A" w:rsidP="00082F4A">
      <w:pPr>
        <w:pStyle w:val="DPCbullet1"/>
        <w:numPr>
          <w:ilvl w:val="0"/>
          <w:numId w:val="21"/>
        </w:numPr>
        <w:spacing w:after="160"/>
        <w:ind w:left="1134"/>
      </w:pPr>
      <w:r w:rsidRPr="00BF530D">
        <w:t>proposed appointments of sitting Members of Parliament (</w:t>
      </w:r>
      <w:hyperlink w:anchor="_Members_of_Parliament" w:history="1">
        <w:r w:rsidRPr="006F2F92">
          <w:rPr>
            <w:rStyle w:val="Hyperlink"/>
          </w:rPr>
          <w:t xml:space="preserve">see sections </w:t>
        </w:r>
        <w:r w:rsidRPr="00AB5C1C">
          <w:rPr>
            <w:rStyle w:val="Hyperlink"/>
            <w:color w:val="0072CE" w:themeColor="accent1"/>
            <w:u w:val="single"/>
          </w:rPr>
          <w:t>4.14 to 4.17</w:t>
        </w:r>
      </w:hyperlink>
      <w:r w:rsidRPr="00BF530D">
        <w:t>)</w:t>
      </w:r>
    </w:p>
    <w:p w14:paraId="566CA60F" w14:textId="6C81BE8F" w:rsidR="00082F4A" w:rsidRPr="00BF530D" w:rsidRDefault="00082F4A" w:rsidP="00082F4A">
      <w:pPr>
        <w:pStyle w:val="DPCbullet1"/>
        <w:numPr>
          <w:ilvl w:val="0"/>
          <w:numId w:val="21"/>
        </w:numPr>
        <w:spacing w:after="160"/>
        <w:ind w:left="1134"/>
      </w:pPr>
      <w:r w:rsidRPr="00BF530D">
        <w:t>irregular terms and conditions, for example, remuneration above the bands (</w:t>
      </w:r>
      <w:hyperlink w:anchor="_Remuneration_above_the" w:history="1">
        <w:r w:rsidRPr="00BF530D">
          <w:rPr>
            <w:rStyle w:val="Hyperlink"/>
          </w:rPr>
          <w:t>see section</w:t>
        </w:r>
        <w:r>
          <w:rPr>
            <w:rStyle w:val="Hyperlink"/>
          </w:rPr>
          <w:t>s</w:t>
        </w:r>
        <w:r w:rsidRPr="00BF530D">
          <w:rPr>
            <w:rStyle w:val="Hyperlink"/>
          </w:rPr>
          <w:t xml:space="preserve"> </w:t>
        </w:r>
        <w:r w:rsidRPr="00AB5C1C">
          <w:rPr>
            <w:rStyle w:val="Hyperlink"/>
            <w:color w:val="0072CE" w:themeColor="accent1"/>
            <w:u w:val="single"/>
          </w:rPr>
          <w:t>6.1</w:t>
        </w:r>
        <w:r w:rsidR="00960B89">
          <w:rPr>
            <w:rStyle w:val="Hyperlink"/>
            <w:color w:val="0072CE" w:themeColor="accent1"/>
            <w:u w:val="single"/>
          </w:rPr>
          <w:t>6</w:t>
        </w:r>
        <w:r w:rsidRPr="00AB5C1C">
          <w:rPr>
            <w:rStyle w:val="Hyperlink"/>
            <w:color w:val="0072CE" w:themeColor="accent1"/>
            <w:u w:val="single"/>
          </w:rPr>
          <w:t xml:space="preserve"> to 6.1</w:t>
        </w:r>
        <w:r w:rsidR="00960B89">
          <w:rPr>
            <w:rStyle w:val="Hyperlink"/>
            <w:color w:val="0072CE" w:themeColor="accent1"/>
            <w:u w:val="single"/>
          </w:rPr>
          <w:t>8</w:t>
        </w:r>
      </w:hyperlink>
      <w:r w:rsidRPr="00BF530D">
        <w:t>)</w:t>
      </w:r>
    </w:p>
    <w:p w14:paraId="212B8124" w14:textId="77777777" w:rsidR="00082F4A" w:rsidRPr="00BF530D" w:rsidRDefault="00082F4A" w:rsidP="00082F4A">
      <w:pPr>
        <w:pStyle w:val="DPCbullet1"/>
        <w:numPr>
          <w:ilvl w:val="0"/>
          <w:numId w:val="21"/>
        </w:numPr>
        <w:spacing w:after="160"/>
        <w:ind w:left="1134"/>
      </w:pPr>
      <w:r w:rsidRPr="00BF530D">
        <w:t>elevation of a Member or Deputy Chair of a Group C entity to a position that would usually be considered by Cabinet (for example, the Chair position), where the Deputy is elevated to this position for more than three months, subject to legislative requirements or terms of reference (e.g. if the Act requires the Deputy to be automatically elevated if the position is vacant, Cabinet approval is not required)</w:t>
      </w:r>
    </w:p>
    <w:p w14:paraId="1D0606F1" w14:textId="77777777" w:rsidR="00082F4A" w:rsidRDefault="00082F4A" w:rsidP="00082F4A">
      <w:pPr>
        <w:pStyle w:val="DPCbullet1"/>
        <w:numPr>
          <w:ilvl w:val="0"/>
          <w:numId w:val="21"/>
        </w:numPr>
        <w:spacing w:after="160"/>
        <w:ind w:left="1134"/>
      </w:pPr>
      <w:r w:rsidRPr="00BF530D">
        <w:t>appointments considered to be sensitive or significant (please consult Governance Branch, DPC to determine whether the appointment is sensitive or significant).</w:t>
      </w:r>
    </w:p>
    <w:p w14:paraId="0B44FC42" w14:textId="77777777" w:rsidR="00082F4A" w:rsidRDefault="00082F4A" w:rsidP="00082F4A">
      <w:pPr>
        <w:pStyle w:val="Heading2"/>
      </w:pPr>
      <w:bookmarkStart w:id="165" w:name="_Toc147909871"/>
      <w:bookmarkStart w:id="166" w:name="_Toc176339481"/>
      <w:r>
        <w:t>When may an appointment be made without Cabinet approval?</w:t>
      </w:r>
      <w:bookmarkEnd w:id="165"/>
      <w:bookmarkEnd w:id="166"/>
    </w:p>
    <w:p w14:paraId="708E25FF" w14:textId="6CA2C8E1" w:rsidR="00082F4A" w:rsidRPr="00B85DE8" w:rsidRDefault="00082F4A" w:rsidP="00082F4A">
      <w:pPr>
        <w:pStyle w:val="DPCbody"/>
        <w:numPr>
          <w:ilvl w:val="1"/>
          <w:numId w:val="18"/>
        </w:numPr>
        <w:ind w:left="851" w:hanging="567"/>
      </w:pPr>
      <w:r>
        <w:t xml:space="preserve">Subject to </w:t>
      </w:r>
      <w:r w:rsidRPr="00B85DE8">
        <w:t xml:space="preserve">legislative requirements and the exceptions outlined in </w:t>
      </w:r>
      <w:hyperlink w:anchor="_Remuneration_above_the" w:history="1">
        <w:r w:rsidRPr="00917228">
          <w:rPr>
            <w:rStyle w:val="Hyperlink"/>
          </w:rPr>
          <w:t xml:space="preserve">sections </w:t>
        </w:r>
        <w:r w:rsidRPr="008C2312">
          <w:rPr>
            <w:rStyle w:val="Hyperlink"/>
            <w:color w:val="0072CE" w:themeColor="accent1"/>
            <w:u w:val="single"/>
          </w:rPr>
          <w:t>6.1</w:t>
        </w:r>
        <w:r w:rsidR="00960B89">
          <w:rPr>
            <w:rStyle w:val="Hyperlink"/>
            <w:color w:val="0072CE" w:themeColor="accent1"/>
            <w:u w:val="single"/>
          </w:rPr>
          <w:t>6</w:t>
        </w:r>
        <w:r w:rsidRPr="008C2312">
          <w:rPr>
            <w:rStyle w:val="Hyperlink"/>
            <w:color w:val="0072CE" w:themeColor="accent1"/>
            <w:u w:val="single"/>
          </w:rPr>
          <w:t xml:space="preserve"> to 6.1</w:t>
        </w:r>
        <w:r w:rsidR="00960B89">
          <w:rPr>
            <w:rStyle w:val="Hyperlink"/>
            <w:color w:val="0072CE" w:themeColor="accent1"/>
            <w:u w:val="single"/>
          </w:rPr>
          <w:t>8</w:t>
        </w:r>
      </w:hyperlink>
      <w:r w:rsidRPr="00B85DE8">
        <w:t>, ministers have discretion to approve the appointment and remuneration of:</w:t>
      </w:r>
    </w:p>
    <w:p w14:paraId="1854A66B" w14:textId="77777777" w:rsidR="00082F4A" w:rsidRPr="00B85DE8" w:rsidRDefault="00082F4A" w:rsidP="00082F4A">
      <w:pPr>
        <w:pStyle w:val="DPCbody"/>
        <w:numPr>
          <w:ilvl w:val="1"/>
          <w:numId w:val="18"/>
        </w:numPr>
        <w:ind w:left="1425"/>
      </w:pPr>
      <w:r w:rsidRPr="00B85DE8">
        <w:t>all appointments to Group C entities except non-elected Chairs</w:t>
      </w:r>
    </w:p>
    <w:p w14:paraId="0281173D" w14:textId="77777777" w:rsidR="00082F4A" w:rsidRDefault="00082F4A" w:rsidP="00082F4A">
      <w:pPr>
        <w:pStyle w:val="DPCbody"/>
        <w:numPr>
          <w:ilvl w:val="1"/>
          <w:numId w:val="18"/>
        </w:numPr>
        <w:ind w:left="1425"/>
      </w:pPr>
      <w:r w:rsidRPr="00B85DE8">
        <w:t>all appointments to Group D3 entities.</w:t>
      </w:r>
    </w:p>
    <w:p w14:paraId="2D6533C3" w14:textId="77777777" w:rsidR="00082F4A" w:rsidRPr="00B85DE8" w:rsidRDefault="00082F4A" w:rsidP="00082F4A">
      <w:pPr>
        <w:pStyle w:val="Heading3"/>
        <w:rPr>
          <w:b w:val="0"/>
          <w:bCs/>
          <w:sz w:val="28"/>
          <w:szCs w:val="28"/>
        </w:rPr>
      </w:pPr>
      <w:bookmarkStart w:id="167" w:name="_Toc147909872"/>
      <w:bookmarkStart w:id="168" w:name="_Toc176339482"/>
      <w:r w:rsidRPr="00B85DE8">
        <w:t xml:space="preserve">Short-term appointments </w:t>
      </w:r>
      <w:r w:rsidRPr="00984405">
        <w:t>without Cabinet approval</w:t>
      </w:r>
      <w:bookmarkEnd w:id="167"/>
      <w:bookmarkEnd w:id="168"/>
    </w:p>
    <w:p w14:paraId="1E7F86F4" w14:textId="77777777" w:rsidR="00082F4A" w:rsidRPr="00B85DE8" w:rsidRDefault="00082F4A" w:rsidP="00082F4A">
      <w:pPr>
        <w:pStyle w:val="DPCbody"/>
        <w:numPr>
          <w:ilvl w:val="1"/>
          <w:numId w:val="18"/>
        </w:numPr>
        <w:ind w:left="851" w:hanging="567"/>
      </w:pPr>
      <w:r>
        <w:t xml:space="preserve">Short-term appointments </w:t>
      </w:r>
      <w:r w:rsidRPr="00B85DE8">
        <w:t xml:space="preserve">to non-departmental entities for periods of up to three months may be made on the recommendation of the minister without the prior approval of Cabinet. </w:t>
      </w:r>
    </w:p>
    <w:p w14:paraId="1D68F138" w14:textId="77777777" w:rsidR="00082F4A" w:rsidRPr="00B85DE8" w:rsidRDefault="00082F4A" w:rsidP="00082F4A">
      <w:pPr>
        <w:pStyle w:val="DPCbody"/>
        <w:numPr>
          <w:ilvl w:val="1"/>
          <w:numId w:val="18"/>
        </w:numPr>
        <w:ind w:left="851" w:hanging="567"/>
      </w:pPr>
      <w:r w:rsidRPr="00B85DE8">
        <w:t>This exemption from Cabinet consideration for short-term appointments is for exceptional circumstances and can only be used once. Any subsequent short-term or permanent appointments to the same role will require Cabinet approval.</w:t>
      </w:r>
    </w:p>
    <w:p w14:paraId="5DFABC1F" w14:textId="77777777" w:rsidR="00082F4A" w:rsidRDefault="00082F4A" w:rsidP="00082F4A">
      <w:pPr>
        <w:pStyle w:val="DPCbody"/>
        <w:numPr>
          <w:ilvl w:val="1"/>
          <w:numId w:val="18"/>
        </w:numPr>
        <w:ind w:left="851" w:hanging="567"/>
      </w:pPr>
      <w:bookmarkStart w:id="169" w:name="_Ref86323165"/>
      <w:r w:rsidRPr="00B85DE8">
        <w:t>Efforts should be made to permanently fill a vacancy while a short-term appointment is in place.</w:t>
      </w:r>
      <w:bookmarkEnd w:id="169"/>
    </w:p>
    <w:p w14:paraId="770FD5BD" w14:textId="77777777" w:rsidR="00082F4A" w:rsidRDefault="00082F4A" w:rsidP="00082F4A">
      <w:pPr>
        <w:pStyle w:val="Heading2"/>
      </w:pPr>
      <w:bookmarkStart w:id="170" w:name="_Toc147909873"/>
      <w:bookmarkStart w:id="171" w:name="_Toc176339483"/>
      <w:r>
        <w:lastRenderedPageBreak/>
        <w:t>Statutory appointments may also need to be made by the Governor-in-Council</w:t>
      </w:r>
      <w:bookmarkEnd w:id="170"/>
      <w:bookmarkEnd w:id="171"/>
    </w:p>
    <w:p w14:paraId="3587A3C1" w14:textId="77777777" w:rsidR="00082F4A" w:rsidRPr="00B85DE8" w:rsidRDefault="00082F4A" w:rsidP="00082F4A">
      <w:pPr>
        <w:pStyle w:val="DPCbody"/>
        <w:numPr>
          <w:ilvl w:val="1"/>
          <w:numId w:val="18"/>
        </w:numPr>
        <w:ind w:left="851" w:hanging="567"/>
      </w:pPr>
      <w:r>
        <w:t xml:space="preserve">Some statutory </w:t>
      </w:r>
      <w:r w:rsidRPr="00B85DE8">
        <w:t>appointments are made by the Governor-in-Council, as outlined in the relevant legislation. All Governor-in-Council orders of appointment follow a similar format. The Clerk, Executive Council, can provide up to date templates.</w:t>
      </w:r>
    </w:p>
    <w:p w14:paraId="2FA1F2C3" w14:textId="77777777" w:rsidR="00082F4A" w:rsidRPr="00B85DE8" w:rsidRDefault="00082F4A" w:rsidP="00082F4A">
      <w:pPr>
        <w:pStyle w:val="DPCbody"/>
        <w:numPr>
          <w:ilvl w:val="1"/>
          <w:numId w:val="18"/>
        </w:numPr>
        <w:ind w:left="851" w:hanging="567"/>
      </w:pPr>
      <w:r w:rsidRPr="00B85DE8">
        <w:t xml:space="preserve">For more information on the Executive Council and making Orders in Council, please contact the Clerk of the Executive Council at  </w:t>
      </w:r>
      <w:hyperlink r:id="rId61" w:history="1">
        <w:r w:rsidRPr="0066770F">
          <w:rPr>
            <w:rStyle w:val="Hyperlink"/>
            <w:color w:val="0072CE" w:themeColor="accent1"/>
            <w:u w:val="single"/>
          </w:rPr>
          <w:t>executivecouncil@dpc.vic.gov.au</w:t>
        </w:r>
      </w:hyperlink>
      <w:r w:rsidRPr="0066770F">
        <w:rPr>
          <w:color w:val="0072CE" w:themeColor="accent1"/>
          <w:u w:val="single"/>
        </w:rPr>
        <w:t>.</w:t>
      </w:r>
      <w:r w:rsidRPr="00B85DE8">
        <w:t xml:space="preserve">     </w:t>
      </w:r>
    </w:p>
    <w:p w14:paraId="72EAFFE6" w14:textId="77777777" w:rsidR="00082F4A" w:rsidRDefault="00082F4A" w:rsidP="00082F4A">
      <w:pPr>
        <w:pStyle w:val="DPCbody"/>
        <w:numPr>
          <w:ilvl w:val="1"/>
          <w:numId w:val="18"/>
        </w:numPr>
        <w:ind w:left="851" w:hanging="567"/>
      </w:pPr>
      <w:r w:rsidRPr="00B85DE8">
        <w:t>If an appointment was approved by Cabinet and then made by Governor-in-Council, then any changes to the schedule (including remuneration) must also be approved by Cabinet and made by Governor-in-Council.</w:t>
      </w:r>
    </w:p>
    <w:p w14:paraId="3B34222C" w14:textId="5A0FC946" w:rsidR="00A33280" w:rsidRDefault="00A33280">
      <w:pPr>
        <w:rPr>
          <w:rFonts w:eastAsia="Times" w:cs="Arial"/>
          <w:color w:val="000000" w:themeColor="text1"/>
          <w:sz w:val="22"/>
          <w:szCs w:val="22"/>
          <w:lang w:eastAsia="en-US"/>
        </w:rPr>
      </w:pPr>
      <w:r>
        <w:br w:type="page"/>
      </w:r>
    </w:p>
    <w:p w14:paraId="41C94C42" w14:textId="77777777" w:rsidR="00A33280" w:rsidRDefault="00A33280" w:rsidP="0017470B">
      <w:pPr>
        <w:pStyle w:val="Heading1"/>
        <w:numPr>
          <w:ilvl w:val="0"/>
          <w:numId w:val="18"/>
        </w:numPr>
        <w:ind w:left="851" w:hanging="644"/>
      </w:pPr>
      <w:bookmarkStart w:id="172" w:name="_Toc147909874"/>
      <w:bookmarkStart w:id="173" w:name="_Toc176339484"/>
      <w:r>
        <w:lastRenderedPageBreak/>
        <w:t>Finalising an appointment</w:t>
      </w:r>
      <w:bookmarkEnd w:id="172"/>
      <w:bookmarkEnd w:id="173"/>
    </w:p>
    <w:p w14:paraId="6971E3EA" w14:textId="77777777" w:rsidR="00E05E83" w:rsidRDefault="00E05E83" w:rsidP="00E05E83">
      <w:pPr>
        <w:pStyle w:val="Heading2"/>
      </w:pPr>
      <w:bookmarkStart w:id="174" w:name="_Toc147909875"/>
      <w:bookmarkStart w:id="175" w:name="_Toc176339485"/>
      <w:r>
        <w:t>Advising appointees of their legal responsibilities</w:t>
      </w:r>
      <w:bookmarkEnd w:id="174"/>
      <w:bookmarkEnd w:id="175"/>
    </w:p>
    <w:p w14:paraId="582D8725" w14:textId="77777777" w:rsidR="00E05E83" w:rsidRPr="006F51D2" w:rsidRDefault="00E05E83" w:rsidP="00E05E83">
      <w:pPr>
        <w:pStyle w:val="DPCbody"/>
        <w:numPr>
          <w:ilvl w:val="1"/>
          <w:numId w:val="18"/>
        </w:numPr>
        <w:ind w:left="851" w:hanging="567"/>
      </w:pPr>
      <w:r w:rsidRPr="006F51D2">
        <w:t>Depending on the nature of the role, appointees may be taking on various legal responsibilities.</w:t>
      </w:r>
    </w:p>
    <w:p w14:paraId="65A675C0" w14:textId="77777777" w:rsidR="00E05E83" w:rsidRPr="006F51D2" w:rsidRDefault="00E05E83" w:rsidP="00E05E83">
      <w:pPr>
        <w:pStyle w:val="DPCbullet1"/>
        <w:numPr>
          <w:ilvl w:val="0"/>
          <w:numId w:val="21"/>
        </w:numPr>
        <w:spacing w:after="160"/>
        <w:ind w:left="1134"/>
      </w:pPr>
      <w:r w:rsidRPr="006F51D2">
        <w:t>All appointees to ‘boards of management’</w:t>
      </w:r>
      <w:r w:rsidRPr="006F51D2">
        <w:rPr>
          <w:vertAlign w:val="superscript"/>
        </w:rPr>
        <w:footnoteReference w:id="7"/>
      </w:r>
      <w:r w:rsidRPr="006F51D2">
        <w:t xml:space="preserve"> are subject to common law obligations and duties as Directors. Depending on the entity, they may also be subject to specific statutory duties and obligations, including obligations under the </w:t>
      </w:r>
      <w:r w:rsidRPr="006F51D2">
        <w:rPr>
          <w:i/>
        </w:rPr>
        <w:t>Charter of Human Rights and Responsibilities Act 2006</w:t>
      </w:r>
      <w:r w:rsidRPr="006F51D2">
        <w:t xml:space="preserve"> (Vic).</w:t>
      </w:r>
    </w:p>
    <w:p w14:paraId="3E002263" w14:textId="77777777" w:rsidR="00E05E83" w:rsidRPr="006F51D2" w:rsidRDefault="00E05E83" w:rsidP="00E05E83">
      <w:pPr>
        <w:pStyle w:val="DPCbullet1"/>
        <w:numPr>
          <w:ilvl w:val="0"/>
          <w:numId w:val="21"/>
        </w:numPr>
        <w:spacing w:after="160"/>
        <w:ind w:left="1134"/>
      </w:pPr>
      <w:r w:rsidRPr="006F51D2">
        <w:t xml:space="preserve">If the non-departmental entity is incorporated under the </w:t>
      </w:r>
      <w:r w:rsidRPr="006F51D2">
        <w:rPr>
          <w:i/>
        </w:rPr>
        <w:t>Corporations Act 2001</w:t>
      </w:r>
      <w:r w:rsidRPr="006F51D2">
        <w:t xml:space="preserve"> (</w:t>
      </w:r>
      <w:proofErr w:type="spellStart"/>
      <w:r w:rsidRPr="006F51D2">
        <w:t>Cth</w:t>
      </w:r>
      <w:proofErr w:type="spellEnd"/>
      <w:r w:rsidRPr="006F51D2">
        <w:t xml:space="preserve">) or is established under the </w:t>
      </w:r>
      <w:r w:rsidRPr="006F51D2">
        <w:rPr>
          <w:i/>
        </w:rPr>
        <w:t>State Owned Enterprises Act 1992</w:t>
      </w:r>
      <w:r w:rsidRPr="006F51D2">
        <w:t xml:space="preserve"> (Vic), appointees may have specific legal obligations as company directors.</w:t>
      </w:r>
    </w:p>
    <w:p w14:paraId="26340F6D" w14:textId="77777777" w:rsidR="00E05E83" w:rsidRPr="006F51D2" w:rsidRDefault="00E05E83" w:rsidP="00E05E83">
      <w:pPr>
        <w:pStyle w:val="DPCbullet1"/>
        <w:numPr>
          <w:ilvl w:val="0"/>
          <w:numId w:val="21"/>
        </w:numPr>
        <w:spacing w:after="160"/>
        <w:ind w:left="1134"/>
      </w:pPr>
      <w:r w:rsidRPr="006F51D2">
        <w:t xml:space="preserve">Appointees to single officer roles may have legal responsibilities specific to the role to which they are appointed.  </w:t>
      </w:r>
    </w:p>
    <w:p w14:paraId="36408BCF" w14:textId="77777777" w:rsidR="00E05E83" w:rsidRPr="00B85DE8" w:rsidRDefault="00E05E83" w:rsidP="00E05E83">
      <w:pPr>
        <w:pStyle w:val="DPCbody"/>
        <w:numPr>
          <w:ilvl w:val="1"/>
          <w:numId w:val="18"/>
        </w:numPr>
        <w:ind w:left="851" w:hanging="567"/>
      </w:pPr>
      <w:r w:rsidRPr="006F51D2">
        <w:t>The Government and its representatives should not provide legal advice to potential appointees of their personal liabilities and responsibilities, which are often complex. Departments and entities should instead advise potential appointees to seek independent legal advice. Costs for this advice should be borne by the appointee. Potential board</w:t>
      </w:r>
      <w:r w:rsidRPr="00B85DE8">
        <w:t xml:space="preserve"> appointees can also seek specialist information and advice from other sources, such as the Australian Institute of Company Directors.</w:t>
      </w:r>
    </w:p>
    <w:p w14:paraId="65405B6A" w14:textId="77777777" w:rsidR="00E05E83" w:rsidRDefault="00E05E83" w:rsidP="00E05E83">
      <w:pPr>
        <w:pStyle w:val="DPCbody"/>
        <w:numPr>
          <w:ilvl w:val="1"/>
          <w:numId w:val="18"/>
        </w:numPr>
        <w:ind w:left="851" w:hanging="567"/>
      </w:pPr>
      <w:r w:rsidRPr="00B85DE8">
        <w:t>In relation to personal financial interests, departments and entities should advise potential appointees to seek independent financial advice.</w:t>
      </w:r>
    </w:p>
    <w:p w14:paraId="70FFDBD4" w14:textId="77777777" w:rsidR="00E05E83" w:rsidRDefault="00E05E83" w:rsidP="00E05E83">
      <w:pPr>
        <w:pStyle w:val="Heading2"/>
      </w:pPr>
      <w:bookmarkStart w:id="176" w:name="_Toc147909876"/>
      <w:bookmarkStart w:id="177" w:name="_Toc176339486"/>
      <w:r>
        <w:t>Inducting board appointees</w:t>
      </w:r>
      <w:bookmarkEnd w:id="176"/>
      <w:bookmarkEnd w:id="177"/>
    </w:p>
    <w:p w14:paraId="22A14A8E" w14:textId="77777777" w:rsidR="00E05E83" w:rsidRPr="00B85DE8" w:rsidRDefault="00E05E83" w:rsidP="00E05E83">
      <w:pPr>
        <w:pStyle w:val="DPCbody"/>
        <w:numPr>
          <w:ilvl w:val="1"/>
          <w:numId w:val="18"/>
        </w:numPr>
        <w:ind w:left="851" w:hanging="567"/>
      </w:pPr>
      <w:r>
        <w:t xml:space="preserve">Induction procedures </w:t>
      </w:r>
      <w:r w:rsidRPr="00B85DE8">
        <w:t xml:space="preserve">should be in place to enable new board members to participate fully and actively in board decision-making at the earliest opportunity. </w:t>
      </w:r>
      <w:r>
        <w:t>Join a Public Board</w:t>
      </w:r>
      <w:r w:rsidRPr="00B85DE8">
        <w:t xml:space="preserve"> has issued a </w:t>
      </w:r>
      <w:hyperlink r:id="rId62" w:history="1">
        <w:r w:rsidRPr="00B560A2">
          <w:rPr>
            <w:rStyle w:val="Hyperlink"/>
            <w:color w:val="0072CE" w:themeColor="accent1"/>
            <w:u w:val="single"/>
          </w:rPr>
          <w:t>checklist</w:t>
        </w:r>
      </w:hyperlink>
      <w:r w:rsidRPr="00B85DE8">
        <w:t xml:space="preserve"> to assist with board induction. </w:t>
      </w:r>
    </w:p>
    <w:p w14:paraId="20B5EADA" w14:textId="77777777" w:rsidR="00E05E83" w:rsidRPr="00B85DE8" w:rsidRDefault="00E05E83" w:rsidP="00E05E83">
      <w:pPr>
        <w:pStyle w:val="DPCbody"/>
        <w:numPr>
          <w:ilvl w:val="1"/>
          <w:numId w:val="18"/>
        </w:numPr>
        <w:ind w:left="851" w:hanging="567"/>
      </w:pPr>
      <w:r w:rsidRPr="00B85DE8">
        <w:t xml:space="preserve">At a minimum, all board members should be provided with: </w:t>
      </w:r>
    </w:p>
    <w:p w14:paraId="7DFF68AF" w14:textId="77777777" w:rsidR="00E05E83" w:rsidRPr="00B85DE8" w:rsidRDefault="00E05E83" w:rsidP="00E05E83">
      <w:pPr>
        <w:pStyle w:val="DPCbullet1"/>
        <w:numPr>
          <w:ilvl w:val="0"/>
          <w:numId w:val="21"/>
        </w:numPr>
        <w:spacing w:after="160"/>
        <w:ind w:left="1134"/>
      </w:pPr>
      <w:hyperlink r:id="rId63">
        <w:r w:rsidRPr="00B560A2">
          <w:rPr>
            <w:rStyle w:val="Hyperlink"/>
            <w:color w:val="0072CE" w:themeColor="accent1"/>
            <w:u w:val="single"/>
          </w:rPr>
          <w:t>Integrity guidance</w:t>
        </w:r>
      </w:hyperlink>
      <w:r>
        <w:t xml:space="preserve"> for board directors</w:t>
      </w:r>
    </w:p>
    <w:p w14:paraId="4A600A51" w14:textId="77777777" w:rsidR="00E05E83" w:rsidRPr="00B85DE8" w:rsidRDefault="00E05E83" w:rsidP="00E05E83">
      <w:pPr>
        <w:pStyle w:val="DPCbullet1"/>
        <w:numPr>
          <w:ilvl w:val="0"/>
          <w:numId w:val="21"/>
        </w:numPr>
        <w:spacing w:after="160"/>
        <w:ind w:left="1134"/>
      </w:pPr>
      <w:r w:rsidRPr="00B85DE8">
        <w:t xml:space="preserve">a code of conduct </w:t>
      </w:r>
      <w:r>
        <w:t>–</w:t>
      </w:r>
      <w:r w:rsidRPr="00B85DE8">
        <w:t xml:space="preserve"> the</w:t>
      </w:r>
      <w:r>
        <w:t xml:space="preserve"> Join a Public Board’s </w:t>
      </w:r>
      <w:hyperlink r:id="rId64" w:history="1">
        <w:r w:rsidRPr="00B560A2">
          <w:rPr>
            <w:rStyle w:val="Hyperlink"/>
            <w:color w:val="0072CE" w:themeColor="accent1"/>
            <w:u w:val="single"/>
          </w:rPr>
          <w:t>Code of Conduct for Directors of Victorian Public Entities</w:t>
        </w:r>
      </w:hyperlink>
      <w:r>
        <w:rPr>
          <w:rStyle w:val="Hyperlink"/>
        </w:rPr>
        <w:t xml:space="preserve"> </w:t>
      </w:r>
      <w:r>
        <w:t xml:space="preserve">and any other </w:t>
      </w:r>
      <w:r w:rsidRPr="00B85DE8">
        <w:t xml:space="preserve">material endorsed by the board and specific to the non- departmental entity </w:t>
      </w:r>
    </w:p>
    <w:p w14:paraId="6178B24B" w14:textId="77777777" w:rsidR="00E05E83" w:rsidRPr="00B85DE8" w:rsidRDefault="00E05E83" w:rsidP="00E05E83">
      <w:pPr>
        <w:pStyle w:val="DPCbullet1"/>
        <w:numPr>
          <w:ilvl w:val="0"/>
          <w:numId w:val="21"/>
        </w:numPr>
        <w:spacing w:after="160"/>
        <w:ind w:left="1134"/>
      </w:pPr>
      <w:r w:rsidRPr="00B85DE8">
        <w:t xml:space="preserve">conflict of interest policy and guidance - either material endorsed by the board and specific to the non-departmental entity, or </w:t>
      </w:r>
      <w:r>
        <w:t xml:space="preserve">Join a Public Board’s </w:t>
      </w:r>
      <w:hyperlink r:id="rId65" w:history="1">
        <w:r w:rsidRPr="00AF5006">
          <w:rPr>
            <w:rStyle w:val="Hyperlink"/>
            <w:color w:val="0072CE" w:themeColor="accent1"/>
            <w:u w:val="single"/>
          </w:rPr>
          <w:t>Conflicts of Interest and Duty as a Board Director</w:t>
        </w:r>
      </w:hyperlink>
      <w:r>
        <w:t xml:space="preserve"> guidance. </w:t>
      </w:r>
      <w:r w:rsidRPr="00B85DE8">
        <w:t xml:space="preserve"> </w:t>
      </w:r>
    </w:p>
    <w:p w14:paraId="6E5CE486" w14:textId="77777777" w:rsidR="00E05E83" w:rsidRDefault="00E05E83" w:rsidP="00E05E83">
      <w:pPr>
        <w:pStyle w:val="DPCbullet1"/>
        <w:numPr>
          <w:ilvl w:val="0"/>
          <w:numId w:val="21"/>
        </w:numPr>
        <w:spacing w:after="160"/>
        <w:ind w:left="1134"/>
      </w:pPr>
      <w:r w:rsidRPr="00B85DE8">
        <w:lastRenderedPageBreak/>
        <w:t>relevant establishing legislation, Order-in-Council instruments or constituting terms of reference</w:t>
      </w:r>
    </w:p>
    <w:p w14:paraId="7CB7DD7D" w14:textId="77777777" w:rsidR="00E05E83" w:rsidRPr="00B85DE8" w:rsidRDefault="00E05E83" w:rsidP="00E05E83">
      <w:pPr>
        <w:pStyle w:val="DPCbullet1"/>
        <w:numPr>
          <w:ilvl w:val="0"/>
          <w:numId w:val="21"/>
        </w:numPr>
        <w:spacing w:after="160"/>
        <w:ind w:left="1134"/>
      </w:pPr>
      <w:r>
        <w:t xml:space="preserve">all </w:t>
      </w:r>
      <w:r w:rsidRPr="00B85DE8">
        <w:t>policies adopted by, or relevant to, the non-departmental entity or the board of the non-departmental entity</w:t>
      </w:r>
    </w:p>
    <w:p w14:paraId="34B90B82" w14:textId="77777777" w:rsidR="00E05E83" w:rsidRPr="00B85DE8" w:rsidRDefault="00E05E83" w:rsidP="00E05E83">
      <w:pPr>
        <w:pStyle w:val="DPCbullet1"/>
        <w:numPr>
          <w:ilvl w:val="0"/>
          <w:numId w:val="21"/>
        </w:numPr>
        <w:spacing w:after="160"/>
        <w:ind w:left="1134"/>
      </w:pPr>
      <w:r w:rsidRPr="00B85DE8">
        <w:t>an accurate overview of the current financial, strategic and operational position of the non-departmental entity</w:t>
      </w:r>
    </w:p>
    <w:p w14:paraId="39FB40E2" w14:textId="77777777" w:rsidR="00E05E83" w:rsidRPr="00B85DE8" w:rsidRDefault="00E05E83" w:rsidP="00E05E83">
      <w:pPr>
        <w:pStyle w:val="DPCbullet1"/>
        <w:numPr>
          <w:ilvl w:val="0"/>
          <w:numId w:val="21"/>
        </w:numPr>
        <w:spacing w:after="160"/>
        <w:ind w:left="1134"/>
      </w:pPr>
      <w:r w:rsidRPr="00B85DE8">
        <w:t>a description of the respective roles of, and the relationships between, the entity, the relevant department and the responsible minister</w:t>
      </w:r>
    </w:p>
    <w:p w14:paraId="76F502F4" w14:textId="77777777" w:rsidR="00E05E83" w:rsidRDefault="00E05E83" w:rsidP="00E05E83">
      <w:pPr>
        <w:pStyle w:val="DPCbullet1"/>
        <w:numPr>
          <w:ilvl w:val="0"/>
          <w:numId w:val="21"/>
        </w:numPr>
        <w:spacing w:after="160"/>
        <w:ind w:left="1134"/>
      </w:pPr>
      <w:r w:rsidRPr="00B85DE8">
        <w:t>if applicable, an understanding of the roles and responsibilities of senior executives.</w:t>
      </w:r>
    </w:p>
    <w:p w14:paraId="307F3737" w14:textId="77777777" w:rsidR="00E05E83" w:rsidRDefault="00E05E83" w:rsidP="00E05E83">
      <w:pPr>
        <w:pStyle w:val="Heading2"/>
      </w:pPr>
      <w:bookmarkStart w:id="178" w:name="_Toc147909877"/>
      <w:bookmarkStart w:id="179" w:name="_Toc176339487"/>
      <w:r>
        <w:t>Planning and reporting to support good governance</w:t>
      </w:r>
      <w:bookmarkEnd w:id="178"/>
      <w:bookmarkEnd w:id="179"/>
    </w:p>
    <w:p w14:paraId="1B75F41A" w14:textId="77777777" w:rsidR="00E05E83" w:rsidRDefault="00E05E83" w:rsidP="00E05E83">
      <w:pPr>
        <w:pStyle w:val="DPCbody"/>
        <w:numPr>
          <w:ilvl w:val="1"/>
          <w:numId w:val="18"/>
        </w:numPr>
        <w:ind w:left="851" w:hanging="567"/>
      </w:pPr>
      <w:r>
        <w:t xml:space="preserve">Government relies </w:t>
      </w:r>
      <w:r w:rsidRPr="00B85DE8">
        <w:t xml:space="preserve">on accurate and comprehensive data to monitor progress towards meeting its policy objectives. Departments also need accurate data to help with identifying upcoming vacancies. Under </w:t>
      </w:r>
      <w:r>
        <w:t xml:space="preserve">the </w:t>
      </w:r>
      <w:hyperlink r:id="rId66" w:history="1">
        <w:r w:rsidRPr="00AF5006">
          <w:rPr>
            <w:rStyle w:val="Hyperlink"/>
            <w:i/>
            <w:iCs/>
            <w:color w:val="0072CE" w:themeColor="accent1"/>
            <w:u w:val="single"/>
          </w:rPr>
          <w:t>Guidelines for maintaining data about Victorian entities and appointments</w:t>
        </w:r>
      </w:hyperlink>
      <w:r w:rsidRPr="00597615">
        <w:rPr>
          <w:i/>
          <w:iCs/>
        </w:rPr>
        <w:t xml:space="preserve"> </w:t>
      </w:r>
      <w:r w:rsidRPr="00B85DE8">
        <w:t>departments are required to:</w:t>
      </w:r>
    </w:p>
    <w:p w14:paraId="172248FD" w14:textId="77777777" w:rsidR="00E05E83" w:rsidRDefault="00E05E83" w:rsidP="00E05E83">
      <w:pPr>
        <w:pStyle w:val="DPCbullet1"/>
        <w:numPr>
          <w:ilvl w:val="0"/>
          <w:numId w:val="21"/>
        </w:numPr>
        <w:spacing w:after="160"/>
        <w:ind w:left="1134"/>
      </w:pPr>
      <w:r>
        <w:t xml:space="preserve">ensure the </w:t>
      </w:r>
      <w:r w:rsidRPr="00B85DE8">
        <w:t>Government Appointment and Public Entities Database (GAPED) is comprehensive and accurate</w:t>
      </w:r>
    </w:p>
    <w:p w14:paraId="1956C696" w14:textId="77777777" w:rsidR="00E05E83" w:rsidRDefault="00E05E83" w:rsidP="00E05E83">
      <w:pPr>
        <w:pStyle w:val="DPCbullet1"/>
        <w:numPr>
          <w:ilvl w:val="0"/>
          <w:numId w:val="21"/>
        </w:numPr>
        <w:spacing w:after="160"/>
        <w:ind w:left="1134"/>
      </w:pPr>
      <w:r>
        <w:t xml:space="preserve">update </w:t>
      </w:r>
      <w:r w:rsidRPr="00B85DE8">
        <w:t>GAPED within one month of any significant change to an entity within their portfolio (including an appointment commencing or ending, a chance to the terms of an appointment or any other change that results in the data being inaccurate or misleading).</w:t>
      </w:r>
    </w:p>
    <w:p w14:paraId="310D3692" w14:textId="77777777" w:rsidR="00E05E83" w:rsidRDefault="00E05E83" w:rsidP="00E05E83">
      <w:pPr>
        <w:pStyle w:val="DPCbody"/>
        <w:numPr>
          <w:ilvl w:val="1"/>
          <w:numId w:val="18"/>
        </w:numPr>
        <w:ind w:left="851" w:hanging="567"/>
      </w:pPr>
      <w:r>
        <w:t xml:space="preserve">To assist </w:t>
      </w:r>
      <w:r w:rsidRPr="00B85DE8">
        <w:t>with maintaining accurate GAPED data, the appointing entity is required to:</w:t>
      </w:r>
    </w:p>
    <w:p w14:paraId="62F33CDA" w14:textId="77777777" w:rsidR="00E05E83" w:rsidRDefault="00E05E83" w:rsidP="00E05E83">
      <w:pPr>
        <w:pStyle w:val="DPCbullet1"/>
        <w:numPr>
          <w:ilvl w:val="0"/>
          <w:numId w:val="21"/>
        </w:numPr>
        <w:spacing w:after="160"/>
        <w:ind w:left="1134"/>
      </w:pPr>
      <w:r>
        <w:t xml:space="preserve">maintain a </w:t>
      </w:r>
      <w:r w:rsidRPr="00B85DE8">
        <w:t>schedule of expiry dates for statutory appointments to identify forthcoming vacancies within their portfolios</w:t>
      </w:r>
    </w:p>
    <w:p w14:paraId="287271C8" w14:textId="77777777" w:rsidR="00E05E83" w:rsidRDefault="00E05E83" w:rsidP="00E05E83">
      <w:pPr>
        <w:pStyle w:val="DPCbullet1"/>
        <w:numPr>
          <w:ilvl w:val="0"/>
          <w:numId w:val="21"/>
        </w:numPr>
        <w:spacing w:after="160"/>
        <w:ind w:left="1134"/>
      </w:pPr>
      <w:r>
        <w:t xml:space="preserve">plan for </w:t>
      </w:r>
      <w:r w:rsidRPr="00B85DE8">
        <w:t>board appointments, by briefing the minister on forthcoming vacancies, establishing recruitment processes, preparing selection criteria and position descriptions.</w:t>
      </w:r>
    </w:p>
    <w:p w14:paraId="2AA973B9" w14:textId="77777777" w:rsidR="00A33280" w:rsidRDefault="00A33280" w:rsidP="00A33280">
      <w:pPr>
        <w:pStyle w:val="DPCbody"/>
      </w:pPr>
    </w:p>
    <w:p w14:paraId="61FD1899" w14:textId="77777777" w:rsidR="00E05E83" w:rsidRDefault="00E05E83">
      <w:r>
        <w:br w:type="page"/>
      </w:r>
    </w:p>
    <w:p w14:paraId="5350C6F2" w14:textId="77777777" w:rsidR="0013116E" w:rsidRDefault="0013116E" w:rsidP="00807475">
      <w:pPr>
        <w:pStyle w:val="Heading1"/>
        <w:numPr>
          <w:ilvl w:val="0"/>
          <w:numId w:val="18"/>
        </w:numPr>
        <w:ind w:left="851" w:hanging="567"/>
      </w:pPr>
      <w:bookmarkStart w:id="180" w:name="_Toc147909878"/>
      <w:bookmarkStart w:id="181" w:name="_Toc176339488"/>
      <w:r>
        <w:lastRenderedPageBreak/>
        <w:t>Privacy and data protection</w:t>
      </w:r>
      <w:bookmarkEnd w:id="180"/>
      <w:bookmarkEnd w:id="181"/>
    </w:p>
    <w:p w14:paraId="6E041804" w14:textId="77777777" w:rsidR="00540375" w:rsidRPr="00B85DE8" w:rsidRDefault="00540375" w:rsidP="00540375">
      <w:pPr>
        <w:pStyle w:val="DPCbody"/>
        <w:numPr>
          <w:ilvl w:val="1"/>
          <w:numId w:val="18"/>
        </w:numPr>
        <w:ind w:left="851" w:hanging="567"/>
      </w:pPr>
      <w:r>
        <w:t xml:space="preserve">Departments must treat </w:t>
      </w:r>
      <w:r w:rsidRPr="00B85DE8">
        <w:t xml:space="preserve">all personal information provided by an individual in support of an appointment application in accordance with the </w:t>
      </w:r>
      <w:r w:rsidRPr="00B85DE8">
        <w:rPr>
          <w:i/>
        </w:rPr>
        <w:t>Privacy and Data Protection Act 2014</w:t>
      </w:r>
      <w:r w:rsidRPr="00B85DE8">
        <w:t xml:space="preserve"> (Vic) (the Act). </w:t>
      </w:r>
    </w:p>
    <w:p w14:paraId="2E1A3795" w14:textId="77777777" w:rsidR="00540375" w:rsidRPr="00B85DE8" w:rsidRDefault="00540375" w:rsidP="00540375">
      <w:pPr>
        <w:pStyle w:val="DPCbody"/>
        <w:numPr>
          <w:ilvl w:val="1"/>
          <w:numId w:val="18"/>
        </w:numPr>
        <w:ind w:left="851" w:hanging="567"/>
      </w:pPr>
      <w:r w:rsidRPr="00B85DE8">
        <w:t xml:space="preserve">The Act outlines how personal information must be collected and handled in the Victorian public sector. The Act sets out Information Privacy Principles (IPPs) which must be observed by Victorian Government departments and other public sector bodies when handling personal information. These principles cover the collection, use, disclosure, quality, security, access and correction of personal information by public sector bodies. </w:t>
      </w:r>
    </w:p>
    <w:p w14:paraId="3ED318C9" w14:textId="77777777" w:rsidR="00540375" w:rsidRDefault="00540375" w:rsidP="00540375">
      <w:pPr>
        <w:pStyle w:val="DPCbody"/>
        <w:numPr>
          <w:ilvl w:val="1"/>
          <w:numId w:val="18"/>
        </w:numPr>
        <w:ind w:left="851" w:hanging="567"/>
      </w:pPr>
      <w:r w:rsidRPr="00B85DE8">
        <w:t>Personal information can only be used and disclosed for the primary purpose it was collected and for any related secondary purposes. Departments must notify applicants about the use of personal information at the time the information is collected. Personal information can also be used and disclosed for other secondary purposes if consent is obtained.</w:t>
      </w:r>
    </w:p>
    <w:p w14:paraId="436A9FB3" w14:textId="77777777" w:rsidR="00540375" w:rsidRPr="00B85DE8" w:rsidRDefault="00540375" w:rsidP="00540375">
      <w:pPr>
        <w:pStyle w:val="DPCbody"/>
        <w:numPr>
          <w:ilvl w:val="1"/>
          <w:numId w:val="18"/>
        </w:numPr>
        <w:ind w:left="851" w:hanging="567"/>
      </w:pPr>
      <w:r>
        <w:t xml:space="preserve">In the </w:t>
      </w:r>
      <w:r w:rsidRPr="00B85DE8">
        <w:t xml:space="preserve">context of appointments to boards of non-departmental entities, any reporting board data to be provided to DPC, the Victorian Public Sector Commission and Cabinet and the sharing of applicant information between departments is unlikely to fall within the primary purpose for which the personal information was collected. To ensure compliance with the Act, departments must obtain individuals’ consent to disclose personal information for these reporting and sharing purposes by DPC, the Victorian Public Sector Commission and Cabinet. </w:t>
      </w:r>
    </w:p>
    <w:p w14:paraId="6C7D7735" w14:textId="77777777" w:rsidR="00540375" w:rsidRPr="00B85DE8" w:rsidRDefault="00540375" w:rsidP="00540375">
      <w:pPr>
        <w:pStyle w:val="DPCbody"/>
        <w:numPr>
          <w:ilvl w:val="1"/>
          <w:numId w:val="18"/>
        </w:numPr>
        <w:ind w:left="851" w:hanging="567"/>
      </w:pPr>
      <w:r w:rsidRPr="00B85DE8">
        <w:t xml:space="preserve">A template </w:t>
      </w:r>
      <w:r>
        <w:t>collection and</w:t>
      </w:r>
      <w:r w:rsidRPr="00B85DE8">
        <w:t xml:space="preserve"> consent form and a template notice advising candidates how the department will deal with the personal information collected are in the </w:t>
      </w:r>
      <w:hyperlink w:anchor="_Personal_Information_and" w:history="1">
        <w:r w:rsidRPr="00084C7F">
          <w:rPr>
            <w:rStyle w:val="Hyperlink"/>
            <w:color w:val="0072CE" w:themeColor="accent1"/>
            <w:u w:val="single"/>
          </w:rPr>
          <w:t>Personal Information and Privacy Consent Form</w:t>
        </w:r>
      </w:hyperlink>
      <w:r w:rsidRPr="00B85DE8">
        <w:t xml:space="preserve">. </w:t>
      </w:r>
    </w:p>
    <w:p w14:paraId="24531CA6" w14:textId="77777777" w:rsidR="00540375" w:rsidRPr="00B85DE8" w:rsidRDefault="00540375" w:rsidP="00540375">
      <w:pPr>
        <w:pStyle w:val="DPCbody"/>
        <w:numPr>
          <w:ilvl w:val="1"/>
          <w:numId w:val="18"/>
        </w:numPr>
        <w:ind w:left="851" w:hanging="567"/>
      </w:pPr>
      <w:r w:rsidRPr="00B85DE8">
        <w:t xml:space="preserve">Departments should also advise applicants and interested persons that they are responsible for making third parties aware that any information they have provided about that third party, e.g. information regarding referees in an interested person’s </w:t>
      </w:r>
      <w:r w:rsidRPr="00B85DE8">
        <w:rPr>
          <w:i/>
        </w:rPr>
        <w:t>Curriculum Vitae</w:t>
      </w:r>
      <w:r w:rsidRPr="00B85DE8">
        <w:t xml:space="preserve">, may be passed on to other Victorian Government departments. </w:t>
      </w:r>
    </w:p>
    <w:p w14:paraId="237ED177" w14:textId="77777777" w:rsidR="00540375" w:rsidRDefault="00540375" w:rsidP="00540375">
      <w:pPr>
        <w:pStyle w:val="DPCbody"/>
        <w:numPr>
          <w:ilvl w:val="1"/>
          <w:numId w:val="18"/>
        </w:numPr>
        <w:ind w:left="851" w:hanging="567"/>
      </w:pPr>
      <w:r w:rsidRPr="00B85DE8">
        <w:t xml:space="preserve">The collection of personal information is also subject to the right of privacy under the </w:t>
      </w:r>
      <w:r w:rsidRPr="00B85DE8">
        <w:rPr>
          <w:i/>
        </w:rPr>
        <w:t>Charter of Human Rights and Responsibilities Act 2006</w:t>
      </w:r>
      <w:r w:rsidRPr="00B85DE8">
        <w:t xml:space="preserve"> (Vic).</w:t>
      </w:r>
    </w:p>
    <w:p w14:paraId="29E9D269" w14:textId="0A39E216" w:rsidR="004728B4" w:rsidRDefault="004728B4">
      <w:pPr>
        <w:rPr>
          <w:rFonts w:eastAsia="Times" w:cs="Arial"/>
          <w:color w:val="000000" w:themeColor="text1"/>
          <w:sz w:val="22"/>
          <w:szCs w:val="22"/>
          <w:lang w:eastAsia="en-US"/>
        </w:rPr>
      </w:pPr>
      <w:r>
        <w:br w:type="page"/>
      </w:r>
    </w:p>
    <w:p w14:paraId="6C472A4F" w14:textId="77777777" w:rsidR="00170277" w:rsidRDefault="00170277" w:rsidP="00807475">
      <w:pPr>
        <w:pStyle w:val="Heading1"/>
        <w:numPr>
          <w:ilvl w:val="0"/>
          <w:numId w:val="18"/>
        </w:numPr>
        <w:tabs>
          <w:tab w:val="left" w:pos="993"/>
        </w:tabs>
        <w:ind w:left="851" w:hanging="567"/>
      </w:pPr>
      <w:bookmarkStart w:id="182" w:name="_Toc147909879"/>
      <w:bookmarkStart w:id="183" w:name="_Toc176339489"/>
      <w:r>
        <w:lastRenderedPageBreak/>
        <w:t>Resources</w:t>
      </w:r>
      <w:bookmarkEnd w:id="182"/>
      <w:bookmarkEnd w:id="183"/>
    </w:p>
    <w:p w14:paraId="78AA377F" w14:textId="77777777" w:rsidR="009C3C69" w:rsidRPr="00B85DE8" w:rsidRDefault="009C3C69" w:rsidP="00E44B43">
      <w:pPr>
        <w:pStyle w:val="DPCbody"/>
      </w:pPr>
      <w:r>
        <w:t xml:space="preserve">The following </w:t>
      </w:r>
      <w:r w:rsidRPr="00B85DE8">
        <w:t>resources provide useful supplementary information to assist departments to undertake the appointment process for non-departmental entities.</w:t>
      </w:r>
    </w:p>
    <w:bookmarkStart w:id="184" w:name="_Key_contacts"/>
    <w:bookmarkEnd w:id="184"/>
    <w:p w14:paraId="351FE97D" w14:textId="77777777" w:rsidR="009C3C69" w:rsidRPr="00084C7F" w:rsidRDefault="009C3C69" w:rsidP="00E44B43">
      <w:pPr>
        <w:pStyle w:val="DPCbody"/>
        <w:rPr>
          <w:b/>
          <w:bCs/>
          <w:color w:val="0072CE" w:themeColor="accent1"/>
          <w:u w:val="single"/>
        </w:rPr>
      </w:pPr>
      <w:r w:rsidRPr="00084C7F">
        <w:rPr>
          <w:color w:val="0072CE" w:themeColor="accent1"/>
          <w:u w:val="single"/>
        </w:rPr>
        <w:fldChar w:fldCharType="begin"/>
      </w:r>
      <w:r w:rsidRPr="00084C7F">
        <w:rPr>
          <w:color w:val="0072CE" w:themeColor="accent1"/>
          <w:u w:val="single"/>
        </w:rPr>
        <w:instrText>HYPERLINK "http://vpsc.vic.gov.au/html-resources/best-practice-recruitment-and-selection-toolkit/"</w:instrText>
      </w:r>
      <w:r w:rsidRPr="00084C7F">
        <w:rPr>
          <w:color w:val="0072CE" w:themeColor="accent1"/>
          <w:u w:val="single"/>
        </w:rPr>
      </w:r>
      <w:r w:rsidRPr="00084C7F">
        <w:rPr>
          <w:color w:val="0072CE" w:themeColor="accent1"/>
          <w:u w:val="single"/>
        </w:rPr>
        <w:fldChar w:fldCharType="separate"/>
      </w:r>
      <w:r w:rsidRPr="00084C7F">
        <w:rPr>
          <w:rStyle w:val="Hyperlink"/>
          <w:color w:val="0072CE" w:themeColor="accent1"/>
          <w:u w:val="single"/>
        </w:rPr>
        <w:t>Best Practice Recruitment and Selection Toolkit</w:t>
      </w:r>
      <w:r w:rsidRPr="00084C7F">
        <w:rPr>
          <w:color w:val="0072CE" w:themeColor="accent1"/>
          <w:u w:val="single"/>
        </w:rPr>
        <w:fldChar w:fldCharType="end"/>
      </w:r>
    </w:p>
    <w:p w14:paraId="244D3F0C" w14:textId="77777777" w:rsidR="009C3C69" w:rsidRPr="00084C7F" w:rsidRDefault="009C3C69" w:rsidP="00E44B43">
      <w:pPr>
        <w:pStyle w:val="DPCbody"/>
        <w:rPr>
          <w:color w:val="0072CE" w:themeColor="accent1"/>
          <w:u w:val="single"/>
        </w:rPr>
      </w:pPr>
      <w:hyperlink r:id="rId67" w:history="1">
        <w:r w:rsidRPr="00084C7F">
          <w:rPr>
            <w:rStyle w:val="Hyperlink"/>
            <w:color w:val="0072CE" w:themeColor="accent1"/>
            <w:u w:val="single"/>
          </w:rPr>
          <w:t>Cabinet Handbook</w:t>
        </w:r>
      </w:hyperlink>
    </w:p>
    <w:p w14:paraId="427872A5" w14:textId="77777777" w:rsidR="009C3C69" w:rsidRPr="00084C7F" w:rsidRDefault="009C3C69" w:rsidP="00E44B43">
      <w:pPr>
        <w:pStyle w:val="DPCbody"/>
        <w:rPr>
          <w:color w:val="0072CE" w:themeColor="accent1"/>
          <w:u w:val="single"/>
        </w:rPr>
      </w:pPr>
      <w:hyperlink r:id="rId68" w:history="1">
        <w:r w:rsidRPr="00084C7F">
          <w:rPr>
            <w:rStyle w:val="Hyperlink"/>
            <w:color w:val="0072CE" w:themeColor="accent1"/>
            <w:u w:val="single"/>
          </w:rPr>
          <w:t>Conflict of Interest and Duty Guidance for Directors</w:t>
        </w:r>
      </w:hyperlink>
    </w:p>
    <w:p w14:paraId="21D30221" w14:textId="77777777" w:rsidR="009C3C69" w:rsidRPr="00084C7F" w:rsidRDefault="009C3C69" w:rsidP="00E44B43">
      <w:pPr>
        <w:pStyle w:val="DPCbody"/>
        <w:rPr>
          <w:color w:val="0072CE" w:themeColor="accent1"/>
          <w:u w:val="single"/>
        </w:rPr>
      </w:pPr>
      <w:hyperlink r:id="rId69" w:history="1">
        <w:r w:rsidRPr="00084C7F">
          <w:rPr>
            <w:rStyle w:val="Hyperlink"/>
            <w:color w:val="0072CE" w:themeColor="accent1"/>
            <w:u w:val="single"/>
          </w:rPr>
          <w:t>Director’s Code of Conduct</w:t>
        </w:r>
      </w:hyperlink>
    </w:p>
    <w:p w14:paraId="37056BD4" w14:textId="77777777" w:rsidR="009C3C69" w:rsidRPr="00084C7F" w:rsidRDefault="009C3C69" w:rsidP="00E44B43">
      <w:pPr>
        <w:pStyle w:val="DPCbody"/>
        <w:rPr>
          <w:color w:val="0072CE" w:themeColor="accent1"/>
          <w:u w:val="single"/>
        </w:rPr>
      </w:pPr>
      <w:hyperlink r:id="rId70" w:history="1">
        <w:r w:rsidRPr="00084C7F">
          <w:rPr>
            <w:rStyle w:val="Hyperlink"/>
            <w:color w:val="0072CE" w:themeColor="accent1"/>
            <w:u w:val="single"/>
          </w:rPr>
          <w:t>Diversity on Victorian Government Board Guidelines</w:t>
        </w:r>
      </w:hyperlink>
      <w:r w:rsidRPr="00084C7F">
        <w:rPr>
          <w:color w:val="0072CE" w:themeColor="accent1"/>
          <w:u w:val="single"/>
        </w:rPr>
        <w:t xml:space="preserve"> </w:t>
      </w:r>
    </w:p>
    <w:p w14:paraId="66067490" w14:textId="77777777" w:rsidR="009C3C69" w:rsidRPr="00084C7F" w:rsidRDefault="009C3C69" w:rsidP="00E44B43">
      <w:pPr>
        <w:pStyle w:val="DPCbody"/>
        <w:rPr>
          <w:color w:val="0072CE" w:themeColor="accent1"/>
          <w:u w:val="single"/>
        </w:rPr>
      </w:pPr>
      <w:hyperlink r:id="rId71" w:history="1">
        <w:r w:rsidRPr="00084C7F">
          <w:rPr>
            <w:rStyle w:val="Hyperlink"/>
            <w:color w:val="0072CE" w:themeColor="accent1"/>
            <w:u w:val="single"/>
          </w:rPr>
          <w:t>Integrity Guidance for Boa</w:t>
        </w:r>
        <w:bookmarkStart w:id="185" w:name="_Hlt146543658"/>
        <w:bookmarkStart w:id="186" w:name="_Hlt146543659"/>
        <w:r w:rsidRPr="00084C7F">
          <w:rPr>
            <w:rStyle w:val="Hyperlink"/>
            <w:color w:val="0072CE" w:themeColor="accent1"/>
            <w:u w:val="single"/>
          </w:rPr>
          <w:t>r</w:t>
        </w:r>
        <w:bookmarkEnd w:id="185"/>
        <w:bookmarkEnd w:id="186"/>
        <w:r w:rsidRPr="00084C7F">
          <w:rPr>
            <w:rStyle w:val="Hyperlink"/>
            <w:color w:val="0072CE" w:themeColor="accent1"/>
            <w:u w:val="single"/>
          </w:rPr>
          <w:t>d Directors</w:t>
        </w:r>
      </w:hyperlink>
    </w:p>
    <w:p w14:paraId="20B29C45" w14:textId="77777777" w:rsidR="009C3C69" w:rsidRPr="00084C7F" w:rsidRDefault="009C3C69" w:rsidP="00E44B43">
      <w:pPr>
        <w:pStyle w:val="DPCbody"/>
        <w:rPr>
          <w:color w:val="0072CE" w:themeColor="accent1"/>
          <w:u w:val="single"/>
        </w:rPr>
      </w:pPr>
      <w:hyperlink r:id="rId72" w:history="1">
        <w:r w:rsidRPr="00084C7F">
          <w:rPr>
            <w:rStyle w:val="Hyperlink"/>
            <w:color w:val="0072CE" w:themeColor="accent1"/>
            <w:u w:val="single"/>
          </w:rPr>
          <w:t>Join a Public Boar</w:t>
        </w:r>
        <w:bookmarkStart w:id="187" w:name="_Hlt146543756"/>
        <w:bookmarkStart w:id="188" w:name="_Hlt146543757"/>
        <w:r w:rsidRPr="00084C7F">
          <w:rPr>
            <w:rStyle w:val="Hyperlink"/>
            <w:color w:val="0072CE" w:themeColor="accent1"/>
            <w:u w:val="single"/>
          </w:rPr>
          <w:t>d</w:t>
        </w:r>
        <w:bookmarkEnd w:id="187"/>
        <w:bookmarkEnd w:id="188"/>
      </w:hyperlink>
    </w:p>
    <w:p w14:paraId="7F21C261" w14:textId="77777777" w:rsidR="009C3C69" w:rsidRPr="00084C7F" w:rsidRDefault="009C3C69" w:rsidP="00E44B43">
      <w:pPr>
        <w:pStyle w:val="DPCbody"/>
        <w:rPr>
          <w:rStyle w:val="Hyperlink"/>
          <w:color w:val="0072CE" w:themeColor="accent1"/>
          <w:u w:val="single"/>
        </w:rPr>
      </w:pPr>
      <w:r w:rsidRPr="00084C7F">
        <w:rPr>
          <w:color w:val="0072CE" w:themeColor="accent1"/>
          <w:u w:val="single"/>
        </w:rPr>
        <w:fldChar w:fldCharType="begin"/>
      </w:r>
      <w:r w:rsidRPr="00084C7F">
        <w:rPr>
          <w:color w:val="0072CE" w:themeColor="accent1"/>
          <w:u w:val="single"/>
        </w:rPr>
        <w:instrText xml:space="preserve"> HYPERLINK "https://vpsc.vic.gov.au/executive-employment/victorian-public-entity-executive-employment/recruitment-and-appointment-to-the-board/" </w:instrText>
      </w:r>
      <w:r w:rsidRPr="00084C7F">
        <w:rPr>
          <w:color w:val="0072CE" w:themeColor="accent1"/>
          <w:u w:val="single"/>
        </w:rPr>
      </w:r>
      <w:r w:rsidRPr="00084C7F">
        <w:rPr>
          <w:color w:val="0072CE" w:themeColor="accent1"/>
          <w:u w:val="single"/>
        </w:rPr>
        <w:fldChar w:fldCharType="separate"/>
      </w:r>
      <w:r w:rsidRPr="00084C7F">
        <w:rPr>
          <w:rStyle w:val="Hyperlink"/>
          <w:color w:val="0072CE" w:themeColor="accent1"/>
          <w:u w:val="single"/>
        </w:rPr>
        <w:t>Recruitment and Appointment to the Board: Overview of Ministerial, Departmental Secretary and Board Chair Responsibility</w:t>
      </w:r>
    </w:p>
    <w:p w14:paraId="4D2AEFBC" w14:textId="77777777" w:rsidR="009C3C69" w:rsidRPr="00084C7F" w:rsidRDefault="009C3C69" w:rsidP="00E44B43">
      <w:pPr>
        <w:pStyle w:val="DPCbody"/>
        <w:rPr>
          <w:color w:val="0072CE" w:themeColor="accent1"/>
          <w:u w:val="single"/>
        </w:rPr>
      </w:pPr>
      <w:r w:rsidRPr="00084C7F">
        <w:rPr>
          <w:color w:val="0072CE" w:themeColor="accent1"/>
          <w:u w:val="single"/>
        </w:rPr>
        <w:fldChar w:fldCharType="end"/>
      </w:r>
      <w:hyperlink r:id="rId73" w:history="1">
        <w:r w:rsidRPr="00084C7F">
          <w:rPr>
            <w:rStyle w:val="Hyperlink"/>
            <w:color w:val="0072CE" w:themeColor="accent1"/>
            <w:u w:val="single"/>
          </w:rPr>
          <w:t>Governance Toolkit for Recruitment and Appointment to the Board</w:t>
        </w:r>
      </w:hyperlink>
      <w:r w:rsidRPr="00084C7F">
        <w:rPr>
          <w:color w:val="0072CE" w:themeColor="accent1"/>
          <w:u w:val="single"/>
        </w:rPr>
        <w:t xml:space="preserve"> </w:t>
      </w:r>
    </w:p>
    <w:p w14:paraId="033BD9BD" w14:textId="77777777" w:rsidR="009C3C69" w:rsidRPr="00084C7F" w:rsidRDefault="009C3C69" w:rsidP="00E44B43">
      <w:pPr>
        <w:pStyle w:val="DPCbody"/>
        <w:rPr>
          <w:rStyle w:val="Hyperlink"/>
          <w:color w:val="0072CE" w:themeColor="accent1"/>
          <w:u w:val="single"/>
        </w:rPr>
      </w:pPr>
      <w:hyperlink r:id="rId74">
        <w:r w:rsidRPr="00084C7F">
          <w:rPr>
            <w:rStyle w:val="Hyperlink"/>
            <w:color w:val="0072CE" w:themeColor="accent1"/>
            <w:u w:val="single"/>
          </w:rPr>
          <w:t>Victorian Gender Equality Strategy</w:t>
        </w:r>
      </w:hyperlink>
    </w:p>
    <w:p w14:paraId="2A1CE45B" w14:textId="77777777" w:rsidR="009C3C69" w:rsidRPr="00084C7F" w:rsidRDefault="009C3C69" w:rsidP="00E44B43">
      <w:pPr>
        <w:pStyle w:val="DPCbody"/>
        <w:rPr>
          <w:color w:val="0072CE" w:themeColor="accent1"/>
          <w:u w:val="single"/>
        </w:rPr>
      </w:pPr>
      <w:hyperlink r:id="rId75" w:history="1">
        <w:r w:rsidRPr="00084C7F">
          <w:rPr>
            <w:rStyle w:val="Hyperlink"/>
            <w:color w:val="0072CE" w:themeColor="accent1"/>
            <w:u w:val="single"/>
          </w:rPr>
          <w:t xml:space="preserve">Board Director Induction: A guide and checklist on </w:t>
        </w:r>
        <w:bookmarkStart w:id="189" w:name="_Hlt146543914"/>
        <w:bookmarkStart w:id="190" w:name="_Hlt146543915"/>
        <w:r w:rsidRPr="00084C7F">
          <w:rPr>
            <w:rStyle w:val="Hyperlink"/>
            <w:color w:val="0072CE" w:themeColor="accent1"/>
            <w:u w:val="single"/>
          </w:rPr>
          <w:t>m</w:t>
        </w:r>
        <w:bookmarkEnd w:id="189"/>
        <w:bookmarkEnd w:id="190"/>
        <w:r w:rsidRPr="00084C7F">
          <w:rPr>
            <w:rStyle w:val="Hyperlink"/>
            <w:color w:val="0072CE" w:themeColor="accent1"/>
            <w:u w:val="single"/>
          </w:rPr>
          <w:t>inimum requirements for inducting new board directors</w:t>
        </w:r>
      </w:hyperlink>
    </w:p>
    <w:p w14:paraId="31712F7C" w14:textId="77777777" w:rsidR="009C3C69" w:rsidRPr="00084C7F" w:rsidRDefault="009C3C69" w:rsidP="00E44B43">
      <w:pPr>
        <w:pStyle w:val="DPCbody"/>
        <w:rPr>
          <w:rStyle w:val="Hyperlink"/>
          <w:color w:val="0072CE" w:themeColor="accent1"/>
          <w:u w:val="single"/>
        </w:rPr>
      </w:pPr>
      <w:hyperlink r:id="rId76" w:history="1">
        <w:r w:rsidRPr="00084C7F">
          <w:rPr>
            <w:rStyle w:val="Hyperlink"/>
            <w:color w:val="0072CE" w:themeColor="accent1"/>
            <w:u w:val="single"/>
          </w:rPr>
          <w:t>Assessing Public Board Performance: A guide to help your board assess its performance and that of chairs and directors</w:t>
        </w:r>
      </w:hyperlink>
    </w:p>
    <w:p w14:paraId="5C07396F" w14:textId="1C333A4F" w:rsidR="00E44B43" w:rsidRDefault="00E44B43">
      <w:pPr>
        <w:rPr>
          <w:rStyle w:val="Hyperlink"/>
          <w:rFonts w:eastAsia="Times" w:cs="Arial"/>
          <w:sz w:val="22"/>
          <w:szCs w:val="22"/>
          <w:lang w:eastAsia="en-US"/>
        </w:rPr>
      </w:pPr>
      <w:r>
        <w:rPr>
          <w:rStyle w:val="Hyperlink"/>
        </w:rPr>
        <w:br w:type="page"/>
      </w:r>
    </w:p>
    <w:p w14:paraId="03E88C0D" w14:textId="77777777" w:rsidR="00B2026A" w:rsidRPr="00310CEF" w:rsidRDefault="00B2026A" w:rsidP="00B2026A">
      <w:pPr>
        <w:pStyle w:val="Heading2"/>
        <w:spacing w:before="120"/>
      </w:pPr>
      <w:bookmarkStart w:id="191" w:name="_Toc86226927"/>
      <w:bookmarkStart w:id="192" w:name="_Toc104373498"/>
      <w:bookmarkStart w:id="193" w:name="_Toc147909880"/>
      <w:bookmarkStart w:id="194" w:name="_Toc176339490"/>
      <w:r w:rsidRPr="00310CEF">
        <w:lastRenderedPageBreak/>
        <w:t>Schedule A: Group A organisations</w:t>
      </w:r>
      <w:bookmarkEnd w:id="191"/>
      <w:bookmarkEnd w:id="192"/>
      <w:bookmarkEnd w:id="193"/>
      <w:bookmarkEnd w:id="194"/>
    </w:p>
    <w:p w14:paraId="0B518ECA" w14:textId="293D2281" w:rsidR="00B2026A" w:rsidRPr="00136932" w:rsidRDefault="00B2026A" w:rsidP="00B2026A">
      <w:pPr>
        <w:pStyle w:val="DPCbody"/>
        <w:spacing w:before="120" w:after="120"/>
        <w:rPr>
          <w:sz w:val="20"/>
          <w:szCs w:val="20"/>
          <w:lang w:eastAsia="en-AU"/>
        </w:rPr>
      </w:pPr>
      <w:r w:rsidRPr="0074546C">
        <w:rPr>
          <w:sz w:val="20"/>
          <w:szCs w:val="20"/>
          <w:lang w:eastAsia="en-AU"/>
        </w:rPr>
        <w:t xml:space="preserve">Effective 1 </w:t>
      </w:r>
      <w:r>
        <w:rPr>
          <w:sz w:val="20"/>
          <w:szCs w:val="20"/>
          <w:lang w:eastAsia="en-AU"/>
        </w:rPr>
        <w:t xml:space="preserve">July </w:t>
      </w:r>
      <w:r w:rsidRPr="71224C93">
        <w:rPr>
          <w:sz w:val="20"/>
          <w:szCs w:val="20"/>
          <w:lang w:eastAsia="en-AU"/>
        </w:rPr>
        <w:t>202</w:t>
      </w:r>
      <w:r w:rsidR="00D65AA6">
        <w:rPr>
          <w:sz w:val="20"/>
          <w:szCs w:val="20"/>
          <w:lang w:eastAsia="en-AU"/>
        </w:rPr>
        <w:t>5</w:t>
      </w:r>
    </w:p>
    <w:p w14:paraId="52DF9A79" w14:textId="77777777" w:rsidR="00B2026A" w:rsidRPr="00136932" w:rsidRDefault="00B2026A" w:rsidP="00B2026A">
      <w:pPr>
        <w:pStyle w:val="DPCbody"/>
        <w:spacing w:before="120" w:after="120"/>
        <w:rPr>
          <w:sz w:val="20"/>
          <w:szCs w:val="20"/>
        </w:rPr>
      </w:pPr>
      <w:r w:rsidRPr="00136932">
        <w:rPr>
          <w:sz w:val="20"/>
          <w:szCs w:val="20"/>
        </w:rPr>
        <w:t>Note: Remuneration levels are exclusive of any superannuation obligations.</w:t>
      </w:r>
    </w:p>
    <w:tbl>
      <w:tblPr>
        <w:tblStyle w:val="DPCDefaulttable"/>
        <w:tblW w:w="9322" w:type="dxa"/>
        <w:tblInd w:w="5" w:type="dxa"/>
        <w:tblLook w:val="04A0" w:firstRow="1" w:lastRow="0" w:firstColumn="1" w:lastColumn="0" w:noHBand="0" w:noVBand="1"/>
        <w:tblCaption w:val="Remuneration bands for Group A entities"/>
        <w:tblDescription w:val="Guidance on classifying and setting remuneration for Group A entities"/>
      </w:tblPr>
      <w:tblGrid>
        <w:gridCol w:w="730"/>
        <w:gridCol w:w="5923"/>
        <w:gridCol w:w="1185"/>
        <w:gridCol w:w="1484"/>
      </w:tblGrid>
      <w:tr w:rsidR="00B2026A" w:rsidRPr="00310CEF" w14:paraId="0EAF492E" w14:textId="77777777" w:rsidTr="00B2026A">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716" w:type="dxa"/>
          </w:tcPr>
          <w:p w14:paraId="6735EB8C" w14:textId="77777777" w:rsidR="00B2026A" w:rsidRPr="00846854" w:rsidRDefault="00B2026A">
            <w:pPr>
              <w:pStyle w:val="DPCtablecolhead"/>
              <w:spacing w:before="120" w:after="120"/>
              <w:rPr>
                <w:b/>
                <w:bCs/>
                <w:color w:val="0072CE" w:themeColor="accent1"/>
              </w:rPr>
            </w:pPr>
            <w:r w:rsidRPr="00846854">
              <w:rPr>
                <w:b/>
                <w:bCs/>
                <w:color w:val="0072CE" w:themeColor="accent1"/>
              </w:rPr>
              <w:t>Band</w:t>
            </w:r>
          </w:p>
        </w:tc>
        <w:tc>
          <w:tcPr>
            <w:tcW w:w="5936" w:type="dxa"/>
          </w:tcPr>
          <w:p w14:paraId="1A9A40AA"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Classification criteria</w:t>
            </w:r>
          </w:p>
        </w:tc>
        <w:tc>
          <w:tcPr>
            <w:tcW w:w="1185" w:type="dxa"/>
          </w:tcPr>
          <w:p w14:paraId="2AAF7554"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Chair</w:t>
            </w:r>
          </w:p>
        </w:tc>
        <w:tc>
          <w:tcPr>
            <w:tcW w:w="1485" w:type="dxa"/>
          </w:tcPr>
          <w:p w14:paraId="2834DA81"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Member</w:t>
            </w:r>
          </w:p>
        </w:tc>
      </w:tr>
      <w:tr w:rsidR="00B2026A" w:rsidRPr="00310CEF" w14:paraId="285151BC" w14:textId="77777777" w:rsidTr="00B2026A">
        <w:trPr>
          <w:cnfStyle w:val="000000100000" w:firstRow="0" w:lastRow="0" w:firstColumn="0" w:lastColumn="0" w:oddVBand="0" w:evenVBand="0" w:oddHBand="1" w:evenHBand="0" w:firstRowFirstColumn="0" w:firstRowLastColumn="0" w:lastRowFirstColumn="0" w:lastRowLastColumn="0"/>
          <w:trHeight w:val="2717"/>
        </w:trPr>
        <w:tc>
          <w:tcPr>
            <w:cnfStyle w:val="001000000000" w:firstRow="0" w:lastRow="0" w:firstColumn="1" w:lastColumn="0" w:oddVBand="0" w:evenVBand="0" w:oddHBand="0" w:evenHBand="0" w:firstRowFirstColumn="0" w:firstRowLastColumn="0" w:lastRowFirstColumn="0" w:lastRowLastColumn="0"/>
            <w:tcW w:w="716" w:type="dxa"/>
          </w:tcPr>
          <w:p w14:paraId="759713AB" w14:textId="77777777" w:rsidR="00B2026A" w:rsidRPr="00310CEF" w:rsidRDefault="00B2026A">
            <w:pPr>
              <w:pStyle w:val="DPCtabletext"/>
              <w:spacing w:before="120" w:after="120"/>
            </w:pPr>
            <w:r>
              <w:t>A</w:t>
            </w:r>
            <w:r w:rsidRPr="00310CEF">
              <w:t>1</w:t>
            </w:r>
          </w:p>
        </w:tc>
        <w:tc>
          <w:tcPr>
            <w:tcW w:w="5936" w:type="dxa"/>
          </w:tcPr>
          <w:p w14:paraId="3FDA7C89"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Pr>
                <w:b/>
              </w:rPr>
              <w:t>State Owned Enterprises (SOE)</w:t>
            </w:r>
            <w:r w:rsidRPr="00310CEF">
              <w:t xml:space="preserve"> incorporated under the </w:t>
            </w:r>
            <w:r w:rsidRPr="00310CEF">
              <w:rPr>
                <w:i/>
                <w:iCs/>
              </w:rPr>
              <w:t xml:space="preserve">Corporations Act 2001 </w:t>
            </w:r>
            <w:r w:rsidRPr="00310CEF">
              <w:t xml:space="preserve">or corporatised businesses with a turnover of over $1 billion or assets over $1 billion or profit over $100 million. </w:t>
            </w:r>
          </w:p>
          <w:p w14:paraId="3BE85F86"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p>
          <w:p w14:paraId="5CA563A8"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310CEF">
              <w:rPr>
                <w:b/>
              </w:rPr>
              <w:t>Statutory Authorities</w:t>
            </w:r>
            <w:r w:rsidRPr="00310CEF">
              <w:t xml:space="preserve"> determined by the Premier and Cabinet to warrant inclusion in this group. </w:t>
            </w:r>
          </w:p>
          <w:p w14:paraId="4FED04EA"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p>
          <w:p w14:paraId="52E25987"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b/>
              </w:rPr>
            </w:pPr>
            <w:r w:rsidRPr="00310CEF">
              <w:rPr>
                <w:b/>
              </w:rPr>
              <w:t xml:space="preserve">OR - if the business is a new business or facing particular challenges that warrant special consideration. </w:t>
            </w:r>
          </w:p>
        </w:tc>
        <w:tc>
          <w:tcPr>
            <w:tcW w:w="1185" w:type="dxa"/>
          </w:tcPr>
          <w:p w14:paraId="509165AF" w14:textId="5F2FB540" w:rsidR="00B2026A" w:rsidRPr="00310CEF" w:rsidRDefault="00B2026A">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71BFC792">
              <w:rPr>
                <w:rFonts w:ascii="Arial" w:eastAsia="Arial" w:hAnsi="Arial" w:cs="Arial"/>
                <w:color w:val="000000" w:themeColor="text1"/>
              </w:rPr>
              <w:t>$8</w:t>
            </w:r>
            <w:r w:rsidR="0091214E">
              <w:rPr>
                <w:rFonts w:ascii="Arial" w:eastAsia="Arial" w:hAnsi="Arial" w:cs="Arial"/>
                <w:color w:val="000000" w:themeColor="text1"/>
              </w:rPr>
              <w:t>5</w:t>
            </w:r>
            <w:r>
              <w:rPr>
                <w:rFonts w:ascii="Arial" w:eastAsia="Arial" w:hAnsi="Arial" w:cs="Arial"/>
                <w:color w:val="000000" w:themeColor="text1"/>
              </w:rPr>
              <w:t>,</w:t>
            </w:r>
            <w:r w:rsidR="0091214E">
              <w:rPr>
                <w:rFonts w:ascii="Arial" w:eastAsia="Arial" w:hAnsi="Arial" w:cs="Arial"/>
                <w:color w:val="000000" w:themeColor="text1"/>
              </w:rPr>
              <w:t>204</w:t>
            </w:r>
            <w:r w:rsidRPr="71BFC792">
              <w:rPr>
                <w:rFonts w:ascii="Arial" w:eastAsia="Arial" w:hAnsi="Arial" w:cs="Arial"/>
                <w:color w:val="000000" w:themeColor="text1"/>
              </w:rPr>
              <w:t xml:space="preserve"> to $15</w:t>
            </w:r>
            <w:r w:rsidR="0091214E">
              <w:rPr>
                <w:rFonts w:ascii="Arial" w:eastAsia="Arial" w:hAnsi="Arial" w:cs="Arial"/>
                <w:color w:val="000000" w:themeColor="text1"/>
              </w:rPr>
              <w:t>9</w:t>
            </w:r>
            <w:r w:rsidRPr="71BFC792">
              <w:rPr>
                <w:rFonts w:ascii="Arial" w:eastAsia="Arial" w:hAnsi="Arial" w:cs="Arial"/>
                <w:color w:val="000000" w:themeColor="text1"/>
              </w:rPr>
              <w:t>,</w:t>
            </w:r>
            <w:r w:rsidR="0091214E">
              <w:rPr>
                <w:rFonts w:ascii="Arial" w:eastAsia="Arial" w:hAnsi="Arial" w:cs="Arial"/>
                <w:color w:val="000000" w:themeColor="text1"/>
              </w:rPr>
              <w:t>831</w:t>
            </w:r>
          </w:p>
          <w:p w14:paraId="74F6DC03"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1485" w:type="dxa"/>
          </w:tcPr>
          <w:p w14:paraId="3D635F71" w14:textId="05D65C14" w:rsidR="00B2026A" w:rsidRPr="00F3658A" w:rsidRDefault="00B2026A">
            <w:pPr>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F3658A">
              <w:rPr>
                <w:rFonts w:ascii="Arial" w:eastAsia="Arial" w:hAnsi="Arial" w:cs="Arial"/>
                <w:color w:val="000000" w:themeColor="text1"/>
              </w:rPr>
              <w:t>$4</w:t>
            </w:r>
            <w:r w:rsidR="0091214E">
              <w:rPr>
                <w:rFonts w:ascii="Arial" w:eastAsia="Arial" w:hAnsi="Arial" w:cs="Arial"/>
                <w:color w:val="000000" w:themeColor="text1"/>
              </w:rPr>
              <w:t>2</w:t>
            </w:r>
            <w:r w:rsidRPr="00F3658A">
              <w:rPr>
                <w:rFonts w:ascii="Arial" w:eastAsia="Arial" w:hAnsi="Arial" w:cs="Arial"/>
                <w:color w:val="000000" w:themeColor="text1"/>
              </w:rPr>
              <w:t>,</w:t>
            </w:r>
            <w:r w:rsidR="0091214E">
              <w:rPr>
                <w:rFonts w:ascii="Arial" w:eastAsia="Arial" w:hAnsi="Arial" w:cs="Arial"/>
                <w:color w:val="000000" w:themeColor="text1"/>
              </w:rPr>
              <w:t>604</w:t>
            </w:r>
            <w:r w:rsidRPr="00F3658A">
              <w:rPr>
                <w:rFonts w:ascii="Arial" w:eastAsia="Arial" w:hAnsi="Arial" w:cs="Arial"/>
                <w:color w:val="000000" w:themeColor="text1"/>
              </w:rPr>
              <w:t xml:space="preserve"> to $</w:t>
            </w:r>
            <w:r w:rsidR="0091214E">
              <w:rPr>
                <w:rFonts w:ascii="Arial" w:eastAsia="Arial" w:hAnsi="Arial" w:cs="Arial"/>
                <w:color w:val="000000" w:themeColor="text1"/>
              </w:rPr>
              <w:t>70</w:t>
            </w:r>
            <w:r w:rsidRPr="00F3658A">
              <w:rPr>
                <w:rFonts w:ascii="Arial" w:eastAsia="Arial" w:hAnsi="Arial" w:cs="Arial"/>
                <w:color w:val="000000" w:themeColor="text1"/>
              </w:rPr>
              <w:t>,</w:t>
            </w:r>
            <w:r w:rsidR="0091214E">
              <w:rPr>
                <w:rFonts w:ascii="Arial" w:eastAsia="Arial" w:hAnsi="Arial" w:cs="Arial"/>
                <w:color w:val="000000" w:themeColor="text1"/>
              </w:rPr>
              <w:t>025</w:t>
            </w:r>
          </w:p>
        </w:tc>
      </w:tr>
      <w:tr w:rsidR="00B2026A" w:rsidRPr="00310CEF" w14:paraId="6FEA79F9" w14:textId="77777777" w:rsidTr="00B2026A">
        <w:trPr>
          <w:cnfStyle w:val="000000010000" w:firstRow="0" w:lastRow="0" w:firstColumn="0" w:lastColumn="0" w:oddVBand="0" w:evenVBand="0" w:oddHBand="0" w:evenHBand="1" w:firstRowFirstColumn="0" w:firstRowLastColumn="0" w:lastRowFirstColumn="0" w:lastRowLastColumn="0"/>
          <w:trHeight w:val="1571"/>
        </w:trPr>
        <w:tc>
          <w:tcPr>
            <w:cnfStyle w:val="001000000000" w:firstRow="0" w:lastRow="0" w:firstColumn="1" w:lastColumn="0" w:oddVBand="0" w:evenVBand="0" w:oddHBand="0" w:evenHBand="0" w:firstRowFirstColumn="0" w:firstRowLastColumn="0" w:lastRowFirstColumn="0" w:lastRowLastColumn="0"/>
            <w:tcW w:w="716" w:type="dxa"/>
          </w:tcPr>
          <w:p w14:paraId="52B97169" w14:textId="77777777" w:rsidR="00B2026A" w:rsidRPr="00310CEF" w:rsidRDefault="00B2026A">
            <w:pPr>
              <w:pStyle w:val="DPCtabletext"/>
              <w:spacing w:before="120" w:after="120"/>
            </w:pPr>
            <w:r>
              <w:t>A</w:t>
            </w:r>
            <w:r w:rsidRPr="00310CEF">
              <w:t>2</w:t>
            </w:r>
          </w:p>
        </w:tc>
        <w:tc>
          <w:tcPr>
            <w:tcW w:w="5936" w:type="dxa"/>
          </w:tcPr>
          <w:p w14:paraId="2F40BA5D"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r w:rsidRPr="00310CEF">
              <w:rPr>
                <w:b/>
              </w:rPr>
              <w:t>GBEs</w:t>
            </w:r>
            <w:r w:rsidRPr="00310CEF">
              <w:t xml:space="preserve"> incorporated under the </w:t>
            </w:r>
            <w:r w:rsidRPr="00310CEF">
              <w:rPr>
                <w:i/>
              </w:rPr>
              <w:t>Corporations Act 2001</w:t>
            </w:r>
            <w:r w:rsidRPr="00310CEF">
              <w:t xml:space="preserve"> or corporatised businesses with a turnover of between $500 million and $1 billion or assets between $500 million and $1 billion or profit between $50-100 million, or any combination of these factors,</w:t>
            </w:r>
          </w:p>
          <w:p w14:paraId="613A46DE"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p>
          <w:p w14:paraId="13BD9EA0"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r w:rsidRPr="00310CEF">
              <w:t>AND</w:t>
            </w:r>
          </w:p>
          <w:p w14:paraId="6C7B09C8"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p>
          <w:p w14:paraId="47333D8F"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rPr>
                <w:rFonts w:cs="Arial"/>
                <w:color w:val="000000"/>
                <w:lang w:eastAsia="en-AU"/>
              </w:rPr>
            </w:pPr>
            <w:r w:rsidRPr="00310CEF">
              <w:rPr>
                <w:rFonts w:cs="Arial"/>
                <w:b/>
                <w:color w:val="000000"/>
                <w:lang w:eastAsia="en-AU"/>
              </w:rPr>
              <w:t>Statutory Authorities</w:t>
            </w:r>
            <w:r w:rsidRPr="00310CEF">
              <w:rPr>
                <w:rFonts w:cs="Arial"/>
                <w:color w:val="000000"/>
                <w:lang w:eastAsia="en-AU"/>
              </w:rPr>
              <w:t xml:space="preserve"> with a turnover of over $1 billion or assets over $1 billion or operating surplus over $100 million or any combination of these factors. </w:t>
            </w:r>
          </w:p>
        </w:tc>
        <w:tc>
          <w:tcPr>
            <w:tcW w:w="1185" w:type="dxa"/>
          </w:tcPr>
          <w:p w14:paraId="13CD7330" w14:textId="44E0CA72" w:rsidR="00B2026A" w:rsidRPr="00F3658A" w:rsidRDefault="00B2026A">
            <w:pPr>
              <w:spacing w:line="259" w:lineRule="auto"/>
              <w:cnfStyle w:val="000000010000" w:firstRow="0" w:lastRow="0" w:firstColumn="0" w:lastColumn="0" w:oddVBand="0" w:evenVBand="0" w:oddHBand="0" w:evenHBand="1" w:firstRowFirstColumn="0" w:firstRowLastColumn="0" w:lastRowFirstColumn="0" w:lastRowLastColumn="0"/>
              <w:rPr>
                <w:rFonts w:ascii="Arial" w:eastAsia="Arial" w:hAnsi="Arial" w:cs="Arial"/>
                <w:color w:val="000000" w:themeColor="text1"/>
              </w:rPr>
            </w:pPr>
            <w:r w:rsidRPr="00F3658A">
              <w:rPr>
                <w:rFonts w:ascii="Arial" w:eastAsia="Arial" w:hAnsi="Arial" w:cs="Arial"/>
                <w:color w:val="000000" w:themeColor="text1"/>
              </w:rPr>
              <w:t>$6</w:t>
            </w:r>
            <w:r w:rsidR="0091214E">
              <w:rPr>
                <w:rFonts w:ascii="Arial" w:eastAsia="Arial" w:hAnsi="Arial" w:cs="Arial"/>
                <w:color w:val="000000" w:themeColor="text1"/>
              </w:rPr>
              <w:t>3</w:t>
            </w:r>
            <w:r>
              <w:rPr>
                <w:rFonts w:ascii="Arial" w:eastAsia="Arial" w:hAnsi="Arial" w:cs="Arial"/>
                <w:color w:val="000000" w:themeColor="text1"/>
              </w:rPr>
              <w:t>,</w:t>
            </w:r>
            <w:r w:rsidR="0091214E">
              <w:rPr>
                <w:rFonts w:ascii="Arial" w:eastAsia="Arial" w:hAnsi="Arial" w:cs="Arial"/>
                <w:color w:val="000000" w:themeColor="text1"/>
              </w:rPr>
              <w:t>903</w:t>
            </w:r>
            <w:r w:rsidRPr="00F3658A">
              <w:rPr>
                <w:rFonts w:ascii="Arial" w:eastAsia="Arial" w:hAnsi="Arial" w:cs="Arial"/>
                <w:color w:val="000000" w:themeColor="text1"/>
              </w:rPr>
              <w:t xml:space="preserve"> to $11</w:t>
            </w:r>
            <w:r w:rsidR="0091214E">
              <w:rPr>
                <w:rFonts w:ascii="Arial" w:eastAsia="Arial" w:hAnsi="Arial" w:cs="Arial"/>
                <w:color w:val="000000" w:themeColor="text1"/>
              </w:rPr>
              <w:t>9</w:t>
            </w:r>
            <w:r w:rsidRPr="00F3658A">
              <w:rPr>
                <w:rFonts w:ascii="Arial" w:eastAsia="Arial" w:hAnsi="Arial" w:cs="Arial"/>
                <w:color w:val="000000" w:themeColor="text1"/>
              </w:rPr>
              <w:t>,</w:t>
            </w:r>
            <w:r w:rsidR="0091214E">
              <w:rPr>
                <w:rFonts w:ascii="Arial" w:eastAsia="Arial" w:hAnsi="Arial" w:cs="Arial"/>
                <w:color w:val="000000" w:themeColor="text1"/>
              </w:rPr>
              <w:t>882</w:t>
            </w:r>
          </w:p>
        </w:tc>
        <w:tc>
          <w:tcPr>
            <w:tcW w:w="1485" w:type="dxa"/>
          </w:tcPr>
          <w:p w14:paraId="4BC8C2EA" w14:textId="2E693887" w:rsidR="00B2026A" w:rsidRPr="00310CEF" w:rsidRDefault="00B2026A">
            <w:pPr>
              <w:spacing w:line="259" w:lineRule="auto"/>
              <w:cnfStyle w:val="000000010000" w:firstRow="0" w:lastRow="0" w:firstColumn="0" w:lastColumn="0" w:oddVBand="0" w:evenVBand="0" w:oddHBand="0" w:evenHBand="1" w:firstRowFirstColumn="0" w:firstRowLastColumn="0" w:lastRowFirstColumn="0" w:lastRowLastColumn="0"/>
              <w:rPr>
                <w:rFonts w:ascii="Arial" w:eastAsia="Arial" w:hAnsi="Arial" w:cs="Arial"/>
                <w:color w:val="000000" w:themeColor="text1"/>
              </w:rPr>
            </w:pPr>
            <w:r w:rsidRPr="076817C8">
              <w:rPr>
                <w:rFonts w:ascii="Arial" w:eastAsia="Arial" w:hAnsi="Arial" w:cs="Arial"/>
                <w:color w:val="000000" w:themeColor="text1"/>
              </w:rPr>
              <w:t>$2</w:t>
            </w:r>
            <w:r w:rsidR="0091214E">
              <w:rPr>
                <w:rFonts w:ascii="Arial" w:eastAsia="Arial" w:hAnsi="Arial" w:cs="Arial"/>
                <w:color w:val="000000" w:themeColor="text1"/>
              </w:rPr>
              <w:t>8</w:t>
            </w:r>
            <w:r w:rsidRPr="076817C8">
              <w:rPr>
                <w:rFonts w:ascii="Arial" w:eastAsia="Arial" w:hAnsi="Arial" w:cs="Arial"/>
                <w:color w:val="000000" w:themeColor="text1"/>
              </w:rPr>
              <w:t>,</w:t>
            </w:r>
            <w:r w:rsidR="0091214E">
              <w:rPr>
                <w:rFonts w:ascii="Arial" w:eastAsia="Arial" w:hAnsi="Arial" w:cs="Arial"/>
                <w:color w:val="000000" w:themeColor="text1"/>
              </w:rPr>
              <w:t>402</w:t>
            </w:r>
            <w:r w:rsidRPr="076817C8">
              <w:rPr>
                <w:rFonts w:ascii="Arial" w:eastAsia="Arial" w:hAnsi="Arial" w:cs="Arial"/>
                <w:color w:val="000000" w:themeColor="text1"/>
              </w:rPr>
              <w:t xml:space="preserve"> to $5</w:t>
            </w:r>
            <w:r w:rsidR="0091214E">
              <w:rPr>
                <w:rFonts w:ascii="Arial" w:eastAsia="Arial" w:hAnsi="Arial" w:cs="Arial"/>
                <w:color w:val="000000" w:themeColor="text1"/>
              </w:rPr>
              <w:t>9</w:t>
            </w:r>
            <w:r>
              <w:rPr>
                <w:rFonts w:ascii="Arial" w:eastAsia="Arial" w:hAnsi="Arial" w:cs="Arial"/>
                <w:color w:val="000000" w:themeColor="text1"/>
              </w:rPr>
              <w:t>,</w:t>
            </w:r>
            <w:r w:rsidR="0091214E">
              <w:rPr>
                <w:rFonts w:ascii="Arial" w:eastAsia="Arial" w:hAnsi="Arial" w:cs="Arial"/>
                <w:color w:val="000000" w:themeColor="text1"/>
              </w:rPr>
              <w:t>951</w:t>
            </w:r>
          </w:p>
        </w:tc>
      </w:tr>
      <w:tr w:rsidR="00B2026A" w:rsidRPr="00310CEF" w14:paraId="464461BC" w14:textId="77777777" w:rsidTr="00B2026A">
        <w:trPr>
          <w:cnfStyle w:val="000000100000" w:firstRow="0" w:lastRow="0" w:firstColumn="0" w:lastColumn="0" w:oddVBand="0" w:evenVBand="0" w:oddHBand="1" w:evenHBand="0" w:firstRowFirstColumn="0" w:firstRowLastColumn="0" w:lastRowFirstColumn="0" w:lastRowLastColumn="0"/>
          <w:trHeight w:val="1825"/>
        </w:trPr>
        <w:tc>
          <w:tcPr>
            <w:cnfStyle w:val="001000000000" w:firstRow="0" w:lastRow="0" w:firstColumn="1" w:lastColumn="0" w:oddVBand="0" w:evenVBand="0" w:oddHBand="0" w:evenHBand="0" w:firstRowFirstColumn="0" w:firstRowLastColumn="0" w:lastRowFirstColumn="0" w:lastRowLastColumn="0"/>
            <w:tcW w:w="716" w:type="dxa"/>
          </w:tcPr>
          <w:p w14:paraId="1156460A" w14:textId="77777777" w:rsidR="00B2026A" w:rsidRPr="00310CEF" w:rsidRDefault="00B2026A">
            <w:pPr>
              <w:pStyle w:val="DPCtabletext"/>
              <w:spacing w:before="120" w:after="120"/>
            </w:pPr>
            <w:r>
              <w:t>A</w:t>
            </w:r>
            <w:r w:rsidRPr="00310CEF">
              <w:t>3</w:t>
            </w:r>
          </w:p>
        </w:tc>
        <w:tc>
          <w:tcPr>
            <w:tcW w:w="5936" w:type="dxa"/>
          </w:tcPr>
          <w:p w14:paraId="35C9956C"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310CEF">
              <w:rPr>
                <w:b/>
              </w:rPr>
              <w:t>GBEs</w:t>
            </w:r>
            <w:r w:rsidRPr="00310CEF">
              <w:t xml:space="preserve"> incorporated under the </w:t>
            </w:r>
            <w:r w:rsidRPr="00310CEF">
              <w:rPr>
                <w:i/>
              </w:rPr>
              <w:t>Corporations Act 2001</w:t>
            </w:r>
            <w:r w:rsidRPr="00310CEF">
              <w:t xml:space="preserve"> or corporatised businesses with a turnover of between $50 million and $500 million or assets between $50 million and $500 million or profit between $5-50 million or any combination of these factors, </w:t>
            </w:r>
          </w:p>
          <w:p w14:paraId="11761506"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p>
          <w:p w14:paraId="7A1130E9"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310CEF">
              <w:t xml:space="preserve">AND </w:t>
            </w:r>
          </w:p>
          <w:p w14:paraId="008E6185"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p>
          <w:p w14:paraId="713FDCFE"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10CEF">
              <w:rPr>
                <w:rFonts w:cs="Arial"/>
                <w:b/>
                <w:color w:val="000000"/>
                <w:lang w:eastAsia="en-AU"/>
              </w:rPr>
              <w:t>Statutory Authorities</w:t>
            </w:r>
            <w:r w:rsidRPr="00310CEF">
              <w:rPr>
                <w:rFonts w:cs="Arial"/>
                <w:color w:val="000000"/>
                <w:lang w:eastAsia="en-AU"/>
              </w:rPr>
              <w:t xml:space="preserve"> with a turnover of between $500 million and $1 billion or assets between $500 million and $1 billion or an operating surplus between $50 million and $100 million or any combination of these factors. </w:t>
            </w:r>
          </w:p>
        </w:tc>
        <w:tc>
          <w:tcPr>
            <w:tcW w:w="1185" w:type="dxa"/>
          </w:tcPr>
          <w:p w14:paraId="3A0DE686" w14:textId="74EF3201" w:rsidR="00B2026A" w:rsidRPr="00F3658A" w:rsidRDefault="00B2026A">
            <w:pPr>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71BFC792">
              <w:rPr>
                <w:rFonts w:ascii="Arial" w:eastAsia="Arial" w:hAnsi="Arial" w:cs="Arial"/>
                <w:color w:val="000000" w:themeColor="text1"/>
              </w:rPr>
              <w:t>$4</w:t>
            </w:r>
            <w:r w:rsidR="0091214E">
              <w:rPr>
                <w:rFonts w:ascii="Arial" w:eastAsia="Arial" w:hAnsi="Arial" w:cs="Arial"/>
                <w:color w:val="000000" w:themeColor="text1"/>
              </w:rPr>
              <w:t>2</w:t>
            </w:r>
            <w:r>
              <w:rPr>
                <w:rFonts w:ascii="Arial" w:eastAsia="Arial" w:hAnsi="Arial" w:cs="Arial"/>
                <w:color w:val="000000" w:themeColor="text1"/>
              </w:rPr>
              <w:t>,</w:t>
            </w:r>
            <w:r w:rsidR="0091214E">
              <w:rPr>
                <w:rFonts w:ascii="Arial" w:eastAsia="Arial" w:hAnsi="Arial" w:cs="Arial"/>
                <w:color w:val="000000" w:themeColor="text1"/>
              </w:rPr>
              <w:t>604</w:t>
            </w:r>
            <w:r w:rsidRPr="71BFC792">
              <w:rPr>
                <w:rFonts w:ascii="Arial" w:eastAsia="Arial" w:hAnsi="Arial" w:cs="Arial"/>
                <w:color w:val="000000" w:themeColor="text1"/>
              </w:rPr>
              <w:t xml:space="preserve"> to</w:t>
            </w:r>
            <w:r w:rsidRPr="6B6DB515">
              <w:rPr>
                <w:rFonts w:ascii="Arial" w:eastAsia="Arial" w:hAnsi="Arial" w:cs="Arial"/>
                <w:color w:val="000000" w:themeColor="text1"/>
              </w:rPr>
              <w:t xml:space="preserve"> $8</w:t>
            </w:r>
            <w:r w:rsidR="0091214E">
              <w:rPr>
                <w:rFonts w:ascii="Arial" w:eastAsia="Arial" w:hAnsi="Arial" w:cs="Arial"/>
                <w:color w:val="000000" w:themeColor="text1"/>
              </w:rPr>
              <w:t>9</w:t>
            </w:r>
            <w:r>
              <w:rPr>
                <w:rFonts w:ascii="Arial" w:eastAsia="Arial" w:hAnsi="Arial" w:cs="Arial"/>
                <w:color w:val="000000" w:themeColor="text1"/>
              </w:rPr>
              <w:t>,</w:t>
            </w:r>
            <w:r w:rsidR="0091214E">
              <w:rPr>
                <w:rFonts w:ascii="Arial" w:eastAsia="Arial" w:hAnsi="Arial" w:cs="Arial"/>
                <w:color w:val="000000" w:themeColor="text1"/>
              </w:rPr>
              <w:t>908</w:t>
            </w:r>
          </w:p>
          <w:p w14:paraId="4251776C" w14:textId="77777777" w:rsidR="00B2026A" w:rsidRPr="00F3658A" w:rsidRDefault="00B2026A">
            <w:pPr>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485" w:type="dxa"/>
          </w:tcPr>
          <w:p w14:paraId="4A5F54C8" w14:textId="0E65090D" w:rsidR="00B2026A" w:rsidRPr="00310CEF" w:rsidRDefault="00B2026A">
            <w:pPr>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4666737F">
              <w:rPr>
                <w:rFonts w:ascii="Arial" w:eastAsia="Arial" w:hAnsi="Arial" w:cs="Arial"/>
                <w:color w:val="000000" w:themeColor="text1"/>
              </w:rPr>
              <w:t>$2</w:t>
            </w:r>
            <w:r>
              <w:rPr>
                <w:rFonts w:ascii="Arial" w:eastAsia="Arial" w:hAnsi="Arial" w:cs="Arial"/>
                <w:color w:val="000000" w:themeColor="text1"/>
              </w:rPr>
              <w:t>2</w:t>
            </w:r>
            <w:r w:rsidRPr="4666737F">
              <w:rPr>
                <w:rFonts w:ascii="Arial" w:eastAsia="Arial" w:hAnsi="Arial" w:cs="Arial"/>
                <w:color w:val="000000" w:themeColor="text1"/>
              </w:rPr>
              <w:t>,</w:t>
            </w:r>
            <w:r w:rsidR="0091214E">
              <w:rPr>
                <w:rFonts w:ascii="Arial" w:eastAsia="Arial" w:hAnsi="Arial" w:cs="Arial"/>
                <w:color w:val="000000" w:themeColor="text1"/>
              </w:rPr>
              <w:t>720</w:t>
            </w:r>
            <w:r w:rsidRPr="4666737F">
              <w:rPr>
                <w:rFonts w:ascii="Arial" w:eastAsia="Arial" w:hAnsi="Arial" w:cs="Arial"/>
                <w:color w:val="000000" w:themeColor="text1"/>
              </w:rPr>
              <w:t xml:space="preserve"> to $</w:t>
            </w:r>
            <w:r>
              <w:rPr>
                <w:rFonts w:ascii="Arial" w:eastAsia="Arial" w:hAnsi="Arial" w:cs="Arial"/>
                <w:color w:val="000000" w:themeColor="text1"/>
              </w:rPr>
              <w:t>4</w:t>
            </w:r>
            <w:r w:rsidR="0091214E">
              <w:rPr>
                <w:rFonts w:ascii="Arial" w:eastAsia="Arial" w:hAnsi="Arial" w:cs="Arial"/>
                <w:color w:val="000000" w:themeColor="text1"/>
              </w:rPr>
              <w:t>2</w:t>
            </w:r>
            <w:r>
              <w:rPr>
                <w:rFonts w:ascii="Arial" w:eastAsia="Arial" w:hAnsi="Arial" w:cs="Arial"/>
                <w:color w:val="000000" w:themeColor="text1"/>
              </w:rPr>
              <w:t>,</w:t>
            </w:r>
            <w:r w:rsidR="0091214E">
              <w:rPr>
                <w:rFonts w:ascii="Arial" w:eastAsia="Arial" w:hAnsi="Arial" w:cs="Arial"/>
                <w:color w:val="000000" w:themeColor="text1"/>
              </w:rPr>
              <w:t>017</w:t>
            </w:r>
          </w:p>
        </w:tc>
      </w:tr>
      <w:tr w:rsidR="00B2026A" w:rsidRPr="00310CEF" w14:paraId="7156C7FF" w14:textId="77777777" w:rsidTr="00B2026A">
        <w:trPr>
          <w:cnfStyle w:val="000000010000" w:firstRow="0" w:lastRow="0" w:firstColumn="0" w:lastColumn="0" w:oddVBand="0" w:evenVBand="0" w:oddHBand="0" w:evenHBand="1" w:firstRowFirstColumn="0" w:firstRowLastColumn="0" w:lastRowFirstColumn="0" w:lastRowLastColumn="0"/>
          <w:trHeight w:val="1699"/>
        </w:trPr>
        <w:tc>
          <w:tcPr>
            <w:cnfStyle w:val="001000000000" w:firstRow="0" w:lastRow="0" w:firstColumn="1" w:lastColumn="0" w:oddVBand="0" w:evenVBand="0" w:oddHBand="0" w:evenHBand="0" w:firstRowFirstColumn="0" w:firstRowLastColumn="0" w:lastRowFirstColumn="0" w:lastRowLastColumn="0"/>
            <w:tcW w:w="716" w:type="dxa"/>
          </w:tcPr>
          <w:p w14:paraId="48664469" w14:textId="77777777" w:rsidR="00B2026A" w:rsidRPr="00310CEF" w:rsidRDefault="00B2026A">
            <w:pPr>
              <w:pStyle w:val="DPCtabletext"/>
              <w:spacing w:before="120" w:after="120"/>
            </w:pPr>
            <w:r>
              <w:lastRenderedPageBreak/>
              <w:t>A</w:t>
            </w:r>
            <w:r w:rsidRPr="00310CEF">
              <w:t>4</w:t>
            </w:r>
          </w:p>
        </w:tc>
        <w:tc>
          <w:tcPr>
            <w:tcW w:w="5936" w:type="dxa"/>
          </w:tcPr>
          <w:p w14:paraId="165B4531"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r w:rsidRPr="00593E8A">
              <w:rPr>
                <w:b/>
              </w:rPr>
              <w:t>GBEs</w:t>
            </w:r>
            <w:r w:rsidRPr="00310CEF">
              <w:t xml:space="preserve"> incorporated under the </w:t>
            </w:r>
            <w:r w:rsidRPr="00310CEF">
              <w:rPr>
                <w:i/>
              </w:rPr>
              <w:t>Corporations Act 2001</w:t>
            </w:r>
            <w:r w:rsidRPr="00310CEF">
              <w:t xml:space="preserve"> or corporatised businesses with a turnover of below $50 million or assets below $50 million or profit below $5 million or any combination of these factors, </w:t>
            </w:r>
          </w:p>
          <w:p w14:paraId="467A227F"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p>
          <w:p w14:paraId="568A36BB"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r w:rsidRPr="00310CEF">
              <w:t>AND</w:t>
            </w:r>
          </w:p>
          <w:p w14:paraId="0F62808C"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p>
          <w:p w14:paraId="50EA41D1"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rPr>
                <w:rFonts w:cs="Arial"/>
                <w:color w:val="000000"/>
                <w:lang w:eastAsia="en-AU"/>
              </w:rPr>
            </w:pPr>
            <w:r w:rsidRPr="00593E8A">
              <w:rPr>
                <w:rFonts w:cs="Arial"/>
                <w:b/>
                <w:color w:val="000000"/>
                <w:lang w:eastAsia="en-AU"/>
              </w:rPr>
              <w:t>Statutory Authorities</w:t>
            </w:r>
            <w:r w:rsidRPr="00310CEF">
              <w:rPr>
                <w:rFonts w:cs="Arial"/>
                <w:color w:val="000000"/>
                <w:lang w:eastAsia="en-AU"/>
              </w:rPr>
              <w:t xml:space="preserve"> with a turnover of between $50 million and $500 million or assets between $50 million and $500 million or an operating surplus between $5 million and $50 million or any combination of these factors. </w:t>
            </w:r>
          </w:p>
        </w:tc>
        <w:tc>
          <w:tcPr>
            <w:tcW w:w="1185" w:type="dxa"/>
          </w:tcPr>
          <w:p w14:paraId="45EBC94A" w14:textId="77ADF41C" w:rsidR="00B2026A" w:rsidRPr="00310CEF" w:rsidRDefault="00B2026A">
            <w:pPr>
              <w:spacing w:line="259" w:lineRule="auto"/>
              <w:cnfStyle w:val="000000010000" w:firstRow="0" w:lastRow="0" w:firstColumn="0" w:lastColumn="0" w:oddVBand="0" w:evenVBand="0" w:oddHBand="0" w:evenHBand="1" w:firstRowFirstColumn="0" w:firstRowLastColumn="0" w:lastRowFirstColumn="0" w:lastRowLastColumn="0"/>
              <w:rPr>
                <w:rFonts w:ascii="Arial" w:eastAsia="Arial" w:hAnsi="Arial" w:cs="Arial"/>
                <w:color w:val="000000" w:themeColor="text1"/>
              </w:rPr>
            </w:pPr>
            <w:r w:rsidRPr="00F3658A">
              <w:rPr>
                <w:rFonts w:ascii="Arial" w:eastAsia="Arial" w:hAnsi="Arial" w:cs="Arial"/>
                <w:color w:val="000000" w:themeColor="text1"/>
              </w:rPr>
              <w:t>$2</w:t>
            </w:r>
            <w:r w:rsidR="0091214E">
              <w:rPr>
                <w:rFonts w:ascii="Arial" w:eastAsia="Arial" w:hAnsi="Arial" w:cs="Arial"/>
                <w:color w:val="000000" w:themeColor="text1"/>
              </w:rPr>
              <w:t>1</w:t>
            </w:r>
            <w:r w:rsidRPr="00F3658A">
              <w:rPr>
                <w:rFonts w:ascii="Arial" w:eastAsia="Arial" w:hAnsi="Arial" w:cs="Arial"/>
                <w:color w:val="000000" w:themeColor="text1"/>
              </w:rPr>
              <w:t>,</w:t>
            </w:r>
            <w:r w:rsidR="0091214E">
              <w:rPr>
                <w:rFonts w:ascii="Arial" w:eastAsia="Arial" w:hAnsi="Arial" w:cs="Arial"/>
                <w:color w:val="000000" w:themeColor="text1"/>
              </w:rPr>
              <w:t>302</w:t>
            </w:r>
            <w:r w:rsidRPr="00F3658A">
              <w:rPr>
                <w:rFonts w:ascii="Arial" w:eastAsia="Arial" w:hAnsi="Arial" w:cs="Arial"/>
                <w:color w:val="000000" w:themeColor="text1"/>
              </w:rPr>
              <w:t xml:space="preserve"> to $5</w:t>
            </w:r>
            <w:r w:rsidR="0091214E">
              <w:rPr>
                <w:rFonts w:ascii="Arial" w:eastAsia="Arial" w:hAnsi="Arial" w:cs="Arial"/>
                <w:color w:val="000000" w:themeColor="text1"/>
              </w:rPr>
              <w:t>9</w:t>
            </w:r>
            <w:r w:rsidRPr="00F3658A">
              <w:rPr>
                <w:rFonts w:ascii="Arial" w:eastAsia="Arial" w:hAnsi="Arial" w:cs="Arial"/>
                <w:color w:val="000000" w:themeColor="text1"/>
              </w:rPr>
              <w:t>,</w:t>
            </w:r>
            <w:r w:rsidR="0091214E">
              <w:rPr>
                <w:rFonts w:ascii="Arial" w:eastAsia="Arial" w:hAnsi="Arial" w:cs="Arial"/>
                <w:color w:val="000000" w:themeColor="text1"/>
              </w:rPr>
              <w:t>951</w:t>
            </w:r>
          </w:p>
        </w:tc>
        <w:tc>
          <w:tcPr>
            <w:tcW w:w="1485" w:type="dxa"/>
          </w:tcPr>
          <w:p w14:paraId="0195F7F9" w14:textId="115F9FF1" w:rsidR="00B2026A" w:rsidRPr="00F3658A" w:rsidRDefault="00B2026A">
            <w:pPr>
              <w:spacing w:line="259" w:lineRule="auto"/>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F3658A">
              <w:rPr>
                <w:rFonts w:ascii="Arial" w:eastAsia="Arial" w:hAnsi="Arial" w:cs="Arial"/>
                <w:color w:val="000000" w:themeColor="text1"/>
              </w:rPr>
              <w:t>$12,</w:t>
            </w:r>
            <w:r w:rsidR="005D0072">
              <w:rPr>
                <w:rFonts w:ascii="Arial" w:eastAsia="Arial" w:hAnsi="Arial" w:cs="Arial"/>
                <w:color w:val="000000" w:themeColor="text1"/>
              </w:rPr>
              <w:t>781</w:t>
            </w:r>
            <w:r w:rsidRPr="00F3658A">
              <w:rPr>
                <w:rFonts w:ascii="Arial" w:eastAsia="Arial" w:hAnsi="Arial" w:cs="Arial"/>
                <w:color w:val="000000" w:themeColor="text1"/>
              </w:rPr>
              <w:t xml:space="preserve"> to $2</w:t>
            </w:r>
            <w:r w:rsidR="005D0072">
              <w:rPr>
                <w:rFonts w:ascii="Arial" w:eastAsia="Arial" w:hAnsi="Arial" w:cs="Arial"/>
                <w:color w:val="000000" w:themeColor="text1"/>
              </w:rPr>
              <w:t>4</w:t>
            </w:r>
            <w:r>
              <w:rPr>
                <w:rFonts w:ascii="Arial" w:eastAsia="Arial" w:hAnsi="Arial" w:cs="Arial"/>
                <w:color w:val="000000" w:themeColor="text1"/>
              </w:rPr>
              <w:t>,</w:t>
            </w:r>
            <w:r w:rsidR="005D0072">
              <w:rPr>
                <w:rFonts w:ascii="Arial" w:eastAsia="Arial" w:hAnsi="Arial" w:cs="Arial"/>
                <w:color w:val="000000" w:themeColor="text1"/>
              </w:rPr>
              <w:t>004</w:t>
            </w:r>
          </w:p>
        </w:tc>
      </w:tr>
      <w:tr w:rsidR="00B2026A" w:rsidRPr="00310CEF" w14:paraId="2BDE6B73" w14:textId="77777777" w:rsidTr="00B20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6" w:type="dxa"/>
          </w:tcPr>
          <w:p w14:paraId="294378DA" w14:textId="77777777" w:rsidR="00B2026A" w:rsidRPr="00310CEF" w:rsidRDefault="00B2026A">
            <w:pPr>
              <w:pStyle w:val="DPCtabletext"/>
              <w:spacing w:before="120" w:after="120"/>
            </w:pPr>
            <w:r>
              <w:t>A</w:t>
            </w:r>
            <w:r w:rsidRPr="00310CEF">
              <w:t>5</w:t>
            </w:r>
          </w:p>
        </w:tc>
        <w:tc>
          <w:tcPr>
            <w:tcW w:w="5936" w:type="dxa"/>
          </w:tcPr>
          <w:p w14:paraId="1C8001EA"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593E8A">
              <w:rPr>
                <w:b/>
              </w:rPr>
              <w:t>Statutory Authorities</w:t>
            </w:r>
            <w:r w:rsidRPr="00310CEF">
              <w:t xml:space="preserve"> with a turnover of below $50 million or assets below $50 million or profit below $5 million. </w:t>
            </w:r>
          </w:p>
        </w:tc>
        <w:tc>
          <w:tcPr>
            <w:tcW w:w="1185" w:type="dxa"/>
          </w:tcPr>
          <w:p w14:paraId="75D622C1" w14:textId="1A2DF24B" w:rsidR="00B2026A" w:rsidRPr="00310CEF" w:rsidRDefault="00B2026A">
            <w:pPr>
              <w:pStyle w:val="DPCtabletext"/>
              <w:spacing w:before="120" w:after="120" w:line="259" w:lineRule="auto"/>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sidRPr="372E60ED">
              <w:rPr>
                <w:rFonts w:eastAsia="Arial" w:cs="Arial"/>
              </w:rPr>
              <w:t>$</w:t>
            </w:r>
            <w:r w:rsidRPr="00F3658A">
              <w:rPr>
                <w:rFonts w:ascii="Arial" w:eastAsia="Arial" w:hAnsi="Arial" w:cs="Arial"/>
              </w:rPr>
              <w:t>1</w:t>
            </w:r>
            <w:r w:rsidR="005D0072">
              <w:rPr>
                <w:rFonts w:ascii="Arial" w:eastAsia="Arial" w:hAnsi="Arial" w:cs="Arial"/>
              </w:rPr>
              <w:t>4</w:t>
            </w:r>
            <w:r w:rsidRPr="00F3658A">
              <w:rPr>
                <w:rFonts w:ascii="Arial" w:eastAsia="Arial" w:hAnsi="Arial" w:cs="Arial"/>
              </w:rPr>
              <w:t>,</w:t>
            </w:r>
            <w:r w:rsidR="005D0072">
              <w:rPr>
                <w:rFonts w:ascii="Arial" w:eastAsia="Arial" w:hAnsi="Arial" w:cs="Arial"/>
              </w:rPr>
              <w:t>200</w:t>
            </w:r>
            <w:r w:rsidRPr="00F3658A">
              <w:rPr>
                <w:rFonts w:ascii="Arial" w:eastAsia="Arial" w:hAnsi="Arial" w:cs="Arial"/>
              </w:rPr>
              <w:t xml:space="preserve"> to $</w:t>
            </w:r>
            <w:r w:rsidR="005D0072">
              <w:rPr>
                <w:rFonts w:ascii="Arial" w:eastAsia="Arial" w:hAnsi="Arial" w:cs="Arial"/>
              </w:rPr>
              <w:t>30</w:t>
            </w:r>
            <w:r>
              <w:rPr>
                <w:rFonts w:ascii="Arial" w:eastAsia="Arial" w:hAnsi="Arial" w:cs="Arial"/>
              </w:rPr>
              <w:t>,</w:t>
            </w:r>
            <w:r w:rsidR="005D0072">
              <w:rPr>
                <w:rFonts w:ascii="Arial" w:eastAsia="Arial" w:hAnsi="Arial" w:cs="Arial"/>
              </w:rPr>
              <w:t>075</w:t>
            </w:r>
          </w:p>
        </w:tc>
        <w:tc>
          <w:tcPr>
            <w:tcW w:w="1485" w:type="dxa"/>
          </w:tcPr>
          <w:p w14:paraId="33004185" w14:textId="187F7805" w:rsidR="00B2026A" w:rsidRPr="00F3658A" w:rsidRDefault="00B2026A">
            <w:pPr>
              <w:pStyle w:val="DPCtabletext"/>
              <w:spacing w:before="120" w:after="12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3658A">
              <w:rPr>
                <w:rFonts w:ascii="Arial" w:eastAsia="Arial" w:hAnsi="Arial" w:cs="Arial"/>
              </w:rPr>
              <w:t>$8,</w:t>
            </w:r>
            <w:r w:rsidR="005D0072">
              <w:rPr>
                <w:rFonts w:ascii="Arial" w:eastAsia="Arial" w:hAnsi="Arial" w:cs="Arial"/>
              </w:rPr>
              <w:t>520</w:t>
            </w:r>
            <w:r w:rsidRPr="00F3658A">
              <w:rPr>
                <w:rFonts w:ascii="Arial" w:eastAsia="Arial" w:hAnsi="Arial" w:cs="Arial"/>
              </w:rPr>
              <w:t xml:space="preserve"> to $1</w:t>
            </w:r>
            <w:r w:rsidR="005D0072">
              <w:rPr>
                <w:rFonts w:ascii="Arial" w:eastAsia="Arial" w:hAnsi="Arial" w:cs="Arial"/>
              </w:rPr>
              <w:t>6</w:t>
            </w:r>
            <w:r w:rsidRPr="00F3658A">
              <w:rPr>
                <w:rFonts w:ascii="Arial" w:eastAsia="Arial" w:hAnsi="Arial" w:cs="Arial"/>
              </w:rPr>
              <w:t>,</w:t>
            </w:r>
            <w:r w:rsidR="005D0072">
              <w:rPr>
                <w:rFonts w:ascii="Arial" w:eastAsia="Arial" w:hAnsi="Arial" w:cs="Arial"/>
              </w:rPr>
              <w:t>065</w:t>
            </w:r>
          </w:p>
        </w:tc>
      </w:tr>
      <w:tr w:rsidR="00B2026A" w:rsidRPr="00310CEF" w14:paraId="68134018" w14:textId="77777777" w:rsidTr="00B2026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22" w:type="dxa"/>
            <w:gridSpan w:val="4"/>
          </w:tcPr>
          <w:p w14:paraId="0ECCF658" w14:textId="77777777" w:rsidR="00B2026A" w:rsidRPr="00310CEF" w:rsidRDefault="00B2026A">
            <w:pPr>
              <w:pStyle w:val="DPCtabletext"/>
              <w:spacing w:before="120" w:after="120"/>
            </w:pPr>
            <w:r w:rsidRPr="00310CEF">
              <w:t>Notes</w:t>
            </w:r>
          </w:p>
        </w:tc>
      </w:tr>
      <w:tr w:rsidR="00B2026A" w:rsidRPr="00310CEF" w14:paraId="7746EF2D" w14:textId="77777777" w:rsidTr="00B20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22" w:type="dxa"/>
            <w:gridSpan w:val="4"/>
          </w:tcPr>
          <w:p w14:paraId="458EC66A" w14:textId="77777777" w:rsidR="00B2026A" w:rsidRPr="008B3087" w:rsidRDefault="00B2026A">
            <w:pPr>
              <w:pStyle w:val="DPCtabletext"/>
              <w:spacing w:before="120" w:after="120"/>
              <w:rPr>
                <w:b w:val="0"/>
                <w:bCs/>
              </w:rPr>
            </w:pPr>
            <w:r w:rsidRPr="008B3087">
              <w:rPr>
                <w:b w:val="0"/>
                <w:bCs/>
              </w:rPr>
              <w:t xml:space="preserve">There is no separate allowance or fee for a Deputy Chair. </w:t>
            </w:r>
          </w:p>
          <w:p w14:paraId="115EA75A" w14:textId="77777777" w:rsidR="00B2026A" w:rsidRPr="008B3087" w:rsidRDefault="00B2026A">
            <w:pPr>
              <w:pStyle w:val="DPCtabletext"/>
              <w:spacing w:before="120" w:after="120"/>
              <w:rPr>
                <w:b w:val="0"/>
                <w:bCs/>
              </w:rPr>
            </w:pPr>
            <w:r w:rsidRPr="008B3087">
              <w:rPr>
                <w:b w:val="0"/>
                <w:bCs/>
              </w:rPr>
              <w:t xml:space="preserve">There are no daily sitting fees for those organisations covered by Schedule A, but travel and other appropriate personal expenses will be reimbursed on the basis of actual costs incurred. </w:t>
            </w:r>
          </w:p>
        </w:tc>
      </w:tr>
      <w:tr w:rsidR="00B2026A" w:rsidRPr="00310CEF" w14:paraId="318A8F4E" w14:textId="77777777" w:rsidTr="00B2026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22" w:type="dxa"/>
            <w:gridSpan w:val="4"/>
          </w:tcPr>
          <w:p w14:paraId="77527620" w14:textId="25198A78" w:rsidR="00B2026A" w:rsidRPr="008B3087" w:rsidRDefault="00B2026A">
            <w:pPr>
              <w:pStyle w:val="DPCtabletext"/>
              <w:spacing w:before="120" w:after="120" w:line="259" w:lineRule="auto"/>
              <w:rPr>
                <w:b w:val="0"/>
                <w:bCs/>
              </w:rPr>
            </w:pPr>
            <w:r w:rsidRPr="008B3087">
              <w:rPr>
                <w:b w:val="0"/>
                <w:bCs/>
              </w:rPr>
              <w:t>Upon ministerial approval, up to $</w:t>
            </w:r>
            <w:r w:rsidRPr="008B3087">
              <w:rPr>
                <w:rFonts w:eastAsia="Arial" w:cs="Arial"/>
                <w:b w:val="0"/>
                <w:bCs/>
              </w:rPr>
              <w:t>6</w:t>
            </w:r>
            <w:r w:rsidRPr="008B3087">
              <w:rPr>
                <w:rFonts w:ascii="Cambria" w:eastAsia="Cambria" w:hAnsi="Cambria" w:cs="Cambria"/>
                <w:b w:val="0"/>
                <w:bCs/>
              </w:rPr>
              <w:t>,</w:t>
            </w:r>
            <w:r w:rsidR="005D0072" w:rsidRPr="005D0072">
              <w:rPr>
                <w:rFonts w:eastAsia="Cambria" w:cs="Cambria"/>
                <w:b w:val="0"/>
                <w:bCs/>
              </w:rPr>
              <w:t>543</w:t>
            </w:r>
            <w:r w:rsidRPr="005D0072">
              <w:rPr>
                <w:b w:val="0"/>
                <w:bCs/>
              </w:rPr>
              <w:t xml:space="preserve"> </w:t>
            </w:r>
            <w:r w:rsidRPr="008B3087">
              <w:rPr>
                <w:b w:val="0"/>
                <w:bCs/>
              </w:rPr>
              <w:t xml:space="preserve">per annum may be paid to directors who receive annual fees for additional committee work undertaken in recognition of the extra commitment required. </w:t>
            </w:r>
          </w:p>
        </w:tc>
      </w:tr>
    </w:tbl>
    <w:p w14:paraId="2BA8698C" w14:textId="77777777" w:rsidR="00B2026A" w:rsidRPr="00310CEF" w:rsidRDefault="00B2026A" w:rsidP="00B2026A">
      <w:pPr>
        <w:rPr>
          <w:rFonts w:asciiTheme="majorHAnsi" w:eastAsia="MS Gothic" w:hAnsiTheme="majorHAnsi"/>
          <w:bCs/>
          <w:iCs/>
          <w:color w:val="0072CE"/>
          <w:sz w:val="36"/>
          <w:szCs w:val="36"/>
        </w:rPr>
      </w:pPr>
      <w:r w:rsidRPr="00310CEF">
        <w:rPr>
          <w:rFonts w:asciiTheme="majorHAnsi" w:eastAsia="MS Gothic" w:hAnsiTheme="majorHAnsi"/>
          <w:bCs/>
          <w:iCs/>
          <w:color w:val="0072CE"/>
          <w:sz w:val="36"/>
          <w:szCs w:val="36"/>
        </w:rPr>
        <w:br w:type="page"/>
      </w:r>
    </w:p>
    <w:p w14:paraId="76E5DAE6" w14:textId="77777777" w:rsidR="00B2026A" w:rsidRPr="00310CEF" w:rsidRDefault="00B2026A" w:rsidP="00B2026A">
      <w:pPr>
        <w:pStyle w:val="Heading2"/>
        <w:spacing w:before="120"/>
      </w:pPr>
      <w:bookmarkStart w:id="195" w:name="_Toc423085079"/>
      <w:bookmarkStart w:id="196" w:name="_Toc433114852"/>
      <w:bookmarkStart w:id="197" w:name="_Toc433297667"/>
      <w:bookmarkStart w:id="198" w:name="_Toc86226928"/>
      <w:bookmarkStart w:id="199" w:name="_Toc104373499"/>
      <w:bookmarkStart w:id="200" w:name="_Toc147909881"/>
      <w:bookmarkStart w:id="201" w:name="_Toc176339491"/>
      <w:r w:rsidRPr="00310CEF">
        <w:lastRenderedPageBreak/>
        <w:t>Schedule B: Group B organisations</w:t>
      </w:r>
      <w:bookmarkEnd w:id="195"/>
      <w:bookmarkEnd w:id="196"/>
      <w:bookmarkEnd w:id="197"/>
      <w:bookmarkEnd w:id="198"/>
      <w:bookmarkEnd w:id="199"/>
      <w:bookmarkEnd w:id="200"/>
      <w:bookmarkEnd w:id="201"/>
    </w:p>
    <w:p w14:paraId="6B0BAEDA" w14:textId="193167D5" w:rsidR="00B2026A" w:rsidRPr="00136932" w:rsidRDefault="00B2026A" w:rsidP="00B2026A">
      <w:pPr>
        <w:pStyle w:val="DPCbody"/>
        <w:spacing w:before="120" w:after="120"/>
        <w:rPr>
          <w:sz w:val="20"/>
          <w:szCs w:val="20"/>
          <w:lang w:eastAsia="en-AU"/>
        </w:rPr>
      </w:pPr>
      <w:r w:rsidRPr="0074546C">
        <w:rPr>
          <w:sz w:val="20"/>
          <w:szCs w:val="20"/>
          <w:lang w:eastAsia="en-AU"/>
        </w:rPr>
        <w:t xml:space="preserve">Effective 1 </w:t>
      </w:r>
      <w:r>
        <w:rPr>
          <w:sz w:val="20"/>
          <w:szCs w:val="20"/>
          <w:lang w:eastAsia="en-AU"/>
        </w:rPr>
        <w:t xml:space="preserve">July </w:t>
      </w:r>
      <w:r w:rsidRPr="54B203F9">
        <w:rPr>
          <w:sz w:val="20"/>
          <w:szCs w:val="20"/>
          <w:lang w:eastAsia="en-AU"/>
        </w:rPr>
        <w:t>202</w:t>
      </w:r>
      <w:r w:rsidR="00D65AA6">
        <w:rPr>
          <w:sz w:val="20"/>
          <w:szCs w:val="20"/>
          <w:lang w:eastAsia="en-AU"/>
        </w:rPr>
        <w:t>5</w:t>
      </w:r>
      <w:r w:rsidRPr="00136932">
        <w:rPr>
          <w:sz w:val="20"/>
          <w:szCs w:val="20"/>
          <w:lang w:eastAsia="en-AU"/>
        </w:rPr>
        <w:t xml:space="preserve"> </w:t>
      </w:r>
    </w:p>
    <w:p w14:paraId="3A3FC06E" w14:textId="77777777" w:rsidR="00B2026A" w:rsidRPr="00310CEF" w:rsidRDefault="00B2026A" w:rsidP="00B2026A">
      <w:pPr>
        <w:pStyle w:val="DPCbody"/>
        <w:spacing w:before="120" w:after="120" w:line="240" w:lineRule="auto"/>
      </w:pPr>
      <w:r w:rsidRPr="00EE1F88">
        <w:rPr>
          <w:rFonts w:eastAsia="Times New Roman" w:cs="Times New Roman"/>
          <w:sz w:val="20"/>
          <w:szCs w:val="20"/>
          <w:lang w:eastAsia="en-AU"/>
        </w:rPr>
        <w:t>Note: Remuneration levels are exclusive of any superannuation obligations</w:t>
      </w:r>
    </w:p>
    <w:p w14:paraId="3AC610B5" w14:textId="77777777" w:rsidR="00B2026A" w:rsidRDefault="00B2026A" w:rsidP="00B2026A">
      <w:pPr>
        <w:pStyle w:val="DPCtablecaption"/>
        <w:spacing w:before="120"/>
      </w:pPr>
      <w:r w:rsidRPr="00310CEF">
        <w:t>Annual fee paying boards - significant industry and other key advisory board</w:t>
      </w:r>
      <w:r>
        <w:t>s</w:t>
      </w:r>
    </w:p>
    <w:tbl>
      <w:tblPr>
        <w:tblStyle w:val="DPCDefaulttable"/>
        <w:tblpPr w:leftFromText="180" w:rightFromText="180" w:vertAnchor="text" w:tblpX="-34" w:tblpY="1"/>
        <w:tblW w:w="9464" w:type="dxa"/>
        <w:tblInd w:w="0" w:type="dxa"/>
        <w:tblLayout w:type="fixed"/>
        <w:tblLook w:val="04A0" w:firstRow="1" w:lastRow="0" w:firstColumn="1" w:lastColumn="0" w:noHBand="0" w:noVBand="1"/>
        <w:tblCaption w:val="Remuneration bands for Group B daily-fee paying entities"/>
        <w:tblDescription w:val="Guidance on classifying and setting remuneration for Group B daily-fee paying entities"/>
      </w:tblPr>
      <w:tblGrid>
        <w:gridCol w:w="730"/>
        <w:gridCol w:w="6642"/>
        <w:gridCol w:w="992"/>
        <w:gridCol w:w="1100"/>
      </w:tblGrid>
      <w:tr w:rsidR="00B2026A" w:rsidRPr="00310CEF" w14:paraId="61ECEA3A" w14:textId="77777777" w:rsidTr="00807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14:paraId="5B7BB3F0" w14:textId="77777777" w:rsidR="00B2026A" w:rsidRPr="00846854" w:rsidRDefault="00B2026A">
            <w:pPr>
              <w:pStyle w:val="DPCtablecolhead"/>
              <w:spacing w:before="120" w:after="120"/>
              <w:rPr>
                <w:b/>
                <w:bCs/>
                <w:color w:val="0072CE" w:themeColor="accent1"/>
              </w:rPr>
            </w:pPr>
            <w:r w:rsidRPr="00846854">
              <w:rPr>
                <w:b/>
                <w:bCs/>
                <w:color w:val="0072CE" w:themeColor="accent1"/>
              </w:rPr>
              <w:t>Band</w:t>
            </w:r>
          </w:p>
        </w:tc>
        <w:tc>
          <w:tcPr>
            <w:tcW w:w="6642" w:type="dxa"/>
          </w:tcPr>
          <w:p w14:paraId="33B2E344"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Classification criteria</w:t>
            </w:r>
          </w:p>
        </w:tc>
        <w:tc>
          <w:tcPr>
            <w:tcW w:w="992" w:type="dxa"/>
          </w:tcPr>
          <w:p w14:paraId="70C582D0"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Chair</w:t>
            </w:r>
          </w:p>
        </w:tc>
        <w:tc>
          <w:tcPr>
            <w:tcW w:w="1100" w:type="dxa"/>
          </w:tcPr>
          <w:p w14:paraId="643860F8"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Member</w:t>
            </w:r>
          </w:p>
        </w:tc>
      </w:tr>
      <w:tr w:rsidR="00B2026A" w:rsidRPr="00310CEF" w14:paraId="5A0E717B" w14:textId="77777777" w:rsidTr="00807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14:paraId="58E28EA2" w14:textId="77777777" w:rsidR="00B2026A" w:rsidRPr="008C63A1" w:rsidRDefault="00B2026A">
            <w:pPr>
              <w:pStyle w:val="DPCtabletext"/>
              <w:spacing w:before="120" w:after="120"/>
              <w:rPr>
                <w:color w:val="auto"/>
              </w:rPr>
            </w:pPr>
            <w:r w:rsidRPr="008C63A1">
              <w:rPr>
                <w:color w:val="auto"/>
              </w:rPr>
              <w:t>B1</w:t>
            </w:r>
          </w:p>
        </w:tc>
        <w:tc>
          <w:tcPr>
            <w:tcW w:w="6642" w:type="dxa"/>
          </w:tcPr>
          <w:p w14:paraId="0686B559" w14:textId="77777777" w:rsidR="00B2026A" w:rsidRPr="008C63A1"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color w:val="auto"/>
                <w:szCs w:val="18"/>
              </w:rPr>
            </w:pPr>
            <w:r w:rsidRPr="008C63A1">
              <w:rPr>
                <w:color w:val="auto"/>
              </w:rPr>
              <w:t>Significant industry advisory bodies and other bodies advising Government on key strategic matters.</w:t>
            </w:r>
          </w:p>
        </w:tc>
        <w:tc>
          <w:tcPr>
            <w:tcW w:w="992" w:type="dxa"/>
          </w:tcPr>
          <w:p w14:paraId="78E7B84C" w14:textId="5C50B271" w:rsidR="00B2026A" w:rsidRPr="008C63A1"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rPr>
            </w:pPr>
            <w:r w:rsidRPr="008C63A1">
              <w:rPr>
                <w:rFonts w:ascii="Arial" w:eastAsia="Arial" w:hAnsi="Arial" w:cs="Arial"/>
                <w:color w:val="auto"/>
              </w:rPr>
              <w:t>$2</w:t>
            </w:r>
            <w:r w:rsidR="005D0072">
              <w:rPr>
                <w:rFonts w:ascii="Arial" w:eastAsia="Arial" w:hAnsi="Arial" w:cs="Arial"/>
                <w:color w:val="auto"/>
              </w:rPr>
              <w:t>1</w:t>
            </w:r>
            <w:r w:rsidRPr="008C63A1">
              <w:rPr>
                <w:rFonts w:ascii="Arial" w:eastAsia="Arial" w:hAnsi="Arial" w:cs="Arial"/>
                <w:color w:val="auto"/>
              </w:rPr>
              <w:t>,</w:t>
            </w:r>
            <w:r w:rsidR="005D0072">
              <w:rPr>
                <w:rFonts w:ascii="Arial" w:eastAsia="Arial" w:hAnsi="Arial" w:cs="Arial"/>
                <w:color w:val="auto"/>
              </w:rPr>
              <w:t>302</w:t>
            </w:r>
            <w:r w:rsidRPr="008C63A1">
              <w:rPr>
                <w:rFonts w:ascii="Arial" w:eastAsia="Arial" w:hAnsi="Arial" w:cs="Arial"/>
                <w:color w:val="auto"/>
              </w:rPr>
              <w:t xml:space="preserve"> to $5</w:t>
            </w:r>
            <w:r w:rsidR="005D0072">
              <w:rPr>
                <w:rFonts w:ascii="Arial" w:eastAsia="Arial" w:hAnsi="Arial" w:cs="Arial"/>
                <w:color w:val="auto"/>
              </w:rPr>
              <w:t>9</w:t>
            </w:r>
            <w:r w:rsidRPr="008C63A1">
              <w:rPr>
                <w:rFonts w:ascii="Arial" w:eastAsia="Arial" w:hAnsi="Arial" w:cs="Arial"/>
                <w:color w:val="auto"/>
              </w:rPr>
              <w:t>,</w:t>
            </w:r>
            <w:r w:rsidR="005D0072">
              <w:rPr>
                <w:rFonts w:ascii="Arial" w:eastAsia="Arial" w:hAnsi="Arial" w:cs="Arial"/>
                <w:color w:val="auto"/>
              </w:rPr>
              <w:t>951</w:t>
            </w:r>
          </w:p>
        </w:tc>
        <w:tc>
          <w:tcPr>
            <w:tcW w:w="1100" w:type="dxa"/>
          </w:tcPr>
          <w:p w14:paraId="6C9638D0" w14:textId="5562DB13" w:rsidR="00B2026A" w:rsidRPr="008C63A1" w:rsidRDefault="00B2026A">
            <w:pPr>
              <w:pStyle w:val="DPCtabletext"/>
              <w:spacing w:before="120" w:after="12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rPr>
            </w:pPr>
            <w:r w:rsidRPr="008C63A1">
              <w:rPr>
                <w:rFonts w:ascii="Arial" w:eastAsia="Arial" w:hAnsi="Arial" w:cs="Arial"/>
                <w:color w:val="auto"/>
              </w:rPr>
              <w:t>$12,</w:t>
            </w:r>
            <w:r w:rsidR="005D0072">
              <w:rPr>
                <w:rFonts w:ascii="Arial" w:eastAsia="Arial" w:hAnsi="Arial" w:cs="Arial"/>
                <w:color w:val="auto"/>
              </w:rPr>
              <w:t>781</w:t>
            </w:r>
            <w:r w:rsidRPr="008C63A1">
              <w:rPr>
                <w:rFonts w:ascii="Arial" w:eastAsia="Arial" w:hAnsi="Arial" w:cs="Arial"/>
                <w:color w:val="auto"/>
              </w:rPr>
              <w:t xml:space="preserve"> to $2</w:t>
            </w:r>
            <w:r w:rsidR="005D0072">
              <w:rPr>
                <w:rFonts w:ascii="Arial" w:eastAsia="Arial" w:hAnsi="Arial" w:cs="Arial"/>
                <w:color w:val="auto"/>
              </w:rPr>
              <w:t>4</w:t>
            </w:r>
            <w:r w:rsidRPr="008C63A1">
              <w:rPr>
                <w:rFonts w:ascii="Arial" w:eastAsia="Arial" w:hAnsi="Arial" w:cs="Arial"/>
                <w:color w:val="auto"/>
              </w:rPr>
              <w:t>,</w:t>
            </w:r>
            <w:r w:rsidR="005D0072">
              <w:rPr>
                <w:rFonts w:ascii="Arial" w:eastAsia="Arial" w:hAnsi="Arial" w:cs="Arial"/>
                <w:color w:val="auto"/>
              </w:rPr>
              <w:t>004</w:t>
            </w:r>
          </w:p>
        </w:tc>
      </w:tr>
      <w:tr w:rsidR="00B2026A" w:rsidRPr="00310CEF" w14:paraId="1A7DC770" w14:textId="77777777" w:rsidTr="008074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14:paraId="77246781" w14:textId="77777777" w:rsidR="00B2026A" w:rsidRDefault="00B2026A">
            <w:pPr>
              <w:pStyle w:val="DPCtabletext"/>
              <w:spacing w:before="120" w:after="120"/>
            </w:pPr>
            <w:r>
              <w:t>B</w:t>
            </w:r>
            <w:r w:rsidRPr="00310CEF">
              <w:t>2</w:t>
            </w:r>
          </w:p>
        </w:tc>
        <w:tc>
          <w:tcPr>
            <w:tcW w:w="6642" w:type="dxa"/>
          </w:tcPr>
          <w:p w14:paraId="4AA3A850"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rPr>
                <w:szCs w:val="18"/>
              </w:rPr>
            </w:pPr>
            <w:r w:rsidRPr="00310CEF">
              <w:t>Other industry boards and bodies advising Government on matters of State-wide significance.</w:t>
            </w:r>
          </w:p>
        </w:tc>
        <w:tc>
          <w:tcPr>
            <w:tcW w:w="992" w:type="dxa"/>
          </w:tcPr>
          <w:p w14:paraId="037CE6FF" w14:textId="74AD134B" w:rsidR="00B2026A" w:rsidRDefault="00B2026A">
            <w:pPr>
              <w:pStyle w:val="DPCtabletext"/>
              <w:spacing w:before="120" w:after="120" w:line="259" w:lineRule="auto"/>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00F3658A">
              <w:rPr>
                <w:rFonts w:ascii="Arial" w:eastAsia="Arial" w:hAnsi="Arial" w:cs="Arial"/>
              </w:rPr>
              <w:t>$1</w:t>
            </w:r>
            <w:r w:rsidR="005D0072">
              <w:rPr>
                <w:rFonts w:ascii="Arial" w:eastAsia="Arial" w:hAnsi="Arial" w:cs="Arial"/>
              </w:rPr>
              <w:t>4</w:t>
            </w:r>
            <w:r w:rsidRPr="00F3658A">
              <w:rPr>
                <w:rFonts w:ascii="Arial" w:eastAsia="Arial" w:hAnsi="Arial" w:cs="Arial"/>
              </w:rPr>
              <w:t>,</w:t>
            </w:r>
            <w:r w:rsidR="005D0072">
              <w:rPr>
                <w:rFonts w:ascii="Arial" w:eastAsia="Arial" w:hAnsi="Arial" w:cs="Arial"/>
              </w:rPr>
              <w:t>200</w:t>
            </w:r>
            <w:r w:rsidRPr="00F3658A">
              <w:rPr>
                <w:rFonts w:ascii="Arial" w:eastAsia="Arial" w:hAnsi="Arial" w:cs="Arial"/>
              </w:rPr>
              <w:t xml:space="preserve"> to $</w:t>
            </w:r>
            <w:r w:rsidR="005D0072">
              <w:rPr>
                <w:rFonts w:ascii="Arial" w:eastAsia="Arial" w:hAnsi="Arial" w:cs="Arial"/>
              </w:rPr>
              <w:t>30</w:t>
            </w:r>
            <w:r>
              <w:rPr>
                <w:rFonts w:ascii="Arial" w:eastAsia="Arial" w:hAnsi="Arial" w:cs="Arial"/>
              </w:rPr>
              <w:t>,</w:t>
            </w:r>
            <w:r w:rsidR="005D0072">
              <w:rPr>
                <w:rFonts w:ascii="Arial" w:eastAsia="Arial" w:hAnsi="Arial" w:cs="Arial"/>
              </w:rPr>
              <w:t>075</w:t>
            </w:r>
          </w:p>
        </w:tc>
        <w:tc>
          <w:tcPr>
            <w:tcW w:w="1100" w:type="dxa"/>
          </w:tcPr>
          <w:p w14:paraId="69B6879F" w14:textId="5E9E1B63" w:rsidR="00B2026A"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rPr>
                <w:rFonts w:ascii="Cambria" w:eastAsia="Cambria" w:hAnsi="Cambria" w:cs="Cambria"/>
              </w:rPr>
            </w:pPr>
            <w:r w:rsidRPr="00F3658A">
              <w:rPr>
                <w:rFonts w:eastAsia="Arial" w:cs="Arial"/>
              </w:rPr>
              <w:t>$8,</w:t>
            </w:r>
            <w:r w:rsidR="005D0072">
              <w:rPr>
                <w:rFonts w:eastAsia="Arial" w:cs="Arial"/>
              </w:rPr>
              <w:t>520</w:t>
            </w:r>
            <w:r w:rsidRPr="00F3658A">
              <w:rPr>
                <w:rFonts w:eastAsia="Arial" w:cs="Arial"/>
              </w:rPr>
              <w:t xml:space="preserve"> to $1</w:t>
            </w:r>
            <w:r w:rsidR="005D0072">
              <w:rPr>
                <w:rFonts w:eastAsia="Arial" w:cs="Arial"/>
              </w:rPr>
              <w:t>6</w:t>
            </w:r>
            <w:r w:rsidRPr="00F3658A">
              <w:rPr>
                <w:rFonts w:eastAsia="Arial" w:cs="Arial"/>
              </w:rPr>
              <w:t>,</w:t>
            </w:r>
            <w:r w:rsidR="005D0072">
              <w:rPr>
                <w:rFonts w:eastAsia="Arial" w:cs="Arial"/>
              </w:rPr>
              <w:t>065</w:t>
            </w:r>
          </w:p>
        </w:tc>
      </w:tr>
      <w:tr w:rsidR="00B2026A" w:rsidRPr="00310CEF" w14:paraId="7B301623" w14:textId="77777777" w:rsidTr="0080747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464" w:type="dxa"/>
            <w:gridSpan w:val="4"/>
          </w:tcPr>
          <w:p w14:paraId="6658E402" w14:textId="77777777" w:rsidR="00B2026A" w:rsidRPr="00310CEF" w:rsidRDefault="00B2026A">
            <w:pPr>
              <w:pStyle w:val="DPCtabletext"/>
              <w:spacing w:before="120" w:after="120"/>
              <w:rPr>
                <w:b w:val="0"/>
              </w:rPr>
            </w:pPr>
            <w:r w:rsidRPr="00310CEF">
              <w:rPr>
                <w:szCs w:val="18"/>
              </w:rPr>
              <w:t>Notes</w:t>
            </w:r>
          </w:p>
        </w:tc>
      </w:tr>
      <w:tr w:rsidR="00B2026A" w:rsidRPr="00310CEF" w14:paraId="46E48DA3" w14:textId="77777777" w:rsidTr="008074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4"/>
          </w:tcPr>
          <w:p w14:paraId="7ECE2EC1" w14:textId="23DDDB6A" w:rsidR="00B2026A" w:rsidRPr="002173CF" w:rsidRDefault="00B2026A">
            <w:pPr>
              <w:pStyle w:val="DPCtabletext"/>
              <w:spacing w:before="120" w:after="120"/>
              <w:rPr>
                <w:b w:val="0"/>
                <w:bCs/>
              </w:rPr>
            </w:pPr>
            <w:r w:rsidRPr="002173CF">
              <w:rPr>
                <w:b w:val="0"/>
                <w:bCs/>
              </w:rPr>
              <w:t xml:space="preserve">Upon ministerial approval, up to </w:t>
            </w:r>
            <w:r w:rsidRPr="002173CF">
              <w:rPr>
                <w:rFonts w:ascii="Arial" w:eastAsia="Arial" w:hAnsi="Arial" w:cs="Arial"/>
                <w:b w:val="0"/>
                <w:bCs/>
              </w:rPr>
              <w:t>$6,</w:t>
            </w:r>
            <w:r w:rsidR="005D0072">
              <w:rPr>
                <w:rFonts w:ascii="Arial" w:eastAsia="Arial" w:hAnsi="Arial" w:cs="Arial"/>
                <w:b w:val="0"/>
                <w:bCs/>
              </w:rPr>
              <w:t>543</w:t>
            </w:r>
            <w:r w:rsidRPr="002173CF">
              <w:rPr>
                <w:b w:val="0"/>
                <w:bCs/>
              </w:rPr>
              <w:t xml:space="preserve"> per annum may be paid to directors who receive annual fees for additional committee work undertaken in recognition of the extra commitment required. </w:t>
            </w:r>
          </w:p>
        </w:tc>
      </w:tr>
    </w:tbl>
    <w:p w14:paraId="5AC86B92" w14:textId="77777777" w:rsidR="008C63A1" w:rsidRDefault="008C63A1" w:rsidP="00B2026A">
      <w:pPr>
        <w:pStyle w:val="DPCtablecaption"/>
        <w:spacing w:before="120"/>
      </w:pPr>
    </w:p>
    <w:p w14:paraId="30EB881C" w14:textId="77777777" w:rsidR="008C63A1" w:rsidRDefault="008C63A1" w:rsidP="00B2026A">
      <w:pPr>
        <w:pStyle w:val="DPCtablecaption"/>
        <w:spacing w:before="120"/>
      </w:pPr>
    </w:p>
    <w:p w14:paraId="3C9E85CA" w14:textId="77777777" w:rsidR="008C63A1" w:rsidRDefault="008C63A1" w:rsidP="00B2026A">
      <w:pPr>
        <w:pStyle w:val="DPCtablecaption"/>
        <w:spacing w:before="120"/>
      </w:pPr>
    </w:p>
    <w:p w14:paraId="393B0C53" w14:textId="77777777" w:rsidR="008C63A1" w:rsidRDefault="008C63A1" w:rsidP="00B2026A">
      <w:pPr>
        <w:pStyle w:val="DPCtablecaption"/>
        <w:spacing w:before="120"/>
      </w:pPr>
    </w:p>
    <w:p w14:paraId="2CB092A2" w14:textId="77777777" w:rsidR="008C63A1" w:rsidRDefault="008C63A1" w:rsidP="00B2026A">
      <w:pPr>
        <w:pStyle w:val="DPCtablecaption"/>
        <w:spacing w:before="120"/>
      </w:pPr>
    </w:p>
    <w:p w14:paraId="56D427E2" w14:textId="77777777" w:rsidR="008C63A1" w:rsidRDefault="008C63A1" w:rsidP="00B2026A">
      <w:pPr>
        <w:pStyle w:val="DPCtablecaption"/>
        <w:spacing w:before="120"/>
      </w:pPr>
    </w:p>
    <w:p w14:paraId="51662113" w14:textId="77777777" w:rsidR="008C63A1" w:rsidRDefault="008C63A1" w:rsidP="00B2026A">
      <w:pPr>
        <w:pStyle w:val="DPCtablecaption"/>
        <w:spacing w:before="120"/>
      </w:pPr>
    </w:p>
    <w:p w14:paraId="341AAF15" w14:textId="77777777" w:rsidR="008C63A1" w:rsidRDefault="008C63A1" w:rsidP="00B2026A">
      <w:pPr>
        <w:pStyle w:val="DPCtablecaption"/>
        <w:spacing w:before="120"/>
      </w:pPr>
    </w:p>
    <w:p w14:paraId="7C118138" w14:textId="77777777" w:rsidR="008C63A1" w:rsidRDefault="008C63A1" w:rsidP="00B2026A">
      <w:pPr>
        <w:pStyle w:val="DPCtablecaption"/>
        <w:spacing w:before="120"/>
      </w:pPr>
    </w:p>
    <w:p w14:paraId="353B9847" w14:textId="77777777" w:rsidR="008C63A1" w:rsidRDefault="008C63A1" w:rsidP="00B2026A">
      <w:pPr>
        <w:pStyle w:val="DPCtablecaption"/>
        <w:spacing w:before="120"/>
      </w:pPr>
    </w:p>
    <w:p w14:paraId="20F34866" w14:textId="77777777" w:rsidR="008C63A1" w:rsidRDefault="008C63A1" w:rsidP="00B2026A">
      <w:pPr>
        <w:pStyle w:val="DPCtablecaption"/>
        <w:spacing w:before="120"/>
      </w:pPr>
    </w:p>
    <w:p w14:paraId="6AF64429" w14:textId="77777777" w:rsidR="002173CF" w:rsidRDefault="002173CF" w:rsidP="00B2026A">
      <w:pPr>
        <w:pStyle w:val="DPCtablecaption"/>
        <w:spacing w:before="120"/>
      </w:pPr>
    </w:p>
    <w:p w14:paraId="491A72DE" w14:textId="123DE13B" w:rsidR="00B2026A" w:rsidRPr="00310CEF" w:rsidRDefault="00B2026A" w:rsidP="00B2026A">
      <w:pPr>
        <w:pStyle w:val="DPCtablecaption"/>
        <w:spacing w:before="120"/>
      </w:pPr>
      <w:r w:rsidRPr="00310CEF">
        <w:t>Daily fee paying boards - advisory boards, significant boards of management, Quasi-judicial tribunals</w:t>
      </w:r>
    </w:p>
    <w:tbl>
      <w:tblPr>
        <w:tblStyle w:val="DPCDefaulttable"/>
        <w:tblW w:w="9322" w:type="dxa"/>
        <w:tblInd w:w="5" w:type="dxa"/>
        <w:tblLook w:val="04A0" w:firstRow="1" w:lastRow="0" w:firstColumn="1" w:lastColumn="0" w:noHBand="0" w:noVBand="1"/>
        <w:tblCaption w:val="Remuneration bands for Group B daily-fee paying entities"/>
        <w:tblDescription w:val="Guidance on classifying and setting remuneration for Group B daily-fee paying entities"/>
      </w:tblPr>
      <w:tblGrid>
        <w:gridCol w:w="730"/>
        <w:gridCol w:w="6501"/>
        <w:gridCol w:w="991"/>
        <w:gridCol w:w="1100"/>
      </w:tblGrid>
      <w:tr w:rsidR="00B2026A" w:rsidRPr="00310CEF" w14:paraId="5224CA6E" w14:textId="77777777" w:rsidTr="008C6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dxa"/>
          </w:tcPr>
          <w:p w14:paraId="16B58186" w14:textId="77777777" w:rsidR="00B2026A" w:rsidRPr="00846854" w:rsidRDefault="00B2026A">
            <w:pPr>
              <w:pStyle w:val="DPCtablecolhead"/>
              <w:spacing w:before="120" w:after="120"/>
              <w:rPr>
                <w:b/>
                <w:bCs/>
                <w:color w:val="0072CE" w:themeColor="accent1"/>
              </w:rPr>
            </w:pPr>
            <w:r w:rsidRPr="00846854">
              <w:rPr>
                <w:b/>
                <w:bCs/>
                <w:color w:val="0072CE" w:themeColor="accent1"/>
              </w:rPr>
              <w:t>Band</w:t>
            </w:r>
          </w:p>
        </w:tc>
        <w:tc>
          <w:tcPr>
            <w:tcW w:w="6514" w:type="dxa"/>
          </w:tcPr>
          <w:p w14:paraId="4C36A11C"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Classification criteria</w:t>
            </w:r>
          </w:p>
        </w:tc>
        <w:tc>
          <w:tcPr>
            <w:tcW w:w="992" w:type="dxa"/>
          </w:tcPr>
          <w:p w14:paraId="66CF882F"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Chair</w:t>
            </w:r>
          </w:p>
        </w:tc>
        <w:tc>
          <w:tcPr>
            <w:tcW w:w="1100" w:type="dxa"/>
          </w:tcPr>
          <w:p w14:paraId="42A86B2F"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Member</w:t>
            </w:r>
          </w:p>
        </w:tc>
      </w:tr>
      <w:tr w:rsidR="00B2026A" w:rsidRPr="00310CEF" w14:paraId="42A56B4B" w14:textId="77777777" w:rsidTr="008C6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dxa"/>
          </w:tcPr>
          <w:p w14:paraId="6876CE6D" w14:textId="77777777" w:rsidR="00B2026A" w:rsidRPr="00310CEF" w:rsidRDefault="00B2026A">
            <w:pPr>
              <w:pStyle w:val="DPCtabletext"/>
              <w:spacing w:before="120" w:after="120"/>
            </w:pPr>
            <w:r>
              <w:t>B</w:t>
            </w:r>
            <w:r w:rsidRPr="00310CEF">
              <w:t>1</w:t>
            </w:r>
          </w:p>
        </w:tc>
        <w:tc>
          <w:tcPr>
            <w:tcW w:w="6514" w:type="dxa"/>
          </w:tcPr>
          <w:p w14:paraId="30DA1E17"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szCs w:val="18"/>
              </w:rPr>
            </w:pPr>
            <w:r w:rsidRPr="00310CEF">
              <w:rPr>
                <w:szCs w:val="18"/>
              </w:rPr>
              <w:t xml:space="preserve">(a) Quasi-judicial bodies/tribunals that sit and determine matters of significant financial and personal importance to individuals or small groups of people and where there is no other framework governing remuneration and appointments. </w:t>
            </w:r>
          </w:p>
          <w:p w14:paraId="3AC120D0"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szCs w:val="18"/>
              </w:rPr>
            </w:pPr>
            <w:r w:rsidRPr="00310CEF">
              <w:rPr>
                <w:szCs w:val="18"/>
              </w:rPr>
              <w:t xml:space="preserve">(b) Chair/Member of Government bodies undertaking significant statutory functions, providing specialist advice to a </w:t>
            </w:r>
            <w:r>
              <w:rPr>
                <w:szCs w:val="18"/>
              </w:rPr>
              <w:t>m</w:t>
            </w:r>
            <w:r w:rsidRPr="00310CEF">
              <w:rPr>
                <w:szCs w:val="18"/>
              </w:rPr>
              <w:t xml:space="preserve">inister and developing policies, strategies and Guidelines in a broad and important area of operations. Appointees will have extensive knowledge and expertise in the relevant field. </w:t>
            </w:r>
          </w:p>
          <w:p w14:paraId="1E1497D8"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szCs w:val="18"/>
              </w:rPr>
            </w:pPr>
            <w:r w:rsidRPr="00310CEF">
              <w:rPr>
                <w:szCs w:val="18"/>
              </w:rPr>
              <w:t xml:space="preserve">(c) Management boards of medium size organisations undertaking one or more functions or providing a strategically important service. Members would have substantial management/business/professional expertise relevant to the field of operations. The operations of the organisation would normally warrant a General Manager at </w:t>
            </w:r>
            <w:r w:rsidRPr="00DD2E1C">
              <w:rPr>
                <w:szCs w:val="18"/>
              </w:rPr>
              <w:t xml:space="preserve">Senior Executive Service-1 </w:t>
            </w:r>
            <w:r w:rsidRPr="00310CEF">
              <w:rPr>
                <w:szCs w:val="18"/>
              </w:rPr>
              <w:t xml:space="preserve">(high) or Band 2 (low). </w:t>
            </w:r>
          </w:p>
        </w:tc>
        <w:tc>
          <w:tcPr>
            <w:tcW w:w="992" w:type="dxa"/>
          </w:tcPr>
          <w:p w14:paraId="1711E980" w14:textId="7388F10E" w:rsidR="00B2026A" w:rsidRDefault="00B2026A">
            <w:pPr>
              <w:pStyle w:val="DPCtabletext"/>
              <w:spacing w:before="120" w:after="120" w:line="259" w:lineRule="auto"/>
              <w:cnfStyle w:val="000000100000" w:firstRow="0" w:lastRow="0" w:firstColumn="0" w:lastColumn="0" w:oddVBand="0" w:evenVBand="0" w:oddHBand="1" w:evenHBand="0" w:firstRowFirstColumn="0" w:firstRowLastColumn="0" w:lastRowFirstColumn="0" w:lastRowLastColumn="0"/>
              <w:rPr>
                <w:rFonts w:eastAsia="Arial" w:cs="Arial"/>
              </w:rPr>
            </w:pPr>
            <w:r w:rsidRPr="00F3658A">
              <w:rPr>
                <w:rFonts w:eastAsia="Arial" w:cs="Arial"/>
              </w:rPr>
              <w:t>$4</w:t>
            </w:r>
            <w:r w:rsidR="005D0072">
              <w:rPr>
                <w:rFonts w:eastAsia="Arial" w:cs="Arial"/>
              </w:rPr>
              <w:t>54</w:t>
            </w:r>
            <w:r w:rsidRPr="00F3658A">
              <w:rPr>
                <w:rFonts w:eastAsia="Arial" w:cs="Arial"/>
              </w:rPr>
              <w:t xml:space="preserve"> to $</w:t>
            </w:r>
            <w:r>
              <w:rPr>
                <w:rFonts w:eastAsia="Arial" w:cs="Arial"/>
              </w:rPr>
              <w:t>7</w:t>
            </w:r>
            <w:r w:rsidR="005D0072">
              <w:rPr>
                <w:rFonts w:eastAsia="Arial" w:cs="Arial"/>
              </w:rPr>
              <w:t>41</w:t>
            </w:r>
          </w:p>
          <w:p w14:paraId="25379789"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rFonts w:eastAsia="Cambria" w:cs="Arial"/>
                <w:color w:val="000000"/>
                <w:szCs w:val="18"/>
                <w:lang w:eastAsia="en-AU"/>
              </w:rPr>
            </w:pPr>
            <w:r w:rsidRPr="00A93CBE">
              <w:rPr>
                <w:rFonts w:eastAsia="Cambria" w:cs="Arial"/>
                <w:color w:val="000000"/>
                <w:szCs w:val="18"/>
                <w:lang w:eastAsia="en-AU"/>
              </w:rPr>
              <w:t>(per day)</w:t>
            </w:r>
          </w:p>
        </w:tc>
        <w:tc>
          <w:tcPr>
            <w:tcW w:w="1100" w:type="dxa"/>
          </w:tcPr>
          <w:p w14:paraId="60BD39E9" w14:textId="40D04B52" w:rsidR="00B2026A" w:rsidRPr="00F3658A" w:rsidRDefault="00B2026A">
            <w:pPr>
              <w:pStyle w:val="DPCtabletext"/>
              <w:spacing w:before="120" w:after="120" w:line="259" w:lineRule="auto"/>
              <w:cnfStyle w:val="000000100000" w:firstRow="0" w:lastRow="0" w:firstColumn="0" w:lastColumn="0" w:oddVBand="0" w:evenVBand="0" w:oddHBand="1" w:evenHBand="0" w:firstRowFirstColumn="0" w:firstRowLastColumn="0" w:lastRowFirstColumn="0" w:lastRowLastColumn="0"/>
              <w:rPr>
                <w:rFonts w:eastAsia="Arial" w:cs="Arial"/>
              </w:rPr>
            </w:pPr>
            <w:r w:rsidRPr="00F3658A">
              <w:rPr>
                <w:rFonts w:eastAsia="Arial" w:cs="Arial"/>
              </w:rPr>
              <w:t>$3</w:t>
            </w:r>
            <w:r w:rsidR="005D0072">
              <w:rPr>
                <w:rFonts w:eastAsia="Arial" w:cs="Arial"/>
              </w:rPr>
              <w:t>48</w:t>
            </w:r>
            <w:r w:rsidRPr="00F3658A">
              <w:rPr>
                <w:rFonts w:eastAsia="Arial" w:cs="Arial"/>
              </w:rPr>
              <w:t xml:space="preserve"> to $6</w:t>
            </w:r>
            <w:r w:rsidR="005D0072">
              <w:rPr>
                <w:rFonts w:eastAsia="Arial" w:cs="Arial"/>
              </w:rPr>
              <w:t>41</w:t>
            </w:r>
          </w:p>
          <w:p w14:paraId="56638300"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A93CBE">
              <w:rPr>
                <w:rFonts w:cs="Arial"/>
                <w:color w:val="000000"/>
                <w:szCs w:val="18"/>
                <w:lang w:eastAsia="en-AU"/>
              </w:rPr>
              <w:t xml:space="preserve">(per day) </w:t>
            </w:r>
          </w:p>
        </w:tc>
      </w:tr>
      <w:tr w:rsidR="00B2026A" w:rsidRPr="00310CEF" w14:paraId="511744C6" w14:textId="77777777" w:rsidTr="008C63A1">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322" w:type="dxa"/>
            <w:gridSpan w:val="4"/>
          </w:tcPr>
          <w:p w14:paraId="5F120359" w14:textId="77777777" w:rsidR="00B2026A" w:rsidRPr="00310CEF" w:rsidRDefault="00B2026A">
            <w:pPr>
              <w:pStyle w:val="DPCtabletext"/>
              <w:spacing w:before="120" w:after="120"/>
              <w:rPr>
                <w:b w:val="0"/>
              </w:rPr>
            </w:pPr>
            <w:r w:rsidRPr="00310CEF">
              <w:rPr>
                <w:szCs w:val="18"/>
              </w:rPr>
              <w:t>Notes</w:t>
            </w:r>
          </w:p>
        </w:tc>
      </w:tr>
      <w:tr w:rsidR="00B2026A" w:rsidRPr="00310CEF" w14:paraId="5DADADEB" w14:textId="77777777" w:rsidTr="008C6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4"/>
          </w:tcPr>
          <w:p w14:paraId="04B638CC" w14:textId="77777777" w:rsidR="00B2026A" w:rsidRPr="00226C22" w:rsidRDefault="00B2026A">
            <w:pPr>
              <w:pStyle w:val="DPCtabletext"/>
              <w:spacing w:before="120" w:after="120"/>
              <w:rPr>
                <w:b w:val="0"/>
                <w:color w:val="FFFFFF" w:themeColor="background1"/>
                <w:sz w:val="18"/>
                <w:szCs w:val="18"/>
              </w:rPr>
            </w:pPr>
            <w:r w:rsidRPr="00226C22">
              <w:rPr>
                <w:b w:val="0"/>
                <w:sz w:val="18"/>
                <w:szCs w:val="18"/>
              </w:rPr>
              <w:t xml:space="preserve">There is no separate allowance or fee for a Deputy Chair. </w:t>
            </w:r>
          </w:p>
        </w:tc>
      </w:tr>
      <w:tr w:rsidR="00B2026A" w:rsidRPr="00310CEF" w14:paraId="795D31CF" w14:textId="77777777" w:rsidTr="008C6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4"/>
          </w:tcPr>
          <w:p w14:paraId="6AF5F8F8" w14:textId="77777777" w:rsidR="00B2026A" w:rsidRPr="00226C22" w:rsidRDefault="00B2026A">
            <w:pPr>
              <w:pStyle w:val="DPCtabletext"/>
              <w:spacing w:before="120" w:after="120"/>
              <w:rPr>
                <w:b w:val="0"/>
                <w:sz w:val="18"/>
                <w:szCs w:val="18"/>
              </w:rPr>
            </w:pPr>
            <w:r w:rsidRPr="00226C22">
              <w:rPr>
                <w:b w:val="0"/>
                <w:sz w:val="18"/>
                <w:szCs w:val="18"/>
              </w:rPr>
              <w:t xml:space="preserve">Daily rates are set for the maximum payable for official duties on a given day. </w:t>
            </w:r>
          </w:p>
        </w:tc>
      </w:tr>
    </w:tbl>
    <w:p w14:paraId="074CCBD0" w14:textId="77777777" w:rsidR="00B2026A" w:rsidRPr="00310CEF" w:rsidRDefault="00B2026A" w:rsidP="00B2026A">
      <w:pPr>
        <w:rPr>
          <w:rFonts w:asciiTheme="majorHAnsi" w:eastAsia="MS Gothic" w:hAnsiTheme="majorHAnsi"/>
          <w:bCs/>
          <w:iCs/>
          <w:color w:val="0072CE"/>
          <w:sz w:val="16"/>
          <w:szCs w:val="16"/>
        </w:rPr>
      </w:pPr>
      <w:bookmarkStart w:id="202" w:name="_Toc423085080"/>
      <w:bookmarkStart w:id="203" w:name="_Toc433114853"/>
      <w:bookmarkStart w:id="204" w:name="_Toc433297668"/>
      <w:r w:rsidRPr="00310CEF">
        <w:rPr>
          <w:sz w:val="16"/>
          <w:szCs w:val="16"/>
        </w:rPr>
        <w:br w:type="page"/>
      </w:r>
    </w:p>
    <w:p w14:paraId="2833968C" w14:textId="77777777" w:rsidR="00B2026A" w:rsidRPr="00310CEF" w:rsidRDefault="00B2026A" w:rsidP="00B2026A">
      <w:pPr>
        <w:pStyle w:val="Heading2"/>
        <w:spacing w:before="120"/>
      </w:pPr>
      <w:bookmarkStart w:id="205" w:name="_Toc86226929"/>
      <w:bookmarkStart w:id="206" w:name="_Toc104373500"/>
      <w:bookmarkStart w:id="207" w:name="_Toc147909882"/>
      <w:bookmarkStart w:id="208" w:name="_Toc176339492"/>
      <w:r w:rsidRPr="00310CEF">
        <w:lastRenderedPageBreak/>
        <w:t xml:space="preserve">Schedule C: </w:t>
      </w:r>
      <w:r>
        <w:t>G</w:t>
      </w:r>
      <w:r w:rsidRPr="00310CEF">
        <w:t>roup C organisations</w:t>
      </w:r>
      <w:bookmarkEnd w:id="202"/>
      <w:bookmarkEnd w:id="203"/>
      <w:bookmarkEnd w:id="204"/>
      <w:bookmarkEnd w:id="205"/>
      <w:bookmarkEnd w:id="206"/>
      <w:bookmarkEnd w:id="207"/>
      <w:bookmarkEnd w:id="208"/>
    </w:p>
    <w:p w14:paraId="5E23443C" w14:textId="671E1719" w:rsidR="00B2026A" w:rsidRPr="00136932" w:rsidRDefault="00B2026A" w:rsidP="00B2026A">
      <w:pPr>
        <w:pStyle w:val="DPCbody"/>
        <w:spacing w:before="120" w:after="120"/>
        <w:rPr>
          <w:sz w:val="20"/>
          <w:szCs w:val="20"/>
          <w:lang w:eastAsia="en-AU"/>
        </w:rPr>
      </w:pPr>
      <w:r w:rsidRPr="0074546C">
        <w:rPr>
          <w:sz w:val="20"/>
          <w:szCs w:val="20"/>
          <w:lang w:eastAsia="en-AU"/>
        </w:rPr>
        <w:t xml:space="preserve">Effective 1 </w:t>
      </w:r>
      <w:r>
        <w:rPr>
          <w:sz w:val="20"/>
          <w:szCs w:val="20"/>
          <w:lang w:eastAsia="en-AU"/>
        </w:rPr>
        <w:t xml:space="preserve">July </w:t>
      </w:r>
      <w:r w:rsidRPr="71BFC792">
        <w:rPr>
          <w:sz w:val="20"/>
          <w:szCs w:val="20"/>
          <w:lang w:eastAsia="en-AU"/>
        </w:rPr>
        <w:t>202</w:t>
      </w:r>
      <w:r w:rsidR="00D65AA6">
        <w:rPr>
          <w:sz w:val="20"/>
          <w:szCs w:val="20"/>
          <w:lang w:eastAsia="en-AU"/>
        </w:rPr>
        <w:t>5</w:t>
      </w:r>
    </w:p>
    <w:p w14:paraId="09FDA7AA" w14:textId="77777777" w:rsidR="00B2026A" w:rsidRPr="00310CEF" w:rsidRDefault="00B2026A" w:rsidP="00B2026A">
      <w:pPr>
        <w:pStyle w:val="DPCtabletext"/>
        <w:spacing w:before="120" w:after="120"/>
      </w:pPr>
      <w:r w:rsidRPr="00310CEF">
        <w:rPr>
          <w:lang w:eastAsia="en-AU"/>
        </w:rPr>
        <w:t>Note: Remuneration levels are exclusive of any superannuation obligations.</w:t>
      </w:r>
    </w:p>
    <w:p w14:paraId="6315CD84" w14:textId="77777777" w:rsidR="00B2026A" w:rsidRPr="00310CEF" w:rsidRDefault="00B2026A" w:rsidP="00B2026A">
      <w:pPr>
        <w:pStyle w:val="DPCtablecaption"/>
        <w:spacing w:before="120"/>
      </w:pPr>
      <w:r w:rsidRPr="00310CEF">
        <w:t>Advisory Committees,</w:t>
      </w:r>
      <w:r w:rsidRPr="00310CEF">
        <w:rPr>
          <w:sz w:val="12"/>
          <w:szCs w:val="12"/>
        </w:rPr>
        <w:t xml:space="preserve"> </w:t>
      </w:r>
      <w:r w:rsidRPr="00310CEF">
        <w:t>Registration</w:t>
      </w:r>
      <w:r w:rsidRPr="00310CEF">
        <w:rPr>
          <w:sz w:val="12"/>
          <w:szCs w:val="12"/>
        </w:rPr>
        <w:t xml:space="preserve"> </w:t>
      </w:r>
      <w:r w:rsidRPr="00310CEF">
        <w:t>boards</w:t>
      </w:r>
      <w:r w:rsidRPr="00310CEF">
        <w:rPr>
          <w:sz w:val="12"/>
          <w:szCs w:val="12"/>
        </w:rPr>
        <w:t xml:space="preserve"> </w:t>
      </w:r>
      <w:r w:rsidRPr="00310CEF">
        <w:t>and</w:t>
      </w:r>
      <w:r w:rsidRPr="00310CEF">
        <w:rPr>
          <w:sz w:val="12"/>
          <w:szCs w:val="12"/>
        </w:rPr>
        <w:t xml:space="preserve"> </w:t>
      </w:r>
      <w:r w:rsidRPr="00310CEF">
        <w:t>Management</w:t>
      </w:r>
      <w:r w:rsidRPr="00310CEF">
        <w:rPr>
          <w:sz w:val="12"/>
          <w:szCs w:val="12"/>
        </w:rPr>
        <w:t xml:space="preserve"> </w:t>
      </w:r>
      <w:r w:rsidRPr="00310CEF">
        <w:t>boards</w:t>
      </w:r>
      <w:r w:rsidRPr="00310CEF">
        <w:rPr>
          <w:sz w:val="12"/>
          <w:szCs w:val="12"/>
        </w:rPr>
        <w:t xml:space="preserve"> </w:t>
      </w:r>
      <w:r w:rsidRPr="00310CEF">
        <w:t>of</w:t>
      </w:r>
      <w:r w:rsidRPr="00310CEF">
        <w:rPr>
          <w:sz w:val="12"/>
          <w:szCs w:val="12"/>
        </w:rPr>
        <w:t xml:space="preserve"> </w:t>
      </w:r>
      <w:r w:rsidRPr="00310CEF">
        <w:t>small</w:t>
      </w:r>
      <w:r w:rsidRPr="00310CEF">
        <w:rPr>
          <w:sz w:val="12"/>
          <w:szCs w:val="12"/>
        </w:rPr>
        <w:t xml:space="preserve"> </w:t>
      </w:r>
      <w:r w:rsidRPr="00310CEF">
        <w:t>organisations</w:t>
      </w:r>
    </w:p>
    <w:tbl>
      <w:tblPr>
        <w:tblStyle w:val="DPCDefaulttable"/>
        <w:tblW w:w="9923" w:type="dxa"/>
        <w:tblInd w:w="5" w:type="dxa"/>
        <w:tblLayout w:type="fixed"/>
        <w:tblLook w:val="04A0" w:firstRow="1" w:lastRow="0" w:firstColumn="1" w:lastColumn="0" w:noHBand="0" w:noVBand="1"/>
        <w:tblCaption w:val="Remuneration bands for Group C entities"/>
        <w:tblDescription w:val="Guidance on classifying and setting remuneration for Group C entities"/>
      </w:tblPr>
      <w:tblGrid>
        <w:gridCol w:w="730"/>
        <w:gridCol w:w="7062"/>
        <w:gridCol w:w="992"/>
        <w:gridCol w:w="1139"/>
      </w:tblGrid>
      <w:tr w:rsidR="00B2026A" w:rsidRPr="00310CEF" w14:paraId="6709D4EE" w14:textId="77777777" w:rsidTr="00807475">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30" w:type="dxa"/>
          </w:tcPr>
          <w:p w14:paraId="567A39F6" w14:textId="77777777" w:rsidR="00B2026A" w:rsidRPr="00846854" w:rsidRDefault="00B2026A">
            <w:pPr>
              <w:pStyle w:val="DPCtablecolhead"/>
              <w:spacing w:before="120" w:after="120"/>
              <w:rPr>
                <w:b/>
                <w:bCs/>
                <w:color w:val="0072CE" w:themeColor="accent1"/>
              </w:rPr>
            </w:pPr>
            <w:r w:rsidRPr="00846854">
              <w:rPr>
                <w:b/>
                <w:bCs/>
                <w:color w:val="0072CE" w:themeColor="accent1"/>
              </w:rPr>
              <w:t>Band</w:t>
            </w:r>
          </w:p>
        </w:tc>
        <w:tc>
          <w:tcPr>
            <w:tcW w:w="7062" w:type="dxa"/>
          </w:tcPr>
          <w:p w14:paraId="2A0E799F"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Classification criteria</w:t>
            </w:r>
          </w:p>
        </w:tc>
        <w:tc>
          <w:tcPr>
            <w:tcW w:w="992" w:type="dxa"/>
          </w:tcPr>
          <w:p w14:paraId="085C87C8"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 xml:space="preserve">Chair </w:t>
            </w:r>
            <w:r w:rsidRPr="00846854">
              <w:rPr>
                <w:b/>
                <w:bCs/>
                <w:color w:val="0072CE" w:themeColor="accent1"/>
                <w:sz w:val="16"/>
              </w:rPr>
              <w:t>(Fee per day)</w:t>
            </w:r>
          </w:p>
        </w:tc>
        <w:tc>
          <w:tcPr>
            <w:tcW w:w="1139" w:type="dxa"/>
          </w:tcPr>
          <w:p w14:paraId="60D1ADEA" w14:textId="77777777" w:rsidR="00B2026A" w:rsidRPr="00846854" w:rsidRDefault="00B2026A">
            <w:pPr>
              <w:pStyle w:val="DPCtablecolhead"/>
              <w:spacing w:before="120" w:after="120"/>
              <w:cnfStyle w:val="100000000000" w:firstRow="1" w:lastRow="0" w:firstColumn="0" w:lastColumn="0" w:oddVBand="0" w:evenVBand="0" w:oddHBand="0" w:evenHBand="0" w:firstRowFirstColumn="0" w:firstRowLastColumn="0" w:lastRowFirstColumn="0" w:lastRowLastColumn="0"/>
              <w:rPr>
                <w:b/>
                <w:bCs/>
                <w:color w:val="0072CE" w:themeColor="accent1"/>
              </w:rPr>
            </w:pPr>
            <w:r w:rsidRPr="00846854">
              <w:rPr>
                <w:b/>
                <w:bCs/>
                <w:color w:val="0072CE" w:themeColor="accent1"/>
              </w:rPr>
              <w:t xml:space="preserve">Member </w:t>
            </w:r>
            <w:r w:rsidRPr="00846854">
              <w:rPr>
                <w:b/>
                <w:bCs/>
                <w:color w:val="0072CE" w:themeColor="accent1"/>
                <w:sz w:val="16"/>
              </w:rPr>
              <w:t>(Fee per day)</w:t>
            </w:r>
          </w:p>
        </w:tc>
      </w:tr>
      <w:tr w:rsidR="00B2026A" w:rsidRPr="00310CEF" w14:paraId="62B68757" w14:textId="77777777" w:rsidTr="00807475">
        <w:trPr>
          <w:cnfStyle w:val="000000100000" w:firstRow="0" w:lastRow="0" w:firstColumn="0" w:lastColumn="0" w:oddVBand="0" w:evenVBand="0" w:oddHBand="1" w:evenHBand="0" w:firstRowFirstColumn="0" w:firstRowLastColumn="0" w:lastRowFirstColumn="0" w:lastRowLastColumn="0"/>
          <w:trHeight w:val="3305"/>
        </w:trPr>
        <w:tc>
          <w:tcPr>
            <w:cnfStyle w:val="001000000000" w:firstRow="0" w:lastRow="0" w:firstColumn="1" w:lastColumn="0" w:oddVBand="0" w:evenVBand="0" w:oddHBand="0" w:evenHBand="0" w:firstRowFirstColumn="0" w:firstRowLastColumn="0" w:lastRowFirstColumn="0" w:lastRowLastColumn="0"/>
            <w:tcW w:w="730" w:type="dxa"/>
          </w:tcPr>
          <w:p w14:paraId="7F3A9004" w14:textId="77777777" w:rsidR="00B2026A" w:rsidRPr="00310CEF" w:rsidRDefault="00B2026A">
            <w:pPr>
              <w:pStyle w:val="DPCtabletext"/>
              <w:spacing w:before="120" w:after="120"/>
            </w:pPr>
            <w:r>
              <w:t>C</w:t>
            </w:r>
            <w:r w:rsidRPr="00310CEF">
              <w:t>1</w:t>
            </w:r>
          </w:p>
        </w:tc>
        <w:tc>
          <w:tcPr>
            <w:tcW w:w="7062" w:type="dxa"/>
          </w:tcPr>
          <w:p w14:paraId="04B3D654" w14:textId="77777777" w:rsidR="00B2026A" w:rsidRPr="000C6A3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0C6A3F">
              <w:t xml:space="preserve">(a) Scientific, technical and legal advisory bodies requiring members to be “experts in their field” and provide the highest level of advice available. Such bodies would be commissioned by and report directly to Government in response to proposals/issues considered important to the general community. </w:t>
            </w:r>
          </w:p>
          <w:p w14:paraId="02320526" w14:textId="77777777" w:rsidR="00B2026A" w:rsidRPr="000C6A3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0C6A3F">
              <w:t xml:space="preserve">(b) Disciplinary boards or boards of appeal for individuals (professional or non-professional) where the members of the board(s) are not required to be legally qualified or do not require the assistance of legal counsel. </w:t>
            </w:r>
          </w:p>
          <w:p w14:paraId="53FC31DC" w14:textId="77777777" w:rsidR="00B2026A" w:rsidRPr="000C6A3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0C6A3F">
              <w:rPr>
                <w:rFonts w:cs="Arial"/>
                <w:lang w:eastAsia="en-AU"/>
              </w:rPr>
              <w:t>(c) Management boards of small size organisations undertaking a specific function or providing a discrete service. Members would have substantial management/business/professional expertise relevant to the field of operations. The operations of the organisation would normally warrant a General Manager in the low to middle levels of the SES-1 ban</w:t>
            </w:r>
            <w:r>
              <w:rPr>
                <w:rFonts w:cs="Arial"/>
                <w:lang w:eastAsia="en-AU"/>
              </w:rPr>
              <w:t>d</w:t>
            </w:r>
            <w:r w:rsidRPr="000C6A3F">
              <w:rPr>
                <w:rFonts w:cs="Arial"/>
                <w:lang w:eastAsia="en-AU"/>
              </w:rPr>
              <w:t xml:space="preserve">. </w:t>
            </w:r>
          </w:p>
        </w:tc>
        <w:tc>
          <w:tcPr>
            <w:tcW w:w="992" w:type="dxa"/>
          </w:tcPr>
          <w:p w14:paraId="0D11A177" w14:textId="76F4DE14" w:rsidR="00B2026A" w:rsidRPr="00807475" w:rsidRDefault="00B2026A" w:rsidP="00807475">
            <w:pPr>
              <w:pStyle w:val="BodyText"/>
              <w:cnfStyle w:val="000000100000" w:firstRow="0" w:lastRow="0" w:firstColumn="0" w:lastColumn="0" w:oddVBand="0" w:evenVBand="0" w:oddHBand="1" w:evenHBand="0" w:firstRowFirstColumn="0" w:firstRowLastColumn="0" w:lastRowFirstColumn="0" w:lastRowLastColumn="0"/>
            </w:pPr>
            <w:r w:rsidRPr="00807475">
              <w:t>$</w:t>
            </w:r>
            <w:r w:rsidR="005D0072">
              <w:t>348</w:t>
            </w:r>
            <w:r w:rsidRPr="00807475">
              <w:t xml:space="preserve"> to $6</w:t>
            </w:r>
            <w:r w:rsidR="005D0072">
              <w:t>41</w:t>
            </w:r>
          </w:p>
        </w:tc>
        <w:tc>
          <w:tcPr>
            <w:tcW w:w="1139" w:type="dxa"/>
          </w:tcPr>
          <w:p w14:paraId="786C02DB" w14:textId="46A920EC" w:rsidR="00B2026A" w:rsidRPr="00807475" w:rsidRDefault="00B2026A" w:rsidP="00807475">
            <w:pPr>
              <w:pStyle w:val="BodyText"/>
              <w:cnfStyle w:val="000000100000" w:firstRow="0" w:lastRow="0" w:firstColumn="0" w:lastColumn="0" w:oddVBand="0" w:evenVBand="0" w:oddHBand="1" w:evenHBand="0" w:firstRowFirstColumn="0" w:firstRowLastColumn="0" w:lastRowFirstColumn="0" w:lastRowLastColumn="0"/>
            </w:pPr>
            <w:r w:rsidRPr="00807475">
              <w:t>$</w:t>
            </w:r>
            <w:r w:rsidR="005D0072">
              <w:t>269</w:t>
            </w:r>
            <w:r w:rsidRPr="00807475">
              <w:t xml:space="preserve"> to $4</w:t>
            </w:r>
            <w:r w:rsidR="005D0072">
              <w:t>89</w:t>
            </w:r>
          </w:p>
        </w:tc>
      </w:tr>
      <w:tr w:rsidR="00B2026A" w:rsidRPr="00310CEF" w14:paraId="17EDF6F1" w14:textId="77777777" w:rsidTr="00807475">
        <w:trPr>
          <w:cnfStyle w:val="000000010000" w:firstRow="0" w:lastRow="0" w:firstColumn="0" w:lastColumn="0" w:oddVBand="0" w:evenVBand="0" w:oddHBand="0" w:evenHBand="1" w:firstRowFirstColumn="0" w:firstRowLastColumn="0" w:lastRowFirstColumn="0" w:lastRowLastColumn="0"/>
          <w:trHeight w:val="2831"/>
        </w:trPr>
        <w:tc>
          <w:tcPr>
            <w:cnfStyle w:val="001000000000" w:firstRow="0" w:lastRow="0" w:firstColumn="1" w:lastColumn="0" w:oddVBand="0" w:evenVBand="0" w:oddHBand="0" w:evenHBand="0" w:firstRowFirstColumn="0" w:firstRowLastColumn="0" w:lastRowFirstColumn="0" w:lastRowLastColumn="0"/>
            <w:tcW w:w="730" w:type="dxa"/>
          </w:tcPr>
          <w:p w14:paraId="0F72F125" w14:textId="77777777" w:rsidR="00B2026A" w:rsidRPr="00310CEF" w:rsidRDefault="00B2026A">
            <w:pPr>
              <w:pStyle w:val="DPCtabletext"/>
              <w:spacing w:before="120" w:after="120"/>
            </w:pPr>
            <w:r>
              <w:t>C</w:t>
            </w:r>
            <w:r w:rsidRPr="00310CEF">
              <w:t>2</w:t>
            </w:r>
          </w:p>
        </w:tc>
        <w:tc>
          <w:tcPr>
            <w:tcW w:w="7062" w:type="dxa"/>
          </w:tcPr>
          <w:p w14:paraId="4799D86E"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r w:rsidRPr="00310CEF">
              <w:t xml:space="preserve">a) Qualifications, regulatory or licensing bodies for recognised professional groups. Such bodies would be responsible for establishing appropriate codes of practice and operating standards, administering relevant legislation and maintaining a register of licensed practitioners. </w:t>
            </w:r>
          </w:p>
          <w:p w14:paraId="7410D271"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r w:rsidRPr="00310CEF">
              <w:t xml:space="preserve">(b) Bodies established by legislation or at the direction of a </w:t>
            </w:r>
            <w:r>
              <w:t>m</w:t>
            </w:r>
            <w:r w:rsidRPr="00310CEF">
              <w:t xml:space="preserve">inister (or Government) to investigate/monitor and advise/report to Government on issues considered to be of importance within the portfolio or where there is a high degree of concern within certain sections of the community. </w:t>
            </w:r>
          </w:p>
          <w:p w14:paraId="44663B20"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rPr>
                <w:rFonts w:cs="Arial"/>
                <w:color w:val="000000"/>
                <w:lang w:eastAsia="en-AU"/>
              </w:rPr>
            </w:pPr>
            <w:r w:rsidRPr="00310CEF">
              <w:rPr>
                <w:rFonts w:cs="Arial"/>
                <w:color w:val="000000"/>
                <w:lang w:eastAsia="en-AU"/>
              </w:rPr>
              <w:t xml:space="preserve">(c) Qualifications, regulatory or licensing bodies in relation to technical, trade or non-professional groups. </w:t>
            </w:r>
          </w:p>
        </w:tc>
        <w:tc>
          <w:tcPr>
            <w:tcW w:w="992" w:type="dxa"/>
          </w:tcPr>
          <w:p w14:paraId="20F7210E" w14:textId="0EE324D5" w:rsidR="00B2026A" w:rsidRPr="00807475" w:rsidRDefault="00B2026A" w:rsidP="00807475">
            <w:pPr>
              <w:pStyle w:val="BodyText"/>
              <w:cnfStyle w:val="000000010000" w:firstRow="0" w:lastRow="0" w:firstColumn="0" w:lastColumn="0" w:oddVBand="0" w:evenVBand="0" w:oddHBand="0" w:evenHBand="1" w:firstRowFirstColumn="0" w:firstRowLastColumn="0" w:lastRowFirstColumn="0" w:lastRowLastColumn="0"/>
            </w:pPr>
            <w:r w:rsidRPr="00807475">
              <w:t>$2</w:t>
            </w:r>
            <w:r w:rsidR="005D0072">
              <w:t>14</w:t>
            </w:r>
            <w:r w:rsidRPr="00807475">
              <w:t xml:space="preserve"> to $4</w:t>
            </w:r>
            <w:r w:rsidR="005D0072">
              <w:t>89</w:t>
            </w:r>
          </w:p>
        </w:tc>
        <w:tc>
          <w:tcPr>
            <w:tcW w:w="1139" w:type="dxa"/>
          </w:tcPr>
          <w:p w14:paraId="43BBD52D" w14:textId="5FA21BEA" w:rsidR="00B2026A" w:rsidRPr="00807475" w:rsidRDefault="00B2026A" w:rsidP="00807475">
            <w:pPr>
              <w:pStyle w:val="BodyText"/>
              <w:cnfStyle w:val="000000010000" w:firstRow="0" w:lastRow="0" w:firstColumn="0" w:lastColumn="0" w:oddVBand="0" w:evenVBand="0" w:oddHBand="0" w:evenHBand="1" w:firstRowFirstColumn="0" w:firstRowLastColumn="0" w:lastRowFirstColumn="0" w:lastRowLastColumn="0"/>
            </w:pPr>
            <w:r w:rsidRPr="00807475">
              <w:t>$1</w:t>
            </w:r>
            <w:r w:rsidR="005D0072">
              <w:t>85</w:t>
            </w:r>
            <w:r w:rsidRPr="00807475">
              <w:t xml:space="preserve"> to $3</w:t>
            </w:r>
            <w:r w:rsidR="005D0072">
              <w:t>81</w:t>
            </w:r>
            <w:r w:rsidRPr="00807475">
              <w:t xml:space="preserve"> </w:t>
            </w:r>
          </w:p>
        </w:tc>
      </w:tr>
      <w:tr w:rsidR="00B2026A" w:rsidRPr="00310CEF" w14:paraId="05A8E440" w14:textId="77777777" w:rsidTr="00807475">
        <w:trPr>
          <w:cnfStyle w:val="000000100000" w:firstRow="0" w:lastRow="0" w:firstColumn="0" w:lastColumn="0" w:oddVBand="0" w:evenVBand="0" w:oddHBand="1" w:evenHBand="0" w:firstRowFirstColumn="0" w:firstRowLastColumn="0" w:lastRowFirstColumn="0" w:lastRowLastColumn="0"/>
          <w:trHeight w:val="1974"/>
        </w:trPr>
        <w:tc>
          <w:tcPr>
            <w:cnfStyle w:val="001000000000" w:firstRow="0" w:lastRow="0" w:firstColumn="1" w:lastColumn="0" w:oddVBand="0" w:evenVBand="0" w:oddHBand="0" w:evenHBand="0" w:firstRowFirstColumn="0" w:firstRowLastColumn="0" w:lastRowFirstColumn="0" w:lastRowLastColumn="0"/>
            <w:tcW w:w="730" w:type="dxa"/>
          </w:tcPr>
          <w:p w14:paraId="1F273BFE" w14:textId="77777777" w:rsidR="00B2026A" w:rsidRPr="00310CEF" w:rsidRDefault="00B2026A">
            <w:pPr>
              <w:pStyle w:val="DPCtabletext"/>
              <w:spacing w:before="120" w:after="120"/>
            </w:pPr>
            <w:r>
              <w:t>C</w:t>
            </w:r>
            <w:r w:rsidRPr="00310CEF">
              <w:t>3</w:t>
            </w:r>
          </w:p>
        </w:tc>
        <w:tc>
          <w:tcPr>
            <w:tcW w:w="7062" w:type="dxa"/>
          </w:tcPr>
          <w:p w14:paraId="3F353AD8"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310CEF">
              <w:t>(</w:t>
            </w:r>
            <w:r>
              <w:t>a</w:t>
            </w:r>
            <w:r w:rsidRPr="00310CEF">
              <w:t xml:space="preserve">) Advisory committees required to consider issues/matters that are local or affect confined areas including local land and water advisory committees. </w:t>
            </w:r>
          </w:p>
          <w:p w14:paraId="781F3374" w14:textId="77777777" w:rsidR="00B2026A" w:rsidRPr="00310CEF" w:rsidRDefault="00B2026A" w:rsidP="00CA5DF7">
            <w:pPr>
              <w:pStyle w:val="BodyText"/>
              <w:cnfStyle w:val="000000100000" w:firstRow="0" w:lastRow="0" w:firstColumn="0" w:lastColumn="0" w:oddVBand="0" w:evenVBand="0" w:oddHBand="1" w:evenHBand="0" w:firstRowFirstColumn="0" w:firstRowLastColumn="0" w:lastRowFirstColumn="0" w:lastRowLastColumn="0"/>
              <w:rPr>
                <w:lang w:eastAsia="en-AU"/>
              </w:rPr>
            </w:pPr>
            <w:r w:rsidRPr="00310CEF">
              <w:rPr>
                <w:lang w:eastAsia="en-AU"/>
              </w:rPr>
              <w:t>(</w:t>
            </w:r>
            <w:r>
              <w:rPr>
                <w:lang w:eastAsia="en-AU"/>
              </w:rPr>
              <w:t>b</w:t>
            </w:r>
            <w:r w:rsidRPr="00310CEF">
              <w:rPr>
                <w:lang w:eastAsia="en-AU"/>
              </w:rPr>
              <w:t xml:space="preserve">) Trade and para-professional registration and licensing committees where legislation defines qualifications and regulates operating requirements of practising individuals. </w:t>
            </w:r>
          </w:p>
        </w:tc>
        <w:tc>
          <w:tcPr>
            <w:tcW w:w="992" w:type="dxa"/>
          </w:tcPr>
          <w:p w14:paraId="6005D1D0" w14:textId="02E5FB45" w:rsidR="00B2026A" w:rsidRPr="00807475" w:rsidRDefault="00B2026A" w:rsidP="00807475">
            <w:pPr>
              <w:pStyle w:val="BodyText"/>
              <w:cnfStyle w:val="000000100000" w:firstRow="0" w:lastRow="0" w:firstColumn="0" w:lastColumn="0" w:oddVBand="0" w:evenVBand="0" w:oddHBand="1" w:evenHBand="0" w:firstRowFirstColumn="0" w:firstRowLastColumn="0" w:lastRowFirstColumn="0" w:lastRowLastColumn="0"/>
            </w:pPr>
            <w:r w:rsidRPr="00807475">
              <w:t>Up to $</w:t>
            </w:r>
            <w:r w:rsidR="005D0072">
              <w:t>301</w:t>
            </w:r>
          </w:p>
          <w:p w14:paraId="5A4F0F53" w14:textId="77777777" w:rsidR="00B2026A" w:rsidRDefault="00B2026A" w:rsidP="00807475">
            <w:pPr>
              <w:pStyle w:val="BodyText"/>
              <w:cnfStyle w:val="000000100000" w:firstRow="0" w:lastRow="0" w:firstColumn="0" w:lastColumn="0" w:oddVBand="0" w:evenVBand="0" w:oddHBand="1" w:evenHBand="0" w:firstRowFirstColumn="0" w:firstRowLastColumn="0" w:lastRowFirstColumn="0" w:lastRowLastColumn="0"/>
            </w:pPr>
          </w:p>
          <w:p w14:paraId="260BB92C" w14:textId="77777777" w:rsidR="00B2026A" w:rsidRPr="00807475" w:rsidRDefault="00B2026A" w:rsidP="00807475">
            <w:pPr>
              <w:pStyle w:val="BodyText"/>
              <w:cnfStyle w:val="000000100000" w:firstRow="0" w:lastRow="0" w:firstColumn="0" w:lastColumn="0" w:oddVBand="0" w:evenVBand="0" w:oddHBand="1" w:evenHBand="0" w:firstRowFirstColumn="0" w:firstRowLastColumn="0" w:lastRowFirstColumn="0" w:lastRowLastColumn="0"/>
              <w:rPr>
                <w:color w:val="000000"/>
                <w:lang w:eastAsia="en-AU"/>
              </w:rPr>
            </w:pPr>
          </w:p>
        </w:tc>
        <w:tc>
          <w:tcPr>
            <w:tcW w:w="1139" w:type="dxa"/>
          </w:tcPr>
          <w:p w14:paraId="2ACB948B" w14:textId="31597824" w:rsidR="00B2026A" w:rsidRPr="00807475" w:rsidRDefault="00B2026A" w:rsidP="00807475">
            <w:pPr>
              <w:pStyle w:val="BodyText"/>
              <w:cnfStyle w:val="000000100000" w:firstRow="0" w:lastRow="0" w:firstColumn="0" w:lastColumn="0" w:oddVBand="0" w:evenVBand="0" w:oddHBand="1" w:evenHBand="0" w:firstRowFirstColumn="0" w:firstRowLastColumn="0" w:lastRowFirstColumn="0" w:lastRowLastColumn="0"/>
            </w:pPr>
            <w:r w:rsidRPr="00807475">
              <w:t>Up to $2</w:t>
            </w:r>
            <w:r>
              <w:rPr>
                <w:rFonts w:ascii="Arial" w:eastAsia="Arial" w:hAnsi="Arial" w:cs="Arial"/>
              </w:rPr>
              <w:t>5</w:t>
            </w:r>
            <w:r w:rsidR="005D0072">
              <w:rPr>
                <w:rFonts w:ascii="Arial" w:eastAsia="Arial" w:hAnsi="Arial" w:cs="Arial"/>
              </w:rPr>
              <w:t>9</w:t>
            </w:r>
          </w:p>
          <w:p w14:paraId="5F0E5DE1" w14:textId="77777777" w:rsidR="00B2026A" w:rsidRDefault="00B2026A" w:rsidP="00807475">
            <w:pPr>
              <w:pStyle w:val="BodyText"/>
              <w:cnfStyle w:val="000000100000" w:firstRow="0" w:lastRow="0" w:firstColumn="0" w:lastColumn="0" w:oddVBand="0" w:evenVBand="0" w:oddHBand="1" w:evenHBand="0" w:firstRowFirstColumn="0" w:firstRowLastColumn="0" w:lastRowFirstColumn="0" w:lastRowLastColumn="0"/>
            </w:pPr>
          </w:p>
          <w:p w14:paraId="45346238" w14:textId="77777777" w:rsidR="00B2026A" w:rsidRPr="00807475" w:rsidRDefault="00B2026A" w:rsidP="00807475">
            <w:pPr>
              <w:pStyle w:val="BodyText"/>
              <w:cnfStyle w:val="000000100000" w:firstRow="0" w:lastRow="0" w:firstColumn="0" w:lastColumn="0" w:oddVBand="0" w:evenVBand="0" w:oddHBand="1" w:evenHBand="0" w:firstRowFirstColumn="0" w:firstRowLastColumn="0" w:lastRowFirstColumn="0" w:lastRowLastColumn="0"/>
              <w:rPr>
                <w:color w:val="000000"/>
                <w:lang w:eastAsia="en-AU"/>
              </w:rPr>
            </w:pPr>
          </w:p>
        </w:tc>
      </w:tr>
      <w:tr w:rsidR="00B2026A" w:rsidRPr="00310CEF" w14:paraId="7F5A952B" w14:textId="77777777" w:rsidTr="00807475">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9923" w:type="dxa"/>
            <w:gridSpan w:val="4"/>
          </w:tcPr>
          <w:p w14:paraId="3B491FED" w14:textId="77777777" w:rsidR="00B2026A" w:rsidRPr="00310CEF" w:rsidRDefault="00B2026A">
            <w:pPr>
              <w:pStyle w:val="DPCtabletext"/>
              <w:spacing w:before="120" w:after="120"/>
            </w:pPr>
            <w:r w:rsidRPr="00310CEF">
              <w:t>Notes</w:t>
            </w:r>
          </w:p>
        </w:tc>
      </w:tr>
      <w:tr w:rsidR="00B2026A" w:rsidRPr="00310CEF" w14:paraId="5EAF288D" w14:textId="77777777" w:rsidTr="0080747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923" w:type="dxa"/>
            <w:gridSpan w:val="4"/>
          </w:tcPr>
          <w:p w14:paraId="51199D2A" w14:textId="7D5D122C" w:rsidR="00B2026A" w:rsidRPr="00226C22" w:rsidRDefault="00B2026A">
            <w:pPr>
              <w:pStyle w:val="DPCtabletext"/>
              <w:spacing w:before="120" w:after="120"/>
              <w:rPr>
                <w:rFonts w:asciiTheme="minorHAnsi" w:hAnsiTheme="minorHAnsi"/>
                <w:sz w:val="18"/>
                <w:szCs w:val="18"/>
              </w:rPr>
            </w:pPr>
            <w:r w:rsidRPr="00226C22">
              <w:rPr>
                <w:rFonts w:asciiTheme="minorHAnsi" w:hAnsiTheme="minorHAnsi"/>
                <w:b w:val="0"/>
                <w:sz w:val="18"/>
                <w:szCs w:val="18"/>
              </w:rPr>
              <w:t xml:space="preserve">There is no separate allowance or fee for a Deputy Chair. </w:t>
            </w:r>
          </w:p>
        </w:tc>
      </w:tr>
      <w:tr w:rsidR="00B2026A" w:rsidRPr="00310CEF" w14:paraId="03B49799" w14:textId="77777777" w:rsidTr="00F16588">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9923" w:type="dxa"/>
            <w:gridSpan w:val="4"/>
          </w:tcPr>
          <w:p w14:paraId="00B39054" w14:textId="77777777" w:rsidR="00B2026A" w:rsidRPr="00226C22" w:rsidRDefault="00B2026A">
            <w:pPr>
              <w:pStyle w:val="DPCtabletext"/>
              <w:spacing w:before="120" w:after="120"/>
              <w:rPr>
                <w:rFonts w:asciiTheme="minorHAnsi" w:hAnsiTheme="minorHAnsi"/>
                <w:b w:val="0"/>
                <w:sz w:val="18"/>
                <w:szCs w:val="18"/>
              </w:rPr>
            </w:pPr>
            <w:r w:rsidRPr="00226C22">
              <w:rPr>
                <w:rFonts w:asciiTheme="minorHAnsi" w:hAnsiTheme="minorHAnsi"/>
                <w:b w:val="0"/>
                <w:sz w:val="18"/>
                <w:szCs w:val="18"/>
              </w:rPr>
              <w:t xml:space="preserve">Daily rates are set for the maximum payable for official duties on a given day. </w:t>
            </w:r>
          </w:p>
        </w:tc>
      </w:tr>
    </w:tbl>
    <w:p w14:paraId="2606CA4D" w14:textId="11C9E193" w:rsidR="00B2026A" w:rsidRPr="00310CEF" w:rsidRDefault="00B2026A" w:rsidP="00B2026A">
      <w:pPr>
        <w:pStyle w:val="Heading2"/>
        <w:spacing w:before="120"/>
      </w:pPr>
      <w:bookmarkStart w:id="209" w:name="_Toc433114854"/>
      <w:bookmarkStart w:id="210" w:name="_Toc433297669"/>
      <w:bookmarkStart w:id="211" w:name="_Toc86226930"/>
      <w:bookmarkStart w:id="212" w:name="_Toc104373501"/>
      <w:bookmarkStart w:id="213" w:name="_Toc147909883"/>
      <w:bookmarkStart w:id="214" w:name="_Toc176339493"/>
      <w:r w:rsidRPr="00310CEF">
        <w:lastRenderedPageBreak/>
        <w:t>Schedule D: Group D organisations</w:t>
      </w:r>
      <w:bookmarkEnd w:id="209"/>
      <w:bookmarkEnd w:id="210"/>
      <w:bookmarkEnd w:id="211"/>
      <w:bookmarkEnd w:id="212"/>
      <w:bookmarkEnd w:id="213"/>
      <w:bookmarkEnd w:id="214"/>
    </w:p>
    <w:p w14:paraId="6D8BB540" w14:textId="41DD62CE" w:rsidR="00B2026A" w:rsidRPr="00EE1F88" w:rsidRDefault="00B2026A" w:rsidP="00B2026A">
      <w:pPr>
        <w:pStyle w:val="DPCbody"/>
        <w:spacing w:before="120" w:after="120"/>
        <w:rPr>
          <w:sz w:val="20"/>
          <w:szCs w:val="20"/>
        </w:rPr>
      </w:pPr>
      <w:r w:rsidRPr="0074546C">
        <w:rPr>
          <w:sz w:val="20"/>
          <w:szCs w:val="20"/>
          <w:lang w:eastAsia="en-AU"/>
        </w:rPr>
        <w:t xml:space="preserve">Effective 1 </w:t>
      </w:r>
      <w:r>
        <w:rPr>
          <w:sz w:val="20"/>
          <w:szCs w:val="20"/>
          <w:lang w:eastAsia="en-AU"/>
        </w:rPr>
        <w:t xml:space="preserve">July </w:t>
      </w:r>
      <w:r w:rsidRPr="1CB624F5">
        <w:rPr>
          <w:sz w:val="20"/>
          <w:szCs w:val="20"/>
          <w:lang w:eastAsia="en-AU"/>
        </w:rPr>
        <w:t>202</w:t>
      </w:r>
      <w:r w:rsidR="00D65AA6">
        <w:rPr>
          <w:sz w:val="20"/>
          <w:szCs w:val="20"/>
          <w:lang w:eastAsia="en-AU"/>
        </w:rPr>
        <w:t>5</w:t>
      </w:r>
      <w:r w:rsidRPr="00136932">
        <w:rPr>
          <w:sz w:val="20"/>
          <w:szCs w:val="20"/>
          <w:lang w:eastAsia="en-AU"/>
        </w:rPr>
        <w:t xml:space="preserve"> </w:t>
      </w:r>
    </w:p>
    <w:p w14:paraId="23B54AD1" w14:textId="77777777" w:rsidR="00B2026A" w:rsidRPr="00EE1F88" w:rsidRDefault="00B2026A" w:rsidP="00B2026A">
      <w:pPr>
        <w:pStyle w:val="DPCbody"/>
        <w:spacing w:before="120" w:after="120"/>
        <w:rPr>
          <w:sz w:val="20"/>
          <w:szCs w:val="20"/>
        </w:rPr>
      </w:pPr>
      <w:r w:rsidRPr="00EE1F88">
        <w:rPr>
          <w:sz w:val="20"/>
          <w:szCs w:val="20"/>
        </w:rPr>
        <w:t xml:space="preserve">Remuneration levels for Group D entities are not specified in these Guidelines due to the higher degree of flexibility required. Ministers should determine the level of remuneration for Group D entities on a case-by-case basis, also giving recognition to the intensity of the workload and the expertise required. </w:t>
      </w:r>
    </w:p>
    <w:p w14:paraId="7D04036C" w14:textId="77777777" w:rsidR="00B2026A" w:rsidRPr="00EE1F88" w:rsidRDefault="00B2026A" w:rsidP="00B2026A">
      <w:pPr>
        <w:pStyle w:val="DPCbody"/>
        <w:spacing w:before="120" w:after="120"/>
        <w:rPr>
          <w:sz w:val="20"/>
          <w:szCs w:val="20"/>
        </w:rPr>
      </w:pPr>
      <w:r w:rsidRPr="00EE1F88">
        <w:rPr>
          <w:sz w:val="20"/>
          <w:szCs w:val="20"/>
          <w:lang w:eastAsia="en-AU"/>
        </w:rPr>
        <w:t>Note: Remuneration levels are exclusive of superannuation obligations.</w:t>
      </w:r>
    </w:p>
    <w:tbl>
      <w:tblPr>
        <w:tblStyle w:val="DPCDefaulttable"/>
        <w:tblW w:w="9322" w:type="dxa"/>
        <w:tblInd w:w="5" w:type="dxa"/>
        <w:tblLook w:val="04A0" w:firstRow="1" w:lastRow="0" w:firstColumn="1" w:lastColumn="0" w:noHBand="0" w:noVBand="1"/>
        <w:tblCaption w:val="Classification bands for Group D entities"/>
        <w:tblDescription w:val="Guidance on classifying Group D entities"/>
      </w:tblPr>
      <w:tblGrid>
        <w:gridCol w:w="738"/>
        <w:gridCol w:w="3643"/>
        <w:gridCol w:w="4941"/>
      </w:tblGrid>
      <w:tr w:rsidR="00B2026A" w:rsidRPr="00310CEF" w14:paraId="39F94ECB" w14:textId="77777777" w:rsidTr="00752D72">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09" w:type="dxa"/>
          </w:tcPr>
          <w:p w14:paraId="1E043BB9" w14:textId="77777777" w:rsidR="00B2026A" w:rsidRPr="00846854" w:rsidRDefault="00B2026A">
            <w:pPr>
              <w:pStyle w:val="BodyText"/>
              <w:rPr>
                <w:rFonts w:eastAsia="Times New Roman"/>
                <w:color w:val="0072CE" w:themeColor="accent1"/>
              </w:rPr>
            </w:pPr>
            <w:r w:rsidRPr="00846854">
              <w:rPr>
                <w:rFonts w:eastAsia="Times New Roman"/>
                <w:color w:val="0072CE" w:themeColor="accent1"/>
              </w:rPr>
              <w:t>Level</w:t>
            </w:r>
          </w:p>
        </w:tc>
        <w:tc>
          <w:tcPr>
            <w:tcW w:w="3652" w:type="dxa"/>
          </w:tcPr>
          <w:p w14:paraId="2373FADB" w14:textId="77777777" w:rsidR="00B2026A" w:rsidRPr="00846854" w:rsidRDefault="00B2026A">
            <w:pPr>
              <w:pStyle w:val="BodyText"/>
              <w:cnfStyle w:val="100000000000" w:firstRow="1" w:lastRow="0" w:firstColumn="0" w:lastColumn="0" w:oddVBand="0" w:evenVBand="0" w:oddHBand="0" w:evenHBand="0" w:firstRowFirstColumn="0" w:firstRowLastColumn="0" w:lastRowFirstColumn="0" w:lastRowLastColumn="0"/>
              <w:rPr>
                <w:rFonts w:eastAsia="Times New Roman"/>
                <w:color w:val="0072CE" w:themeColor="accent1"/>
              </w:rPr>
            </w:pPr>
            <w:r w:rsidRPr="00846854">
              <w:rPr>
                <w:rFonts w:eastAsia="Times New Roman"/>
                <w:color w:val="0072CE" w:themeColor="accent1"/>
              </w:rPr>
              <w:t>Classification criteria</w:t>
            </w:r>
          </w:p>
        </w:tc>
        <w:tc>
          <w:tcPr>
            <w:tcW w:w="4961" w:type="dxa"/>
          </w:tcPr>
          <w:p w14:paraId="336B6473" w14:textId="77777777" w:rsidR="00B2026A" w:rsidRPr="00846854" w:rsidRDefault="00B2026A">
            <w:pPr>
              <w:pStyle w:val="BodyText"/>
              <w:cnfStyle w:val="100000000000" w:firstRow="1" w:lastRow="0" w:firstColumn="0" w:lastColumn="0" w:oddVBand="0" w:evenVBand="0" w:oddHBand="0" w:evenHBand="0" w:firstRowFirstColumn="0" w:firstRowLastColumn="0" w:lastRowFirstColumn="0" w:lastRowLastColumn="0"/>
              <w:rPr>
                <w:rFonts w:eastAsia="Times New Roman"/>
                <w:color w:val="0072CE" w:themeColor="accent1"/>
              </w:rPr>
            </w:pPr>
            <w:r w:rsidRPr="00846854">
              <w:rPr>
                <w:rFonts w:eastAsia="Times New Roman"/>
                <w:color w:val="0072CE" w:themeColor="accent1"/>
              </w:rPr>
              <w:t>Chair and member fee</w:t>
            </w:r>
          </w:p>
        </w:tc>
      </w:tr>
      <w:tr w:rsidR="00B2026A" w:rsidRPr="00310CEF" w14:paraId="5B3533C5" w14:textId="77777777" w:rsidTr="00752D72">
        <w:trPr>
          <w:cnfStyle w:val="000000100000" w:firstRow="0" w:lastRow="0" w:firstColumn="0" w:lastColumn="0" w:oddVBand="0" w:evenVBand="0" w:oddHBand="1" w:evenHBand="0" w:firstRowFirstColumn="0" w:firstRowLastColumn="0" w:lastRowFirstColumn="0" w:lastRowLastColumn="0"/>
          <w:trHeight w:val="2109"/>
        </w:trPr>
        <w:tc>
          <w:tcPr>
            <w:cnfStyle w:val="001000000000" w:firstRow="0" w:lastRow="0" w:firstColumn="1" w:lastColumn="0" w:oddVBand="0" w:evenVBand="0" w:oddHBand="0" w:evenHBand="0" w:firstRowFirstColumn="0" w:firstRowLastColumn="0" w:lastRowFirstColumn="0" w:lastRowLastColumn="0"/>
            <w:tcW w:w="709" w:type="dxa"/>
          </w:tcPr>
          <w:p w14:paraId="2C50925F" w14:textId="77777777" w:rsidR="00B2026A" w:rsidRPr="00310CEF" w:rsidRDefault="00B2026A">
            <w:pPr>
              <w:pStyle w:val="DPCtabletext"/>
              <w:spacing w:before="120" w:after="120"/>
            </w:pPr>
            <w:r>
              <w:t>D</w:t>
            </w:r>
            <w:r w:rsidRPr="00310CEF">
              <w:t>1</w:t>
            </w:r>
          </w:p>
        </w:tc>
        <w:tc>
          <w:tcPr>
            <w:tcW w:w="3652" w:type="dxa"/>
          </w:tcPr>
          <w:p w14:paraId="2A0C0B13" w14:textId="0A162811" w:rsidR="00B2026A" w:rsidRPr="00CF7476" w:rsidRDefault="00B2026A">
            <w:pPr>
              <w:pStyle w:val="NoSpacing"/>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7476">
              <w:rPr>
                <w:rFonts w:asciiTheme="minorHAnsi" w:hAnsiTheme="minorHAnsi"/>
              </w:rPr>
              <w:t xml:space="preserve">The most important Government inquiries </w:t>
            </w:r>
            <w:r w:rsidRPr="00CF7476">
              <w:rPr>
                <w:rFonts w:asciiTheme="minorHAnsi" w:hAnsiTheme="minorHAnsi" w:cstheme="minorHAnsi"/>
              </w:rPr>
              <w:t xml:space="preserve">established under the </w:t>
            </w:r>
            <w:r w:rsidRPr="00CF7476">
              <w:rPr>
                <w:rFonts w:asciiTheme="minorHAnsi" w:hAnsiTheme="minorHAnsi" w:cstheme="minorHAnsi"/>
                <w:i/>
              </w:rPr>
              <w:t>Inquiries Act 2014</w:t>
            </w:r>
            <w:r w:rsidRPr="00CF7476">
              <w:rPr>
                <w:rFonts w:asciiTheme="minorHAnsi" w:hAnsiTheme="minorHAnsi" w:cstheme="minorHAnsi"/>
              </w:rPr>
              <w:t xml:space="preserve"> (Vic) </w:t>
            </w:r>
            <w:r w:rsidRPr="00CF7476">
              <w:rPr>
                <w:rFonts w:asciiTheme="minorHAnsi" w:hAnsiTheme="minorHAnsi"/>
              </w:rPr>
              <w:t xml:space="preserve">requiring urgent consideration of issues arising from serious/contentious situations that may affect a large section of the community. Such bodies would be required to submit a comprehensive report including feasible options to Government within stringent </w:t>
            </w:r>
            <w:r w:rsidR="00CF7476" w:rsidRPr="00CF7476">
              <w:rPr>
                <w:rFonts w:asciiTheme="minorHAnsi" w:hAnsiTheme="minorHAnsi"/>
              </w:rPr>
              <w:t>timelines</w:t>
            </w:r>
            <w:r w:rsidRPr="00CF7476">
              <w:rPr>
                <w:rFonts w:asciiTheme="minorHAnsi" w:hAnsiTheme="minorHAnsi"/>
              </w:rPr>
              <w:t>.</w:t>
            </w:r>
          </w:p>
        </w:tc>
        <w:tc>
          <w:tcPr>
            <w:tcW w:w="4961" w:type="dxa"/>
            <w:vMerge w:val="restart"/>
          </w:tcPr>
          <w:p w14:paraId="2B119319" w14:textId="035CF7D8"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310CEF">
              <w:t>Minister to determine and recommend to Cabinet for approval either an annual fee (pro rata) or a daily fee for appointments to D1 and D2 entities. For D3 entities, Cabinet approval is not required.</w:t>
            </w:r>
          </w:p>
          <w:p w14:paraId="5C44EC97"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310CEF">
              <w:t xml:space="preserve">Because of the tight timeframes and intense “hands on” workload associated with Group D organisations, and the consequent need for flexibility so as to recruit appropriate individuals, </w:t>
            </w:r>
            <w:r>
              <w:t>m</w:t>
            </w:r>
            <w:r w:rsidRPr="00310CEF">
              <w:t>inisters are to determine remuneration on a case-by-case basis with reference to the intensity of the workload and expertise required. Ministers have the option of offering an annual payment on a pro rata basis or a daily fee.</w:t>
            </w:r>
          </w:p>
        </w:tc>
      </w:tr>
      <w:tr w:rsidR="00B2026A" w:rsidRPr="00310CEF" w14:paraId="5C86C4A0" w14:textId="77777777" w:rsidTr="00CF74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3100162" w14:textId="77777777" w:rsidR="00B2026A" w:rsidRPr="00310CEF" w:rsidRDefault="00B2026A">
            <w:pPr>
              <w:pStyle w:val="DPCtabletext"/>
              <w:spacing w:before="120" w:after="120"/>
            </w:pPr>
            <w:r>
              <w:t>D</w:t>
            </w:r>
            <w:r w:rsidRPr="00310CEF">
              <w:t>2</w:t>
            </w:r>
          </w:p>
        </w:tc>
        <w:tc>
          <w:tcPr>
            <w:tcW w:w="3652" w:type="dxa"/>
            <w:shd w:val="clear" w:color="auto" w:fill="auto"/>
          </w:tcPr>
          <w:p w14:paraId="3811C6E6" w14:textId="3872687A"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r w:rsidRPr="00310CEF">
              <w:t xml:space="preserve">Important Government inquiries </w:t>
            </w:r>
            <w:r w:rsidRPr="0094410F">
              <w:rPr>
                <w:rFonts w:cstheme="minorHAnsi"/>
              </w:rPr>
              <w:t xml:space="preserve">established under the </w:t>
            </w:r>
            <w:r w:rsidRPr="0094410F">
              <w:rPr>
                <w:rFonts w:cstheme="minorHAnsi"/>
                <w:i/>
              </w:rPr>
              <w:t>Inquiries Act 2014</w:t>
            </w:r>
            <w:r w:rsidRPr="0094410F">
              <w:rPr>
                <w:rFonts w:cstheme="minorHAnsi"/>
              </w:rPr>
              <w:t xml:space="preserve"> (Vic) </w:t>
            </w:r>
            <w:r w:rsidRPr="00310CEF">
              <w:t xml:space="preserve">requiring consideration of issues that may affect the community. Such bodies would be required to submit a comprehensive report including feasible options to Government within agreed </w:t>
            </w:r>
            <w:r w:rsidR="00CF7476" w:rsidRPr="00310CEF">
              <w:t>timelines</w:t>
            </w:r>
            <w:r w:rsidRPr="00310CEF">
              <w:t xml:space="preserve">. </w:t>
            </w:r>
          </w:p>
        </w:tc>
        <w:tc>
          <w:tcPr>
            <w:tcW w:w="4961" w:type="dxa"/>
            <w:vMerge/>
          </w:tcPr>
          <w:p w14:paraId="1D08252C" w14:textId="77777777" w:rsidR="00B2026A" w:rsidRPr="00310CEF" w:rsidRDefault="00B2026A">
            <w:pPr>
              <w:pStyle w:val="DPCtabletext"/>
              <w:spacing w:before="120" w:after="120"/>
              <w:cnfStyle w:val="000000010000" w:firstRow="0" w:lastRow="0" w:firstColumn="0" w:lastColumn="0" w:oddVBand="0" w:evenVBand="0" w:oddHBand="0" w:evenHBand="1" w:firstRowFirstColumn="0" w:firstRowLastColumn="0" w:lastRowFirstColumn="0" w:lastRowLastColumn="0"/>
            </w:pPr>
          </w:p>
        </w:tc>
      </w:tr>
      <w:tr w:rsidR="00B2026A" w:rsidRPr="00310CEF" w14:paraId="0C635842" w14:textId="77777777" w:rsidTr="0075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9321E71" w14:textId="77777777" w:rsidR="00B2026A" w:rsidRPr="00310CEF" w:rsidRDefault="00B2026A">
            <w:pPr>
              <w:pStyle w:val="DPCtabletext"/>
              <w:spacing w:before="120" w:after="120"/>
            </w:pPr>
            <w:r>
              <w:t>D</w:t>
            </w:r>
            <w:r w:rsidRPr="00310CEF">
              <w:t>3</w:t>
            </w:r>
          </w:p>
        </w:tc>
        <w:tc>
          <w:tcPr>
            <w:tcW w:w="3652" w:type="dxa"/>
          </w:tcPr>
          <w:p w14:paraId="52C6B99B"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r w:rsidRPr="00310CEF">
              <w:t xml:space="preserve">Ad hoc expert panels established for limited time periods to undertake a specific (often technical) task. </w:t>
            </w:r>
          </w:p>
        </w:tc>
        <w:tc>
          <w:tcPr>
            <w:tcW w:w="4961" w:type="dxa"/>
            <w:vMerge/>
          </w:tcPr>
          <w:p w14:paraId="2CCB4002" w14:textId="77777777" w:rsidR="00B2026A" w:rsidRPr="00310CEF" w:rsidRDefault="00B2026A">
            <w:pPr>
              <w:pStyle w:val="DPCtabletext"/>
              <w:spacing w:before="120" w:after="120"/>
              <w:cnfStyle w:val="000000100000" w:firstRow="0" w:lastRow="0" w:firstColumn="0" w:lastColumn="0" w:oddVBand="0" w:evenVBand="0" w:oddHBand="1" w:evenHBand="0" w:firstRowFirstColumn="0" w:firstRowLastColumn="0" w:lastRowFirstColumn="0" w:lastRowLastColumn="0"/>
            </w:pPr>
          </w:p>
        </w:tc>
      </w:tr>
      <w:tr w:rsidR="00B2026A" w:rsidRPr="00310CEF" w14:paraId="073F209C" w14:textId="77777777" w:rsidTr="00752D72">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322" w:type="dxa"/>
            <w:gridSpan w:val="3"/>
          </w:tcPr>
          <w:p w14:paraId="5A3D930C" w14:textId="77777777" w:rsidR="00B2026A" w:rsidRPr="00310CEF" w:rsidRDefault="00B2026A">
            <w:pPr>
              <w:pStyle w:val="DPCtabletext"/>
              <w:spacing w:before="120" w:after="120"/>
            </w:pPr>
            <w:r w:rsidRPr="00310CEF">
              <w:t>Notes</w:t>
            </w:r>
          </w:p>
        </w:tc>
      </w:tr>
      <w:tr w:rsidR="00B2026A" w:rsidRPr="00310CEF" w14:paraId="7C5EB298" w14:textId="77777777" w:rsidTr="0075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3"/>
          </w:tcPr>
          <w:p w14:paraId="1BD2ADB5" w14:textId="77777777" w:rsidR="00B2026A" w:rsidRPr="00C919DC" w:rsidRDefault="00B2026A">
            <w:pPr>
              <w:pStyle w:val="DPCtabletext"/>
              <w:spacing w:before="120" w:after="120"/>
              <w:rPr>
                <w:b w:val="0"/>
                <w:sz w:val="18"/>
                <w:szCs w:val="18"/>
              </w:rPr>
            </w:pPr>
            <w:r w:rsidRPr="00C919DC">
              <w:rPr>
                <w:b w:val="0"/>
                <w:sz w:val="18"/>
                <w:szCs w:val="18"/>
              </w:rPr>
              <w:t xml:space="preserve">There is no separate allowance or fee for a Deputy Chair. </w:t>
            </w:r>
          </w:p>
        </w:tc>
      </w:tr>
      <w:tr w:rsidR="00B2026A" w:rsidRPr="00310CEF" w14:paraId="25B77EFB" w14:textId="77777777" w:rsidTr="00752D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3"/>
          </w:tcPr>
          <w:p w14:paraId="57F67A1D" w14:textId="77777777" w:rsidR="00B2026A" w:rsidRPr="00C919DC" w:rsidRDefault="00B2026A">
            <w:pPr>
              <w:pStyle w:val="DPCtabletext"/>
              <w:spacing w:before="120" w:after="120"/>
              <w:rPr>
                <w:b w:val="0"/>
                <w:sz w:val="18"/>
                <w:szCs w:val="18"/>
              </w:rPr>
            </w:pPr>
            <w:r w:rsidRPr="00C919DC">
              <w:rPr>
                <w:b w:val="0"/>
                <w:sz w:val="18"/>
                <w:szCs w:val="18"/>
              </w:rPr>
              <w:t xml:space="preserve">Daily rates are set for the maximum payable for official duties on a given day. </w:t>
            </w:r>
          </w:p>
        </w:tc>
      </w:tr>
    </w:tbl>
    <w:p w14:paraId="74509A26" w14:textId="77777777" w:rsidR="00E44B43" w:rsidRDefault="00E44B43" w:rsidP="00E44B43">
      <w:pPr>
        <w:pStyle w:val="DPCbody"/>
      </w:pPr>
    </w:p>
    <w:p w14:paraId="314DA455" w14:textId="603E2395" w:rsidR="00752D72" w:rsidRDefault="00752D72">
      <w:pPr>
        <w:rPr>
          <w:color w:val="000000" w:themeColor="text1"/>
        </w:rPr>
      </w:pPr>
      <w:r>
        <w:br w:type="page"/>
      </w:r>
    </w:p>
    <w:p w14:paraId="60B3B71C" w14:textId="77777777" w:rsidR="00434C34" w:rsidRDefault="00434C34" w:rsidP="00434C34">
      <w:pPr>
        <w:pStyle w:val="Heading1"/>
      </w:pPr>
      <w:bookmarkStart w:id="215" w:name="_Toc147909884"/>
      <w:bookmarkStart w:id="216" w:name="_Toc176339494"/>
      <w:r>
        <w:lastRenderedPageBreak/>
        <w:t>Appendix A – Template Forms</w:t>
      </w:r>
      <w:bookmarkEnd w:id="215"/>
      <w:bookmarkEnd w:id="216"/>
      <w:r>
        <w:t xml:space="preserve"> </w:t>
      </w:r>
    </w:p>
    <w:p w14:paraId="69849EE9" w14:textId="77777777" w:rsidR="00434C34" w:rsidRDefault="00434C34" w:rsidP="00434C34">
      <w:pPr>
        <w:pStyle w:val="Heading2"/>
      </w:pPr>
      <w:bookmarkStart w:id="217" w:name="_Toc147909885"/>
      <w:bookmarkStart w:id="218" w:name="_Toc176339495"/>
      <w:r>
        <w:t>Declaration of Private Interests Form</w:t>
      </w:r>
      <w:bookmarkEnd w:id="217"/>
      <w:bookmarkEnd w:id="218"/>
    </w:p>
    <w:p w14:paraId="1FD14682" w14:textId="77777777" w:rsidR="00434C34" w:rsidRDefault="00434C34" w:rsidP="00434C34">
      <w:pPr>
        <w:pStyle w:val="DPCbody"/>
      </w:pPr>
      <w:r>
        <w:t>This form asks appointees to disclose their private interests and to make an assessment about whether these conflict with their duties as an appointee.</w:t>
      </w:r>
      <w:r w:rsidRPr="006613A9">
        <w:t xml:space="preserve"> </w:t>
      </w:r>
    </w:p>
    <w:p w14:paraId="3A8AB85A" w14:textId="77777777" w:rsidR="00434C34" w:rsidRDefault="00434C34" w:rsidP="00434C34">
      <w:pPr>
        <w:pStyle w:val="DPCbody"/>
      </w:pPr>
      <w:r w:rsidRPr="006613A9">
        <w:t xml:space="preserve">Departments may prepare and use their own DOPI templates, noting that they </w:t>
      </w:r>
      <w:r>
        <w:t>should</w:t>
      </w:r>
      <w:r w:rsidRPr="006613A9">
        <w:t xml:space="preserve"> address the same topics </w:t>
      </w:r>
      <w:r>
        <w:t>as</w:t>
      </w:r>
      <w:r w:rsidRPr="006613A9">
        <w:t xml:space="preserve"> the DPC template DOPI</w:t>
      </w:r>
      <w:r>
        <w:t xml:space="preserve">. </w:t>
      </w:r>
    </w:p>
    <w:p w14:paraId="76CF2757" w14:textId="77777777" w:rsidR="00434C34" w:rsidRDefault="00434C34" w:rsidP="00434C34">
      <w:pPr>
        <w:pStyle w:val="DPCbody"/>
      </w:pPr>
      <w:r w:rsidRPr="006920AE">
        <w:t xml:space="preserve">The DOPI requirements are set out at </w:t>
      </w:r>
      <w:r w:rsidRPr="006F61D2">
        <w:t>section 5.12.</w:t>
      </w:r>
      <w:r w:rsidRPr="006920AE">
        <w:t xml:space="preserve"> Further</w:t>
      </w:r>
      <w:r>
        <w:t xml:space="preserve"> conflicts of interest and duty guidance is available on the </w:t>
      </w:r>
      <w:hyperlink r:id="rId77" w:history="1">
        <w:r w:rsidRPr="00121EFA">
          <w:rPr>
            <w:rStyle w:val="Hyperlink"/>
            <w:color w:val="0072CE" w:themeColor="accent1"/>
            <w:u w:val="single"/>
          </w:rPr>
          <w:t>Victorian Public Sector Commission website</w:t>
        </w:r>
      </w:hyperlink>
      <w:r>
        <w:t xml:space="preserve">.  </w:t>
      </w:r>
    </w:p>
    <w:p w14:paraId="04251BDC" w14:textId="77777777" w:rsidR="00434C34" w:rsidRDefault="00434C34" w:rsidP="00434C34">
      <w:pPr>
        <w:pStyle w:val="DPCbody"/>
      </w:pPr>
      <w:r>
        <w:t xml:space="preserve">The DPC Declaration of Private Interests form is available </w:t>
      </w:r>
      <w:hyperlink r:id="rId78" w:history="1">
        <w:r w:rsidRPr="00795009">
          <w:rPr>
            <w:rStyle w:val="Hyperlink"/>
          </w:rPr>
          <w:t>here</w:t>
        </w:r>
      </w:hyperlink>
      <w:r>
        <w:t>.</w:t>
      </w:r>
    </w:p>
    <w:p w14:paraId="1EAA8617" w14:textId="77777777" w:rsidR="00434C34" w:rsidRDefault="00434C34" w:rsidP="00434C34">
      <w:pPr>
        <w:pStyle w:val="Heading2"/>
      </w:pPr>
      <w:bookmarkStart w:id="219" w:name="_Personal_Information_and"/>
      <w:bookmarkStart w:id="220" w:name="_Toc147909886"/>
      <w:bookmarkStart w:id="221" w:name="_Toc176339496"/>
      <w:bookmarkEnd w:id="219"/>
      <w:r>
        <w:t>Personal Information and Privacy Consent Form</w:t>
      </w:r>
      <w:bookmarkEnd w:id="220"/>
      <w:bookmarkEnd w:id="221"/>
      <w:r>
        <w:t xml:space="preserve"> </w:t>
      </w:r>
    </w:p>
    <w:p w14:paraId="0EE6D88E" w14:textId="77777777" w:rsidR="00434C34" w:rsidRDefault="00434C34" w:rsidP="00434C34">
      <w:pPr>
        <w:pStyle w:val="DPCbody"/>
      </w:pPr>
      <w:r>
        <w:t xml:space="preserve">This form asks appointees to disclose certain personal information, identifies how the department will treat the personal information, and explains the purpose for its collection. </w:t>
      </w:r>
    </w:p>
    <w:p w14:paraId="490E7BE7" w14:textId="77777777" w:rsidR="00434C34" w:rsidRDefault="00434C34" w:rsidP="00434C34">
      <w:pPr>
        <w:pStyle w:val="DPCbody"/>
      </w:pPr>
      <w:r w:rsidRPr="00C06B8B">
        <w:t xml:space="preserve">Departments may prepare and use their own </w:t>
      </w:r>
      <w:r>
        <w:t>forms</w:t>
      </w:r>
      <w:r w:rsidRPr="00C06B8B">
        <w:t xml:space="preserve">, noting that they </w:t>
      </w:r>
      <w:r>
        <w:t>should</w:t>
      </w:r>
      <w:r w:rsidRPr="00C06B8B">
        <w:t xml:space="preserve"> address the same topics in the DPC template </w:t>
      </w:r>
      <w:r>
        <w:t>consent form</w:t>
      </w:r>
      <w:r w:rsidRPr="00C06B8B">
        <w:t xml:space="preserve">. </w:t>
      </w:r>
      <w:r>
        <w:t xml:space="preserve">The form allows departments to measure compliance with the Diversity on Boards Guidelines, as set out at </w:t>
      </w:r>
      <w:r w:rsidRPr="006F61D2">
        <w:t>section 3.7.</w:t>
      </w:r>
      <w:r>
        <w:t xml:space="preserve"> </w:t>
      </w:r>
    </w:p>
    <w:p w14:paraId="4BB42F39" w14:textId="77777777" w:rsidR="00434C34" w:rsidRDefault="00434C34" w:rsidP="00434C34">
      <w:pPr>
        <w:pStyle w:val="DPCbody"/>
      </w:pPr>
      <w:r>
        <w:t xml:space="preserve">The DPC Personal Information and Privacy Consent Form is available </w:t>
      </w:r>
      <w:hyperlink r:id="rId79" w:history="1">
        <w:r w:rsidRPr="00902BF6">
          <w:rPr>
            <w:rStyle w:val="Hyperlink"/>
            <w:color w:val="0072CE" w:themeColor="accent1"/>
            <w:u w:val="single"/>
          </w:rPr>
          <w:t>here</w:t>
        </w:r>
      </w:hyperlink>
      <w:r w:rsidRPr="00902BF6">
        <w:rPr>
          <w:color w:val="auto"/>
        </w:rPr>
        <w:t>.</w:t>
      </w:r>
    </w:p>
    <w:p w14:paraId="4322F098" w14:textId="6FB3BC77" w:rsidR="00434C34" w:rsidRDefault="00434C34">
      <w:pPr>
        <w:rPr>
          <w:color w:val="000000" w:themeColor="text1"/>
        </w:rPr>
      </w:pPr>
      <w:r>
        <w:rPr>
          <w:color w:val="000000" w:themeColor="text1"/>
        </w:rPr>
        <w:br w:type="page"/>
      </w:r>
    </w:p>
    <w:p w14:paraId="3DC015DB" w14:textId="77777777" w:rsidR="00B51FD5" w:rsidRDefault="00B51FD5" w:rsidP="00B51FD5">
      <w:pPr>
        <w:pStyle w:val="Heading1"/>
      </w:pPr>
      <w:bookmarkStart w:id="222" w:name="_Toc147909887"/>
      <w:bookmarkStart w:id="223" w:name="_Toc176339497"/>
      <w:r>
        <w:lastRenderedPageBreak/>
        <w:t>Appendix B – Checklist</w:t>
      </w:r>
      <w:bookmarkEnd w:id="222"/>
      <w:bookmarkEnd w:id="223"/>
      <w:r>
        <w:t xml:space="preserve"> </w:t>
      </w:r>
    </w:p>
    <w:tbl>
      <w:tblPr>
        <w:tblStyle w:val="DPCDefaulttable"/>
        <w:tblpPr w:vertAnchor="text" w:horzAnchor="margin" w:tblpXSpec="center" w:tblpY="1"/>
        <w:tblW w:w="10079" w:type="dxa"/>
        <w:tblInd w:w="0" w:type="dxa"/>
        <w:tblLayout w:type="fixed"/>
        <w:tblLook w:val="04A0" w:firstRow="1" w:lastRow="0" w:firstColumn="1" w:lastColumn="0" w:noHBand="0" w:noVBand="1"/>
        <w:tblCaption w:val="Appointment process checklist"/>
        <w:tblDescription w:val="Checklist to confirm that an appointment has been carried out in accordance with the Appointment and Remuneration Guidelines"/>
      </w:tblPr>
      <w:tblGrid>
        <w:gridCol w:w="8613"/>
        <w:gridCol w:w="1026"/>
        <w:gridCol w:w="440"/>
      </w:tblGrid>
      <w:tr w:rsidR="00B51FD5" w:rsidRPr="00A93CBE" w14:paraId="4692F81E" w14:textId="77777777" w:rsidTr="00C919D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13" w:type="dxa"/>
          </w:tcPr>
          <w:p w14:paraId="0D133A1E" w14:textId="034317C5" w:rsidR="00B51FD5" w:rsidRPr="00846854" w:rsidRDefault="00B51FD5">
            <w:pPr>
              <w:contextualSpacing/>
              <w:rPr>
                <w:rFonts w:asciiTheme="minorHAnsi" w:eastAsia="MS Gothic" w:hAnsiTheme="minorHAnsi" w:cstheme="minorHAnsi"/>
                <w:bCs/>
                <w:color w:val="0072CE" w:themeColor="accent1"/>
                <w:kern w:val="32"/>
                <w:sz w:val="18"/>
                <w:szCs w:val="18"/>
              </w:rPr>
            </w:pPr>
            <w:r w:rsidRPr="00846854">
              <w:rPr>
                <w:rFonts w:asciiTheme="minorHAnsi" w:eastAsia="MS Gothic" w:hAnsiTheme="minorHAnsi" w:cstheme="minorHAnsi"/>
                <w:bCs/>
                <w:color w:val="0072CE" w:themeColor="accent1"/>
                <w:kern w:val="32"/>
                <w:sz w:val="18"/>
                <w:szCs w:val="18"/>
              </w:rPr>
              <w:t xml:space="preserve">  </w:t>
            </w:r>
            <w:r w:rsidR="008508BA" w:rsidRPr="00846854">
              <w:rPr>
                <w:rFonts w:asciiTheme="minorHAnsi" w:eastAsia="MS Gothic" w:hAnsiTheme="minorHAnsi" w:cstheme="minorHAnsi"/>
                <w:bCs/>
                <w:color w:val="0072CE" w:themeColor="accent1"/>
                <w:kern w:val="32"/>
                <w:sz w:val="18"/>
                <w:szCs w:val="18"/>
              </w:rPr>
              <w:t>Requirement</w:t>
            </w:r>
          </w:p>
        </w:tc>
        <w:tc>
          <w:tcPr>
            <w:tcW w:w="1026" w:type="dxa"/>
          </w:tcPr>
          <w:p w14:paraId="35A95648" w14:textId="77777777" w:rsidR="00B51FD5" w:rsidRPr="00846854" w:rsidRDefault="00B51FD5">
            <w:pPr>
              <w:cnfStyle w:val="100000000000" w:firstRow="1" w:lastRow="0" w:firstColumn="0" w:lastColumn="0" w:oddVBand="0" w:evenVBand="0" w:oddHBand="0" w:evenHBand="0" w:firstRowFirstColumn="0" w:firstRowLastColumn="0" w:lastRowFirstColumn="0" w:lastRowLastColumn="0"/>
              <w:rPr>
                <w:rFonts w:asciiTheme="minorHAnsi" w:eastAsia="MS Gothic" w:hAnsiTheme="minorHAnsi" w:cstheme="minorHAnsi"/>
                <w:b w:val="0"/>
                <w:bCs/>
                <w:color w:val="0072CE" w:themeColor="accent1"/>
                <w:kern w:val="32"/>
                <w:sz w:val="18"/>
                <w:szCs w:val="18"/>
              </w:rPr>
            </w:pPr>
            <w:r w:rsidRPr="00846854">
              <w:rPr>
                <w:rFonts w:asciiTheme="minorHAnsi" w:eastAsia="MS Gothic" w:hAnsiTheme="minorHAnsi" w:cstheme="minorHAnsi"/>
                <w:bCs/>
                <w:color w:val="0072CE" w:themeColor="accent1"/>
                <w:kern w:val="32"/>
                <w:sz w:val="18"/>
                <w:szCs w:val="18"/>
              </w:rPr>
              <w:t>Page No.</w:t>
            </w:r>
          </w:p>
        </w:tc>
        <w:tc>
          <w:tcPr>
            <w:tcW w:w="440" w:type="dxa"/>
          </w:tcPr>
          <w:p w14:paraId="3C5FE9A3" w14:textId="77777777" w:rsidR="00B51FD5" w:rsidRPr="005E215C" w:rsidRDefault="00B51FD5">
            <w:pPr>
              <w:cnfStyle w:val="100000000000" w:firstRow="1" w:lastRow="0" w:firstColumn="0" w:lastColumn="0" w:oddVBand="0" w:evenVBand="0" w:oddHBand="0" w:evenHBand="0" w:firstRowFirstColumn="0" w:firstRowLastColumn="0" w:lastRowFirstColumn="0" w:lastRowLastColumn="0"/>
              <w:rPr>
                <w:rFonts w:asciiTheme="minorHAnsi" w:eastAsia="MS Gothic" w:hAnsiTheme="minorHAnsi" w:cstheme="minorHAnsi"/>
                <w:bCs/>
                <w:color w:val="000000" w:themeColor="text1"/>
                <w:kern w:val="32"/>
                <w:sz w:val="18"/>
                <w:szCs w:val="18"/>
              </w:rPr>
            </w:pPr>
          </w:p>
        </w:tc>
      </w:tr>
      <w:tr w:rsidR="00367465" w:rsidRPr="00A93CBE" w14:paraId="59CA3DE3"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C8F1FF" w:themeFill="accent3" w:themeFillTint="33"/>
          </w:tcPr>
          <w:p w14:paraId="761ECE79" w14:textId="74683535" w:rsidR="00367465" w:rsidRPr="00B51FD5" w:rsidRDefault="00367465" w:rsidP="00C919DC">
            <w:pPr>
              <w:pStyle w:val="DPCtabletext"/>
              <w:spacing w:before="120" w:after="120"/>
              <w:rPr>
                <w:rFonts w:eastAsia="MS Gothic" w:cstheme="minorHAnsi"/>
                <w:b w:val="0"/>
                <w:kern w:val="32"/>
                <w:sz w:val="18"/>
                <w:szCs w:val="18"/>
              </w:rPr>
            </w:pPr>
            <w:r w:rsidRPr="00C919DC">
              <w:rPr>
                <w:rFonts w:asciiTheme="minorHAnsi" w:eastAsia="MS Gothic" w:hAnsiTheme="minorHAnsi"/>
                <w:sz w:val="18"/>
                <w:szCs w:val="18"/>
              </w:rPr>
              <w:t>S</w:t>
            </w:r>
            <w:r>
              <w:rPr>
                <w:rFonts w:asciiTheme="minorHAnsi" w:eastAsia="MS Gothic" w:hAnsiTheme="minorHAnsi" w:cstheme="minorHAnsi"/>
                <w:bCs/>
                <w:kern w:val="32"/>
                <w:sz w:val="18"/>
                <w:szCs w:val="18"/>
              </w:rPr>
              <w:t>ection</w:t>
            </w:r>
            <w:r w:rsidRPr="005E215C">
              <w:rPr>
                <w:rFonts w:asciiTheme="minorHAnsi" w:eastAsia="MS Gothic" w:hAnsiTheme="minorHAnsi" w:cstheme="minorHAnsi"/>
                <w:bCs/>
                <w:kern w:val="32"/>
                <w:sz w:val="18"/>
                <w:szCs w:val="18"/>
              </w:rPr>
              <w:t xml:space="preserve"> 2</w:t>
            </w:r>
            <w:r>
              <w:rPr>
                <w:rFonts w:asciiTheme="minorHAnsi" w:eastAsia="MS Gothic" w:hAnsiTheme="minorHAnsi" w:cstheme="minorHAnsi"/>
                <w:bCs/>
                <w:kern w:val="32"/>
                <w:sz w:val="18"/>
                <w:szCs w:val="18"/>
              </w:rPr>
              <w:t>:</w:t>
            </w:r>
            <w:r w:rsidRPr="005E215C">
              <w:rPr>
                <w:rFonts w:asciiTheme="minorHAnsi" w:eastAsia="MS Gothic" w:hAnsiTheme="minorHAnsi" w:cstheme="minorHAnsi"/>
                <w:bCs/>
                <w:kern w:val="32"/>
                <w:sz w:val="18"/>
                <w:szCs w:val="18"/>
              </w:rPr>
              <w:t xml:space="preserve"> Scope</w:t>
            </w:r>
          </w:p>
        </w:tc>
        <w:tc>
          <w:tcPr>
            <w:tcW w:w="1026" w:type="dxa"/>
            <w:shd w:val="clear" w:color="auto" w:fill="C8F1FF" w:themeFill="accent3" w:themeFillTint="33"/>
          </w:tcPr>
          <w:p w14:paraId="16E3EBF3" w14:textId="77777777" w:rsidR="00367465" w:rsidRPr="00853BF5" w:rsidRDefault="0036746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p>
        </w:tc>
        <w:tc>
          <w:tcPr>
            <w:tcW w:w="440" w:type="dxa"/>
            <w:shd w:val="clear" w:color="auto" w:fill="C8F1FF" w:themeFill="accent3" w:themeFillTint="33"/>
          </w:tcPr>
          <w:p w14:paraId="40DF83A6" w14:textId="77777777" w:rsidR="00367465" w:rsidRPr="005E215C" w:rsidRDefault="00367465">
            <w:pPr>
              <w:jc w:val="center"/>
              <w:cnfStyle w:val="000000100000" w:firstRow="0" w:lastRow="0" w:firstColumn="0" w:lastColumn="0" w:oddVBand="0" w:evenVBand="0" w:oddHBand="1" w:evenHBand="0" w:firstRowFirstColumn="0" w:firstRowLastColumn="0" w:lastRowFirstColumn="0" w:lastRowLastColumn="0"/>
              <w:rPr>
                <w:rFonts w:eastAsia="Wingdings 2" w:cstheme="minorHAnsi"/>
                <w:color w:val="000000" w:themeColor="text1"/>
                <w:kern w:val="32"/>
                <w:sz w:val="18"/>
                <w:szCs w:val="18"/>
              </w:rPr>
            </w:pPr>
          </w:p>
        </w:tc>
      </w:tr>
      <w:tr w:rsidR="00B51FD5" w:rsidRPr="00A93CBE" w14:paraId="5F281A9C"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0F4571F1" w14:textId="77777777" w:rsidR="00B51FD5" w:rsidRPr="00B51FD5" w:rsidRDefault="00B51FD5">
            <w:pPr>
              <w:contextualSpacing/>
              <w:rPr>
                <w:rFonts w:asciiTheme="minorHAnsi" w:eastAsia="MS Gothic" w:hAnsiTheme="minorHAnsi" w:cstheme="minorHAnsi"/>
                <w:b w:val="0"/>
                <w:color w:val="000000" w:themeColor="text1"/>
                <w:kern w:val="32"/>
                <w:sz w:val="18"/>
                <w:szCs w:val="18"/>
              </w:rPr>
            </w:pPr>
            <w:r w:rsidRPr="00B51FD5">
              <w:rPr>
                <w:rFonts w:asciiTheme="minorHAnsi" w:eastAsia="MS Gothic" w:hAnsiTheme="minorHAnsi" w:cstheme="minorHAnsi"/>
                <w:b w:val="0"/>
                <w:color w:val="000000" w:themeColor="text1"/>
                <w:kern w:val="32"/>
                <w:sz w:val="18"/>
                <w:szCs w:val="18"/>
              </w:rPr>
              <w:t>Do the Appointment and Remuneration Guidelines apply?</w:t>
            </w:r>
          </w:p>
        </w:tc>
        <w:tc>
          <w:tcPr>
            <w:tcW w:w="1026" w:type="dxa"/>
            <w:shd w:val="clear" w:color="auto" w:fill="auto"/>
          </w:tcPr>
          <w:p w14:paraId="7630D243" w14:textId="2F1AC101"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8</w:t>
            </w:r>
          </w:p>
        </w:tc>
        <w:tc>
          <w:tcPr>
            <w:tcW w:w="440" w:type="dxa"/>
            <w:shd w:val="clear" w:color="auto" w:fill="auto"/>
          </w:tcPr>
          <w:p w14:paraId="49FF3885"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6388660C" w14:textId="77777777" w:rsidTr="00C919D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13" w:type="dxa"/>
            <w:shd w:val="clear" w:color="auto" w:fill="C8F1FF" w:themeFill="accent3" w:themeFillTint="33"/>
          </w:tcPr>
          <w:p w14:paraId="2091B9C7" w14:textId="77777777" w:rsidR="00B51FD5" w:rsidRPr="005E215C" w:rsidRDefault="00B51FD5" w:rsidP="00C919DC">
            <w:pPr>
              <w:pStyle w:val="DPCtabletext"/>
              <w:spacing w:before="120" w:after="120"/>
              <w:rPr>
                <w:rFonts w:asciiTheme="minorHAnsi" w:eastAsia="MS Gothic" w:hAnsiTheme="minorHAnsi" w:cstheme="minorHAnsi"/>
                <w:bCs/>
                <w:kern w:val="32"/>
                <w:sz w:val="18"/>
                <w:szCs w:val="18"/>
              </w:rPr>
            </w:pPr>
            <w:r w:rsidRPr="00C919DC">
              <w:rPr>
                <w:rFonts w:asciiTheme="minorHAnsi" w:eastAsia="MS Gothic" w:hAnsiTheme="minorHAnsi"/>
                <w:sz w:val="18"/>
                <w:szCs w:val="18"/>
              </w:rPr>
              <w:t>S</w:t>
            </w:r>
            <w:r>
              <w:rPr>
                <w:rFonts w:asciiTheme="minorHAnsi" w:eastAsia="MS Gothic" w:hAnsiTheme="minorHAnsi" w:cstheme="minorHAnsi"/>
                <w:bCs/>
                <w:kern w:val="32"/>
                <w:sz w:val="18"/>
                <w:szCs w:val="18"/>
              </w:rPr>
              <w:t>ections</w:t>
            </w:r>
            <w:r w:rsidRPr="005E215C">
              <w:rPr>
                <w:rFonts w:asciiTheme="minorHAnsi" w:eastAsia="MS Gothic" w:hAnsiTheme="minorHAnsi" w:cstheme="minorHAnsi"/>
                <w:bCs/>
                <w:kern w:val="32"/>
                <w:sz w:val="18"/>
                <w:szCs w:val="18"/>
              </w:rPr>
              <w:t xml:space="preserve"> 3</w:t>
            </w:r>
            <w:r>
              <w:rPr>
                <w:rFonts w:asciiTheme="minorHAnsi" w:eastAsia="MS Gothic" w:hAnsiTheme="minorHAnsi" w:cstheme="minorHAnsi"/>
                <w:bCs/>
                <w:kern w:val="32"/>
                <w:sz w:val="18"/>
                <w:szCs w:val="18"/>
              </w:rPr>
              <w:t xml:space="preserve"> – </w:t>
            </w:r>
            <w:r w:rsidRPr="005E215C">
              <w:rPr>
                <w:rFonts w:asciiTheme="minorHAnsi" w:eastAsia="MS Gothic" w:hAnsiTheme="minorHAnsi" w:cstheme="minorHAnsi"/>
                <w:bCs/>
                <w:kern w:val="32"/>
                <w:sz w:val="18"/>
                <w:szCs w:val="18"/>
              </w:rPr>
              <w:t>4</w:t>
            </w:r>
            <w:r>
              <w:rPr>
                <w:rFonts w:asciiTheme="minorHAnsi" w:eastAsia="MS Gothic" w:hAnsiTheme="minorHAnsi" w:cstheme="minorHAnsi"/>
                <w:bCs/>
                <w:kern w:val="32"/>
                <w:sz w:val="18"/>
                <w:szCs w:val="18"/>
              </w:rPr>
              <w:t>:</w:t>
            </w:r>
            <w:r w:rsidRPr="005E215C">
              <w:rPr>
                <w:rFonts w:asciiTheme="minorHAnsi" w:eastAsia="MS Gothic" w:hAnsiTheme="minorHAnsi" w:cstheme="minorHAnsi"/>
                <w:bCs/>
                <w:kern w:val="32"/>
                <w:sz w:val="18"/>
                <w:szCs w:val="18"/>
              </w:rPr>
              <w:t xml:space="preserve"> Recruitment and selection</w:t>
            </w:r>
          </w:p>
        </w:tc>
        <w:tc>
          <w:tcPr>
            <w:tcW w:w="1026" w:type="dxa"/>
            <w:shd w:val="clear" w:color="auto" w:fill="C8F1FF" w:themeFill="accent3" w:themeFillTint="33"/>
          </w:tcPr>
          <w:p w14:paraId="1190B860" w14:textId="77777777"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p>
        </w:tc>
        <w:tc>
          <w:tcPr>
            <w:tcW w:w="440" w:type="dxa"/>
            <w:shd w:val="clear" w:color="auto" w:fill="C8F1FF" w:themeFill="accent3" w:themeFillTint="33"/>
          </w:tcPr>
          <w:p w14:paraId="77FDED60"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p>
        </w:tc>
      </w:tr>
      <w:tr w:rsidR="00B51FD5" w:rsidRPr="00A93CBE" w14:paraId="1FC2B7C0"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02BFC30A"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Was the recruitment process open and competitive? If not, explain why an alternative method was chosen in the Cabinet submission.</w:t>
            </w:r>
          </w:p>
        </w:tc>
        <w:tc>
          <w:tcPr>
            <w:tcW w:w="1026" w:type="dxa"/>
            <w:shd w:val="clear" w:color="auto" w:fill="auto"/>
          </w:tcPr>
          <w:p w14:paraId="11AA0099" w14:textId="16F9547A"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036B6C">
              <w:rPr>
                <w:rFonts w:eastAsia="MS Gothic" w:cstheme="minorHAnsi"/>
                <w:bCs/>
                <w:color w:val="000000" w:themeColor="text1"/>
                <w:kern w:val="32"/>
                <w:sz w:val="18"/>
                <w:szCs w:val="18"/>
              </w:rPr>
              <w:t>3</w:t>
            </w:r>
          </w:p>
        </w:tc>
        <w:tc>
          <w:tcPr>
            <w:tcW w:w="440" w:type="dxa"/>
            <w:shd w:val="clear" w:color="auto" w:fill="auto"/>
          </w:tcPr>
          <w:p w14:paraId="41E59645"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01C7B7A6"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tcPr>
          <w:p w14:paraId="0C0FFCB2"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Are there legislated skills requirements and if so, have they been met?</w:t>
            </w:r>
          </w:p>
        </w:tc>
        <w:tc>
          <w:tcPr>
            <w:tcW w:w="1026" w:type="dxa"/>
          </w:tcPr>
          <w:p w14:paraId="5C5DF820" w14:textId="4F6DA6BB"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1</w:t>
            </w:r>
            <w:r w:rsidR="007F0CF0">
              <w:rPr>
                <w:rFonts w:eastAsia="MS Gothic" w:cstheme="minorHAnsi"/>
                <w:bCs/>
                <w:color w:val="000000" w:themeColor="text1"/>
                <w:kern w:val="32"/>
                <w:sz w:val="18"/>
                <w:szCs w:val="18"/>
              </w:rPr>
              <w:t>1</w:t>
            </w:r>
          </w:p>
        </w:tc>
        <w:tc>
          <w:tcPr>
            <w:tcW w:w="440" w:type="dxa"/>
          </w:tcPr>
          <w:p w14:paraId="1C04DE0F"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4FFAE8D8"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65DD18BE"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Has the board composition, skills and diversity matrix been considered? </w:t>
            </w:r>
          </w:p>
        </w:tc>
        <w:tc>
          <w:tcPr>
            <w:tcW w:w="1026" w:type="dxa"/>
            <w:shd w:val="clear" w:color="auto" w:fill="auto"/>
          </w:tcPr>
          <w:p w14:paraId="6E0B2F21" w14:textId="3352E728"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7F0CF0">
              <w:rPr>
                <w:rFonts w:eastAsia="MS Gothic" w:cstheme="minorHAnsi"/>
                <w:bCs/>
                <w:color w:val="000000" w:themeColor="text1"/>
                <w:kern w:val="32"/>
                <w:sz w:val="18"/>
                <w:szCs w:val="18"/>
              </w:rPr>
              <w:t>2</w:t>
            </w:r>
          </w:p>
        </w:tc>
        <w:tc>
          <w:tcPr>
            <w:tcW w:w="440" w:type="dxa"/>
            <w:shd w:val="clear" w:color="auto" w:fill="auto"/>
          </w:tcPr>
          <w:p w14:paraId="3E1BEA5E"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310A063B"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tcPr>
          <w:p w14:paraId="67C3985C"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Is the gender composition of the board and the portfolio (including Chairs of paid boards) included in the Cabinet submission or Ministerial brief?</w:t>
            </w:r>
          </w:p>
        </w:tc>
        <w:tc>
          <w:tcPr>
            <w:tcW w:w="1026" w:type="dxa"/>
          </w:tcPr>
          <w:p w14:paraId="55B8DEDB" w14:textId="1524B684"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7F0CF0">
              <w:rPr>
                <w:rFonts w:eastAsia="MS Gothic" w:cstheme="minorHAnsi"/>
                <w:bCs/>
                <w:color w:val="000000" w:themeColor="text1"/>
                <w:kern w:val="32"/>
                <w:sz w:val="18"/>
                <w:szCs w:val="18"/>
              </w:rPr>
              <w:t>3</w:t>
            </w:r>
          </w:p>
        </w:tc>
        <w:tc>
          <w:tcPr>
            <w:tcW w:w="440" w:type="dxa"/>
          </w:tcPr>
          <w:p w14:paraId="304A64CE"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4DE88336" w14:textId="77777777" w:rsidTr="00C919DC">
        <w:trPr>
          <w:cnfStyle w:val="000000010000" w:firstRow="0" w:lastRow="0" w:firstColumn="0" w:lastColumn="0" w:oddVBand="0" w:evenVBand="0" w:oddHBand="0" w:evenHBand="1"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689DE5A4"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Were the following consulted when planning the recruitment and selection process:</w:t>
            </w:r>
          </w:p>
          <w:p w14:paraId="0C7FA71D" w14:textId="77777777" w:rsidR="00B51FD5" w:rsidRPr="002D3554" w:rsidRDefault="00B51FD5" w:rsidP="00B51FD5">
            <w:pPr>
              <w:numPr>
                <w:ilvl w:val="0"/>
                <w:numId w:val="36"/>
              </w:numPr>
              <w:spacing w:before="0" w:after="0"/>
              <w:textAlignment w:val="center"/>
              <w:rPr>
                <w:rFonts w:asciiTheme="minorHAnsi" w:hAnsiTheme="minorHAnsi" w:cstheme="minorHAnsi"/>
                <w:b w:val="0"/>
                <w:color w:val="000000"/>
                <w:sz w:val="18"/>
                <w:szCs w:val="18"/>
              </w:rPr>
            </w:pPr>
            <w:r w:rsidRPr="002D3554">
              <w:rPr>
                <w:rFonts w:asciiTheme="minorHAnsi" w:eastAsia="MS Gothic" w:hAnsiTheme="minorHAnsi" w:cstheme="minorHAnsi"/>
                <w:b w:val="0"/>
                <w:color w:val="000000"/>
                <w:sz w:val="18"/>
                <w:szCs w:val="18"/>
              </w:rPr>
              <w:t xml:space="preserve">Diversity on Boards: </w:t>
            </w:r>
            <w:r w:rsidRPr="00A02272">
              <w:rPr>
                <w:rFonts w:asciiTheme="minorHAnsi" w:eastAsia="MS Gothic" w:hAnsiTheme="minorHAnsi" w:cstheme="minorHAnsi"/>
                <w:b w:val="0"/>
                <w:color w:val="0072CE" w:themeColor="accent1"/>
                <w:sz w:val="18"/>
                <w:szCs w:val="18"/>
                <w:u w:val="single"/>
              </w:rPr>
              <w:t>diversityonboards@dffh.vic.gov.au</w:t>
            </w:r>
            <w:r w:rsidRPr="002D3554">
              <w:rPr>
                <w:rFonts w:asciiTheme="minorHAnsi" w:eastAsia="MS Gothic" w:hAnsiTheme="minorHAnsi" w:cstheme="minorHAnsi"/>
                <w:b w:val="0"/>
                <w:color w:val="000000"/>
                <w:sz w:val="18"/>
                <w:szCs w:val="18"/>
              </w:rPr>
              <w:t xml:space="preserve"> </w:t>
            </w:r>
          </w:p>
          <w:p w14:paraId="183AB18B" w14:textId="77777777" w:rsidR="00B51FD5" w:rsidRPr="002D3554" w:rsidRDefault="00B51FD5" w:rsidP="00B51FD5">
            <w:pPr>
              <w:numPr>
                <w:ilvl w:val="0"/>
                <w:numId w:val="36"/>
              </w:numPr>
              <w:spacing w:before="0" w:after="0"/>
              <w:textAlignment w:val="center"/>
              <w:rPr>
                <w:rFonts w:asciiTheme="minorHAnsi" w:hAnsiTheme="minorHAnsi" w:cstheme="minorHAnsi"/>
                <w:b w:val="0"/>
                <w:color w:val="000000"/>
                <w:sz w:val="18"/>
                <w:szCs w:val="18"/>
              </w:rPr>
            </w:pPr>
            <w:r w:rsidRPr="002D3554">
              <w:rPr>
                <w:rFonts w:asciiTheme="minorHAnsi" w:hAnsiTheme="minorHAnsi" w:cstheme="minorHAnsi"/>
                <w:b w:val="0"/>
                <w:color w:val="000000"/>
                <w:sz w:val="18"/>
                <w:szCs w:val="18"/>
              </w:rPr>
              <w:t xml:space="preserve">First Peoples – State Relations: </w:t>
            </w:r>
            <w:r w:rsidRPr="00A02272">
              <w:rPr>
                <w:rFonts w:asciiTheme="minorHAnsi" w:hAnsiTheme="minorHAnsi" w:cstheme="minorHAnsi"/>
                <w:b w:val="0"/>
                <w:color w:val="0072CE" w:themeColor="accent1"/>
                <w:sz w:val="18"/>
                <w:szCs w:val="18"/>
                <w:u w:val="single"/>
              </w:rPr>
              <w:t>Secretariat.AA@dpc.vic.gov.au</w:t>
            </w:r>
            <w:r w:rsidRPr="002D3554">
              <w:rPr>
                <w:rFonts w:asciiTheme="minorHAnsi" w:hAnsiTheme="minorHAnsi" w:cstheme="minorHAnsi"/>
                <w:b w:val="0"/>
                <w:color w:val="000000"/>
                <w:sz w:val="18"/>
                <w:szCs w:val="18"/>
              </w:rPr>
              <w:t xml:space="preserve"> </w:t>
            </w:r>
          </w:p>
          <w:p w14:paraId="1EB9E934" w14:textId="3611716B" w:rsidR="00B51FD5" w:rsidRPr="002D3554" w:rsidRDefault="00B51FD5" w:rsidP="00B51FD5">
            <w:pPr>
              <w:numPr>
                <w:ilvl w:val="0"/>
                <w:numId w:val="36"/>
              </w:numPr>
              <w:spacing w:before="0" w:after="0"/>
              <w:textAlignment w:val="center"/>
              <w:rPr>
                <w:rFonts w:asciiTheme="minorHAnsi" w:hAnsiTheme="minorHAnsi" w:cstheme="minorHAnsi"/>
                <w:b w:val="0"/>
                <w:color w:val="000000"/>
                <w:sz w:val="18"/>
                <w:szCs w:val="18"/>
              </w:rPr>
            </w:pPr>
            <w:r w:rsidRPr="002D3554">
              <w:rPr>
                <w:rFonts w:asciiTheme="minorHAnsi" w:hAnsiTheme="minorHAnsi" w:cstheme="minorHAnsi"/>
                <w:b w:val="0"/>
                <w:color w:val="000000"/>
                <w:sz w:val="18"/>
                <w:szCs w:val="18"/>
              </w:rPr>
              <w:t xml:space="preserve">Regional Development Victoria: </w:t>
            </w:r>
            <w:hyperlink r:id="rId80" w:history="1">
              <w:r w:rsidR="00D446CA" w:rsidRPr="00E43DCA">
                <w:rPr>
                  <w:rStyle w:val="Hyperlink"/>
                  <w:rFonts w:cstheme="minorHAnsi"/>
                  <w:sz w:val="18"/>
                  <w:szCs w:val="18"/>
                </w:rPr>
                <w:t>rdv@rdv.vic.gov.au</w:t>
              </w:r>
            </w:hyperlink>
          </w:p>
        </w:tc>
        <w:tc>
          <w:tcPr>
            <w:tcW w:w="1026" w:type="dxa"/>
            <w:shd w:val="clear" w:color="auto" w:fill="auto"/>
          </w:tcPr>
          <w:p w14:paraId="5D344336" w14:textId="19796DA8"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8C36AF">
              <w:rPr>
                <w:rFonts w:eastAsia="MS Gothic" w:cstheme="minorHAnsi"/>
                <w:bCs/>
                <w:color w:val="000000" w:themeColor="text1"/>
                <w:kern w:val="32"/>
                <w:sz w:val="18"/>
                <w:szCs w:val="18"/>
              </w:rPr>
              <w:t>2</w:t>
            </w:r>
          </w:p>
        </w:tc>
        <w:tc>
          <w:tcPr>
            <w:tcW w:w="440" w:type="dxa"/>
            <w:shd w:val="clear" w:color="auto" w:fill="auto"/>
          </w:tcPr>
          <w:p w14:paraId="390347DC"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3FEFDE12"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tcPr>
          <w:p w14:paraId="6BFE829C"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Was the appointment vacancy advertised on Join a Public Board?</w:t>
            </w:r>
          </w:p>
        </w:tc>
        <w:tc>
          <w:tcPr>
            <w:tcW w:w="1026" w:type="dxa"/>
          </w:tcPr>
          <w:p w14:paraId="1DE58C44" w14:textId="11B58D99"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8C36AF">
              <w:rPr>
                <w:rFonts w:eastAsia="MS Gothic" w:cstheme="minorHAnsi"/>
                <w:bCs/>
                <w:color w:val="000000" w:themeColor="text1"/>
                <w:kern w:val="32"/>
                <w:sz w:val="18"/>
                <w:szCs w:val="18"/>
              </w:rPr>
              <w:t>4</w:t>
            </w:r>
          </w:p>
        </w:tc>
        <w:tc>
          <w:tcPr>
            <w:tcW w:w="440" w:type="dxa"/>
          </w:tcPr>
          <w:p w14:paraId="0A42CE45"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5AA6CA00"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70272A6F"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Is the candidate on three or more Victorian Government boards? If so, consider why other candidates are not available, conflicts of interest and ability to meet attendance requirements (75% of meetings).</w:t>
            </w:r>
          </w:p>
        </w:tc>
        <w:tc>
          <w:tcPr>
            <w:tcW w:w="1026" w:type="dxa"/>
            <w:shd w:val="clear" w:color="auto" w:fill="auto"/>
          </w:tcPr>
          <w:p w14:paraId="2993D29F" w14:textId="70EEE4D6"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8C36AF">
              <w:rPr>
                <w:rFonts w:eastAsia="MS Gothic" w:cstheme="minorHAnsi"/>
                <w:bCs/>
                <w:color w:val="000000" w:themeColor="text1"/>
                <w:kern w:val="32"/>
                <w:sz w:val="18"/>
                <w:szCs w:val="18"/>
              </w:rPr>
              <w:t>7</w:t>
            </w:r>
          </w:p>
        </w:tc>
        <w:tc>
          <w:tcPr>
            <w:tcW w:w="440" w:type="dxa"/>
            <w:shd w:val="clear" w:color="auto" w:fill="auto"/>
          </w:tcPr>
          <w:p w14:paraId="2703DFA0"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4AB5A483"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tcPr>
          <w:p w14:paraId="4BA049C6"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Is the candidate in a ‘single officer role’? (e.g. the appointment is the primary employment of the appointee and they are expected to work a set number of days)</w:t>
            </w:r>
          </w:p>
        </w:tc>
        <w:tc>
          <w:tcPr>
            <w:tcW w:w="1026" w:type="dxa"/>
          </w:tcPr>
          <w:p w14:paraId="5F3B20B9" w14:textId="0F8AD1CC"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7B7BFE">
              <w:rPr>
                <w:rFonts w:eastAsia="MS Gothic" w:cstheme="minorHAnsi"/>
                <w:bCs/>
                <w:color w:val="000000" w:themeColor="text1"/>
                <w:kern w:val="32"/>
                <w:sz w:val="18"/>
                <w:szCs w:val="18"/>
              </w:rPr>
              <w:t>8</w:t>
            </w:r>
          </w:p>
        </w:tc>
        <w:tc>
          <w:tcPr>
            <w:tcW w:w="440" w:type="dxa"/>
          </w:tcPr>
          <w:p w14:paraId="7A633358"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6B08B325"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35752502"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Is the appointee a Member of Parliament? If so, consider potential conflicts of interest and whether legal advice is required.</w:t>
            </w:r>
          </w:p>
        </w:tc>
        <w:tc>
          <w:tcPr>
            <w:tcW w:w="1026" w:type="dxa"/>
            <w:shd w:val="clear" w:color="auto" w:fill="auto"/>
          </w:tcPr>
          <w:p w14:paraId="6A199B62" w14:textId="5A52C0D9"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D226CA">
              <w:rPr>
                <w:rFonts w:eastAsia="MS Gothic" w:cstheme="minorHAnsi"/>
                <w:bCs/>
                <w:color w:val="000000" w:themeColor="text1"/>
                <w:kern w:val="32"/>
                <w:sz w:val="18"/>
                <w:szCs w:val="18"/>
              </w:rPr>
              <w:t>9</w:t>
            </w:r>
          </w:p>
        </w:tc>
        <w:tc>
          <w:tcPr>
            <w:tcW w:w="440" w:type="dxa"/>
            <w:shd w:val="clear" w:color="auto" w:fill="auto"/>
          </w:tcPr>
          <w:p w14:paraId="736B00C0"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1136572D"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tcPr>
          <w:p w14:paraId="47CD73C6"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Does the appointee reside in Victoria? If not, provide context (e.g. particularly rare skills or independence required). </w:t>
            </w:r>
          </w:p>
        </w:tc>
        <w:tc>
          <w:tcPr>
            <w:tcW w:w="1026" w:type="dxa"/>
          </w:tcPr>
          <w:p w14:paraId="2FDF4AF9" w14:textId="4E0731DD" w:rsidR="00B51FD5" w:rsidRPr="00853BF5" w:rsidRDefault="00D226CA">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20</w:t>
            </w:r>
          </w:p>
        </w:tc>
        <w:tc>
          <w:tcPr>
            <w:tcW w:w="440" w:type="dxa"/>
          </w:tcPr>
          <w:p w14:paraId="244BF658"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1B6B73A6" w14:textId="77777777" w:rsidTr="00C919D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13" w:type="dxa"/>
          </w:tcPr>
          <w:p w14:paraId="6CBB1E94" w14:textId="77777777" w:rsidR="00B51FD5" w:rsidRPr="005E215C" w:rsidRDefault="00B51FD5" w:rsidP="00C919DC">
            <w:pPr>
              <w:pStyle w:val="DPCtabletext"/>
              <w:spacing w:before="120" w:after="120"/>
              <w:rPr>
                <w:rFonts w:asciiTheme="minorHAnsi" w:eastAsia="MS Gothic" w:hAnsiTheme="minorHAnsi" w:cstheme="minorHAnsi"/>
                <w:bCs/>
                <w:kern w:val="32"/>
                <w:sz w:val="18"/>
                <w:szCs w:val="18"/>
              </w:rPr>
            </w:pPr>
            <w:r w:rsidRPr="00C919DC">
              <w:rPr>
                <w:rFonts w:asciiTheme="minorHAnsi" w:eastAsia="MS Gothic" w:hAnsiTheme="minorHAnsi"/>
                <w:sz w:val="18"/>
                <w:szCs w:val="18"/>
              </w:rPr>
              <w:t>S</w:t>
            </w:r>
            <w:r>
              <w:rPr>
                <w:rFonts w:asciiTheme="minorHAnsi" w:eastAsia="MS Gothic" w:hAnsiTheme="minorHAnsi" w:cstheme="minorHAnsi"/>
                <w:bCs/>
                <w:kern w:val="32"/>
                <w:sz w:val="18"/>
                <w:szCs w:val="18"/>
              </w:rPr>
              <w:t xml:space="preserve">ection </w:t>
            </w:r>
            <w:r w:rsidRPr="005E215C">
              <w:rPr>
                <w:rFonts w:asciiTheme="minorHAnsi" w:eastAsia="MS Gothic" w:hAnsiTheme="minorHAnsi" w:cstheme="minorHAnsi"/>
                <w:bCs/>
                <w:kern w:val="32"/>
                <w:sz w:val="18"/>
                <w:szCs w:val="18"/>
              </w:rPr>
              <w:t>3</w:t>
            </w:r>
            <w:r>
              <w:rPr>
                <w:rFonts w:asciiTheme="minorHAnsi" w:eastAsia="MS Gothic" w:hAnsiTheme="minorHAnsi" w:cstheme="minorHAnsi"/>
                <w:bCs/>
                <w:kern w:val="32"/>
                <w:sz w:val="18"/>
                <w:szCs w:val="18"/>
              </w:rPr>
              <w:t>:</w:t>
            </w:r>
            <w:r w:rsidRPr="005E215C">
              <w:rPr>
                <w:rFonts w:asciiTheme="minorHAnsi" w:eastAsia="MS Gothic" w:hAnsiTheme="minorHAnsi" w:cstheme="minorHAnsi"/>
                <w:bCs/>
                <w:kern w:val="32"/>
                <w:sz w:val="18"/>
                <w:szCs w:val="18"/>
              </w:rPr>
              <w:t xml:space="preserve"> Reappointments</w:t>
            </w:r>
          </w:p>
        </w:tc>
        <w:tc>
          <w:tcPr>
            <w:tcW w:w="1026" w:type="dxa"/>
          </w:tcPr>
          <w:p w14:paraId="61910DAC" w14:textId="77777777"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p>
        </w:tc>
        <w:tc>
          <w:tcPr>
            <w:tcW w:w="440" w:type="dxa"/>
          </w:tcPr>
          <w:p w14:paraId="14C66DB5"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p>
        </w:tc>
      </w:tr>
      <w:tr w:rsidR="00B51FD5" w:rsidRPr="00A93CBE" w14:paraId="78A6B165"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tcPr>
          <w:p w14:paraId="0440784E"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Has the candidate previously served on the board? If so, has a performance review been conducted?</w:t>
            </w:r>
          </w:p>
        </w:tc>
        <w:tc>
          <w:tcPr>
            <w:tcW w:w="1026" w:type="dxa"/>
          </w:tcPr>
          <w:p w14:paraId="38540960" w14:textId="595F4C5F"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A43F1D">
              <w:rPr>
                <w:rFonts w:eastAsia="MS Gothic" w:cstheme="minorHAnsi"/>
                <w:bCs/>
                <w:color w:val="000000" w:themeColor="text1"/>
                <w:kern w:val="32"/>
                <w:sz w:val="18"/>
                <w:szCs w:val="18"/>
              </w:rPr>
              <w:t>4</w:t>
            </w:r>
          </w:p>
        </w:tc>
        <w:tc>
          <w:tcPr>
            <w:tcW w:w="440" w:type="dxa"/>
          </w:tcPr>
          <w:p w14:paraId="0AF874D4"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6FA1E567"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2DF05B5D"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Has the rationale for reappointing the candidate been explained in the Cabinet submission or Ministerial brief?</w:t>
            </w:r>
          </w:p>
        </w:tc>
        <w:tc>
          <w:tcPr>
            <w:tcW w:w="1026" w:type="dxa"/>
            <w:shd w:val="clear" w:color="auto" w:fill="auto"/>
          </w:tcPr>
          <w:p w14:paraId="78EDD95F" w14:textId="3859E7DF"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1</w:t>
            </w:r>
            <w:r w:rsidR="00A43F1D">
              <w:rPr>
                <w:rFonts w:eastAsia="MS Gothic" w:cstheme="minorHAnsi"/>
                <w:bCs/>
                <w:color w:val="000000" w:themeColor="text1"/>
                <w:kern w:val="32"/>
                <w:sz w:val="18"/>
                <w:szCs w:val="18"/>
              </w:rPr>
              <w:t>4</w:t>
            </w:r>
          </w:p>
        </w:tc>
        <w:tc>
          <w:tcPr>
            <w:tcW w:w="440" w:type="dxa"/>
            <w:shd w:val="clear" w:color="auto" w:fill="auto"/>
          </w:tcPr>
          <w:p w14:paraId="57B90281"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718B8532"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tcPr>
          <w:p w14:paraId="30EA98C1"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Will the reappointment result in the total term exceeding 10 years? If so, explain why other suitable candidates are not available.</w:t>
            </w:r>
          </w:p>
        </w:tc>
        <w:tc>
          <w:tcPr>
            <w:tcW w:w="1026" w:type="dxa"/>
          </w:tcPr>
          <w:p w14:paraId="32F2F32A" w14:textId="4E838365"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A43F1D">
              <w:rPr>
                <w:rFonts w:eastAsia="MS Gothic" w:cstheme="minorHAnsi"/>
                <w:bCs/>
                <w:color w:val="000000" w:themeColor="text1"/>
                <w:kern w:val="32"/>
                <w:sz w:val="18"/>
                <w:szCs w:val="18"/>
              </w:rPr>
              <w:t>7</w:t>
            </w:r>
          </w:p>
        </w:tc>
        <w:tc>
          <w:tcPr>
            <w:tcW w:w="440" w:type="dxa"/>
          </w:tcPr>
          <w:p w14:paraId="2D675DF0"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37FBFED5"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1081B42C"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Can the candidate commit to their obligations (including attending a minimum of 75% of meetings)? </w:t>
            </w:r>
          </w:p>
        </w:tc>
        <w:tc>
          <w:tcPr>
            <w:tcW w:w="1026" w:type="dxa"/>
            <w:shd w:val="clear" w:color="auto" w:fill="auto"/>
          </w:tcPr>
          <w:p w14:paraId="5AE9A9C4" w14:textId="17E0CA4B"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853BF5">
              <w:rPr>
                <w:rFonts w:eastAsia="MS Gothic" w:cstheme="minorHAnsi"/>
                <w:bCs/>
                <w:color w:val="000000" w:themeColor="text1"/>
                <w:kern w:val="32"/>
                <w:sz w:val="18"/>
                <w:szCs w:val="18"/>
              </w:rPr>
              <w:t>1</w:t>
            </w:r>
            <w:r w:rsidR="00A43F1D">
              <w:rPr>
                <w:rFonts w:eastAsia="MS Gothic" w:cstheme="minorHAnsi"/>
                <w:bCs/>
                <w:color w:val="000000" w:themeColor="text1"/>
                <w:kern w:val="32"/>
                <w:sz w:val="18"/>
                <w:szCs w:val="18"/>
              </w:rPr>
              <w:t>7</w:t>
            </w:r>
          </w:p>
        </w:tc>
        <w:tc>
          <w:tcPr>
            <w:tcW w:w="440" w:type="dxa"/>
            <w:shd w:val="clear" w:color="auto" w:fill="auto"/>
          </w:tcPr>
          <w:p w14:paraId="51229D5E"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1159FF09" w14:textId="77777777" w:rsidTr="00C919D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13" w:type="dxa"/>
            <w:shd w:val="clear" w:color="auto" w:fill="C8F1FF" w:themeFill="accent3" w:themeFillTint="33"/>
          </w:tcPr>
          <w:p w14:paraId="596C097E" w14:textId="77777777" w:rsidR="00B51FD5" w:rsidRPr="00A43F1D" w:rsidRDefault="00B51FD5" w:rsidP="00C919DC">
            <w:pPr>
              <w:pStyle w:val="DPCtabletext"/>
              <w:spacing w:before="120" w:after="120"/>
              <w:rPr>
                <w:rFonts w:asciiTheme="minorHAnsi" w:eastAsia="MS Gothic" w:hAnsiTheme="minorHAnsi" w:cstheme="minorHAnsi"/>
                <w:bCs/>
                <w:kern w:val="32"/>
                <w:sz w:val="18"/>
                <w:szCs w:val="18"/>
              </w:rPr>
            </w:pPr>
            <w:r w:rsidRPr="00C919DC">
              <w:rPr>
                <w:rFonts w:asciiTheme="minorHAnsi" w:eastAsia="MS Gothic" w:hAnsiTheme="minorHAnsi"/>
                <w:sz w:val="18"/>
                <w:szCs w:val="18"/>
              </w:rPr>
              <w:t>Section 5: Probity and conflicts of interest</w:t>
            </w:r>
            <w:r w:rsidRPr="00A43F1D">
              <w:rPr>
                <w:rFonts w:asciiTheme="minorHAnsi" w:eastAsia="MS Gothic" w:hAnsiTheme="minorHAnsi" w:cstheme="minorHAnsi"/>
                <w:bCs/>
                <w:kern w:val="32"/>
                <w:sz w:val="18"/>
                <w:szCs w:val="18"/>
              </w:rPr>
              <w:t xml:space="preserve"> </w:t>
            </w:r>
          </w:p>
        </w:tc>
        <w:tc>
          <w:tcPr>
            <w:tcW w:w="1026" w:type="dxa"/>
            <w:shd w:val="clear" w:color="auto" w:fill="C8F1FF" w:themeFill="accent3" w:themeFillTint="33"/>
          </w:tcPr>
          <w:p w14:paraId="20B517FE" w14:textId="77777777"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p>
        </w:tc>
        <w:tc>
          <w:tcPr>
            <w:tcW w:w="440" w:type="dxa"/>
            <w:shd w:val="clear" w:color="auto" w:fill="C8F1FF" w:themeFill="accent3" w:themeFillTint="33"/>
          </w:tcPr>
          <w:p w14:paraId="5E66305B"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p>
        </w:tc>
      </w:tr>
      <w:tr w:rsidR="00B51FD5" w:rsidRPr="00A93CBE" w14:paraId="5CDAD7C4"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4499A5EE"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Has a check of the Register of Lobbyists been completed?</w:t>
            </w:r>
          </w:p>
        </w:tc>
        <w:tc>
          <w:tcPr>
            <w:tcW w:w="1026" w:type="dxa"/>
            <w:shd w:val="clear" w:color="auto" w:fill="auto"/>
          </w:tcPr>
          <w:p w14:paraId="557F7500" w14:textId="78EA0DF8" w:rsidR="00B51FD5" w:rsidRPr="00853BF5" w:rsidRDefault="0091140A">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20</w:t>
            </w:r>
          </w:p>
        </w:tc>
        <w:tc>
          <w:tcPr>
            <w:tcW w:w="440" w:type="dxa"/>
            <w:shd w:val="clear" w:color="auto" w:fill="auto"/>
          </w:tcPr>
          <w:p w14:paraId="15B85D2A"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75420C25"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tcPr>
          <w:p w14:paraId="52946D4B" w14:textId="7D05DEC6"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Has a</w:t>
            </w:r>
            <w:r w:rsidR="00D3562B">
              <w:t xml:space="preserve"> </w:t>
            </w:r>
            <w:r w:rsidR="00D3562B" w:rsidRPr="00D3562B">
              <w:rPr>
                <w:rFonts w:asciiTheme="minorHAnsi" w:eastAsia="MS Gothic" w:hAnsiTheme="minorHAnsi" w:cstheme="minorHAnsi"/>
                <w:b w:val="0"/>
                <w:color w:val="000000" w:themeColor="text1"/>
                <w:kern w:val="32"/>
                <w:sz w:val="18"/>
                <w:szCs w:val="18"/>
              </w:rPr>
              <w:t>Nationally Coordinated Criminal History Check</w:t>
            </w:r>
            <w:r w:rsidRPr="002D3554">
              <w:rPr>
                <w:rFonts w:asciiTheme="minorHAnsi" w:eastAsia="MS Gothic" w:hAnsiTheme="minorHAnsi" w:cstheme="minorHAnsi"/>
                <w:b w:val="0"/>
                <w:color w:val="000000" w:themeColor="text1"/>
                <w:kern w:val="32"/>
                <w:sz w:val="18"/>
                <w:szCs w:val="18"/>
              </w:rPr>
              <w:t xml:space="preserve"> been completed?</w:t>
            </w:r>
          </w:p>
        </w:tc>
        <w:tc>
          <w:tcPr>
            <w:tcW w:w="1026" w:type="dxa"/>
          </w:tcPr>
          <w:p w14:paraId="2331B016" w14:textId="5AABC638"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w:t>
            </w:r>
            <w:r w:rsidR="0091140A">
              <w:rPr>
                <w:rFonts w:eastAsia="MS Gothic" w:cstheme="minorHAnsi"/>
                <w:bCs/>
                <w:color w:val="000000" w:themeColor="text1"/>
                <w:kern w:val="32"/>
                <w:sz w:val="18"/>
                <w:szCs w:val="18"/>
              </w:rPr>
              <w:t>2</w:t>
            </w:r>
          </w:p>
        </w:tc>
        <w:tc>
          <w:tcPr>
            <w:tcW w:w="440" w:type="dxa"/>
          </w:tcPr>
          <w:p w14:paraId="443D0DAA"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7E2D3178"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01D8DC09"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Has an Australian Financial Security Authority, National Personal Insolvency Index check been completed?</w:t>
            </w:r>
          </w:p>
        </w:tc>
        <w:tc>
          <w:tcPr>
            <w:tcW w:w="1026" w:type="dxa"/>
            <w:shd w:val="clear" w:color="auto" w:fill="auto"/>
          </w:tcPr>
          <w:p w14:paraId="777DEAA8" w14:textId="58CECD6C"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w:t>
            </w:r>
            <w:r w:rsidR="0091140A">
              <w:rPr>
                <w:rFonts w:eastAsia="MS Gothic" w:cstheme="minorHAnsi"/>
                <w:bCs/>
                <w:color w:val="000000" w:themeColor="text1"/>
                <w:kern w:val="32"/>
                <w:sz w:val="18"/>
                <w:szCs w:val="18"/>
              </w:rPr>
              <w:t>2</w:t>
            </w:r>
          </w:p>
        </w:tc>
        <w:tc>
          <w:tcPr>
            <w:tcW w:w="440" w:type="dxa"/>
            <w:shd w:val="clear" w:color="auto" w:fill="auto"/>
          </w:tcPr>
          <w:p w14:paraId="34A02160"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36BC8383"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tcPr>
          <w:p w14:paraId="26CFC161"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Has a check of the Australian Securities and Investment Commission Register of Persons Banned and Disqualified been completed? </w:t>
            </w:r>
          </w:p>
        </w:tc>
        <w:tc>
          <w:tcPr>
            <w:tcW w:w="1026" w:type="dxa"/>
          </w:tcPr>
          <w:p w14:paraId="0B3A7897" w14:textId="1EACC472"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w:t>
            </w:r>
            <w:r w:rsidR="0091140A">
              <w:rPr>
                <w:rFonts w:eastAsia="MS Gothic" w:cstheme="minorHAnsi"/>
                <w:bCs/>
                <w:color w:val="000000" w:themeColor="text1"/>
                <w:kern w:val="32"/>
                <w:sz w:val="18"/>
                <w:szCs w:val="18"/>
              </w:rPr>
              <w:t>2</w:t>
            </w:r>
          </w:p>
        </w:tc>
        <w:tc>
          <w:tcPr>
            <w:tcW w:w="440" w:type="dxa"/>
          </w:tcPr>
          <w:p w14:paraId="5D30DDDE"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32E59AA0"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790E07B6"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Have other background checks been completed (e.g. web search, LinkedIn, social media)? </w:t>
            </w:r>
          </w:p>
        </w:tc>
        <w:tc>
          <w:tcPr>
            <w:tcW w:w="1026" w:type="dxa"/>
            <w:shd w:val="clear" w:color="auto" w:fill="auto"/>
          </w:tcPr>
          <w:p w14:paraId="2A4ACA21" w14:textId="642022DE"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w:t>
            </w:r>
            <w:r w:rsidR="005E28AD">
              <w:rPr>
                <w:rFonts w:eastAsia="MS Gothic" w:cstheme="minorHAnsi"/>
                <w:bCs/>
                <w:color w:val="000000" w:themeColor="text1"/>
                <w:kern w:val="32"/>
                <w:sz w:val="18"/>
                <w:szCs w:val="18"/>
              </w:rPr>
              <w:t>2</w:t>
            </w:r>
          </w:p>
        </w:tc>
        <w:tc>
          <w:tcPr>
            <w:tcW w:w="440" w:type="dxa"/>
            <w:shd w:val="clear" w:color="auto" w:fill="auto"/>
          </w:tcPr>
          <w:p w14:paraId="123914F4"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4F6C4D55"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tcPr>
          <w:p w14:paraId="2D69B8A1"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lastRenderedPageBreak/>
              <w:t xml:space="preserve">Has a Declaration of Private Interests been completed to the satisfaction of the Minister? </w:t>
            </w:r>
          </w:p>
        </w:tc>
        <w:tc>
          <w:tcPr>
            <w:tcW w:w="1026" w:type="dxa"/>
          </w:tcPr>
          <w:p w14:paraId="4BDCBD6C" w14:textId="59609C10"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w:t>
            </w:r>
            <w:r w:rsidR="00986A04">
              <w:rPr>
                <w:rFonts w:eastAsia="MS Gothic" w:cstheme="minorHAnsi"/>
                <w:bCs/>
                <w:color w:val="000000" w:themeColor="text1"/>
                <w:kern w:val="32"/>
                <w:sz w:val="18"/>
                <w:szCs w:val="18"/>
              </w:rPr>
              <w:t>3</w:t>
            </w:r>
          </w:p>
        </w:tc>
        <w:tc>
          <w:tcPr>
            <w:tcW w:w="440" w:type="dxa"/>
          </w:tcPr>
          <w:p w14:paraId="6E5BB644"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17E707C3"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08DF8ED3"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Is there a real or perceived conflict of interest between the candidate’s private interests and this appointment?</w:t>
            </w:r>
          </w:p>
        </w:tc>
        <w:tc>
          <w:tcPr>
            <w:tcW w:w="1026" w:type="dxa"/>
            <w:shd w:val="clear" w:color="auto" w:fill="auto"/>
          </w:tcPr>
          <w:p w14:paraId="0376D912" w14:textId="16977CC6"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w:t>
            </w:r>
            <w:r w:rsidR="00986A04">
              <w:rPr>
                <w:rFonts w:eastAsia="MS Gothic" w:cstheme="minorHAnsi"/>
                <w:bCs/>
                <w:color w:val="000000" w:themeColor="text1"/>
                <w:kern w:val="32"/>
                <w:sz w:val="18"/>
                <w:szCs w:val="18"/>
              </w:rPr>
              <w:t>3</w:t>
            </w:r>
          </w:p>
        </w:tc>
        <w:tc>
          <w:tcPr>
            <w:tcW w:w="440" w:type="dxa"/>
            <w:shd w:val="clear" w:color="auto" w:fill="auto"/>
          </w:tcPr>
          <w:p w14:paraId="017245A9"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bookmarkStart w:id="224" w:name="_Hlk147133112"/>
            <w:r w:rsidRPr="005E215C">
              <w:rPr>
                <w:rFonts w:ascii="Wingdings 2" w:eastAsia="Wingdings 2" w:hAnsi="Wingdings 2" w:cstheme="minorHAnsi"/>
                <w:color w:val="000000" w:themeColor="text1"/>
                <w:kern w:val="32"/>
                <w:sz w:val="18"/>
                <w:szCs w:val="18"/>
              </w:rPr>
              <w:sym w:font="Wingdings 2" w:char="F0A3"/>
            </w:r>
            <w:bookmarkEnd w:id="224"/>
          </w:p>
        </w:tc>
      </w:tr>
      <w:tr w:rsidR="00B51FD5" w:rsidRPr="00A93CBE" w14:paraId="001D22AE" w14:textId="77777777" w:rsidTr="00C919D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8613" w:type="dxa"/>
            <w:shd w:val="clear" w:color="auto" w:fill="C8F1FF" w:themeFill="accent3" w:themeFillTint="33"/>
          </w:tcPr>
          <w:p w14:paraId="1521937E" w14:textId="77777777" w:rsidR="00B51FD5" w:rsidRPr="005E215C" w:rsidRDefault="00B51FD5" w:rsidP="00C919DC">
            <w:pPr>
              <w:pStyle w:val="DPCtabletext"/>
              <w:spacing w:before="120" w:after="120"/>
              <w:rPr>
                <w:rFonts w:asciiTheme="minorHAnsi" w:eastAsia="MS Gothic" w:hAnsiTheme="minorHAnsi" w:cstheme="minorHAnsi"/>
                <w:bCs/>
                <w:kern w:val="32"/>
                <w:sz w:val="18"/>
                <w:szCs w:val="18"/>
              </w:rPr>
            </w:pPr>
            <w:r w:rsidRPr="00C919DC">
              <w:rPr>
                <w:rFonts w:asciiTheme="minorHAnsi" w:eastAsia="MS Gothic" w:hAnsiTheme="minorHAnsi"/>
                <w:sz w:val="18"/>
                <w:szCs w:val="18"/>
              </w:rPr>
              <w:t>S</w:t>
            </w:r>
            <w:r>
              <w:rPr>
                <w:rFonts w:asciiTheme="minorHAnsi" w:eastAsia="MS Gothic" w:hAnsiTheme="minorHAnsi" w:cstheme="minorHAnsi"/>
                <w:bCs/>
                <w:kern w:val="32"/>
                <w:sz w:val="18"/>
                <w:szCs w:val="18"/>
              </w:rPr>
              <w:t>ections</w:t>
            </w:r>
            <w:r w:rsidRPr="005E215C">
              <w:rPr>
                <w:rFonts w:asciiTheme="minorHAnsi" w:eastAsia="MS Gothic" w:hAnsiTheme="minorHAnsi" w:cstheme="minorHAnsi"/>
                <w:bCs/>
                <w:kern w:val="32"/>
                <w:sz w:val="18"/>
                <w:szCs w:val="18"/>
              </w:rPr>
              <w:t xml:space="preserve"> 6 </w:t>
            </w:r>
            <w:r>
              <w:rPr>
                <w:rFonts w:asciiTheme="minorHAnsi" w:eastAsia="MS Gothic" w:hAnsiTheme="minorHAnsi" w:cstheme="minorHAnsi"/>
                <w:bCs/>
                <w:kern w:val="32"/>
                <w:sz w:val="18"/>
                <w:szCs w:val="18"/>
              </w:rPr>
              <w:t>– 8:</w:t>
            </w:r>
            <w:r w:rsidRPr="005E215C">
              <w:rPr>
                <w:rFonts w:asciiTheme="minorHAnsi" w:eastAsia="MS Gothic" w:hAnsiTheme="minorHAnsi" w:cstheme="minorHAnsi"/>
                <w:bCs/>
                <w:kern w:val="32"/>
                <w:sz w:val="18"/>
                <w:szCs w:val="18"/>
              </w:rPr>
              <w:t xml:space="preserve"> Remuneration</w:t>
            </w:r>
          </w:p>
        </w:tc>
        <w:tc>
          <w:tcPr>
            <w:tcW w:w="1026" w:type="dxa"/>
            <w:shd w:val="clear" w:color="auto" w:fill="C8F1FF" w:themeFill="accent3" w:themeFillTint="33"/>
          </w:tcPr>
          <w:p w14:paraId="44240AF9" w14:textId="77777777"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p>
        </w:tc>
        <w:tc>
          <w:tcPr>
            <w:tcW w:w="440" w:type="dxa"/>
            <w:shd w:val="clear" w:color="auto" w:fill="C8F1FF" w:themeFill="accent3" w:themeFillTint="33"/>
          </w:tcPr>
          <w:p w14:paraId="35C5CB83"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p>
        </w:tc>
      </w:tr>
      <w:tr w:rsidR="00B51FD5" w:rsidRPr="00A93CBE" w14:paraId="1C707BB4"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78C828A0" w14:textId="62D56A0D"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If the appointment </w:t>
            </w:r>
            <w:r w:rsidR="00986A04">
              <w:rPr>
                <w:rFonts w:asciiTheme="minorHAnsi" w:eastAsia="MS Gothic" w:hAnsiTheme="minorHAnsi" w:cstheme="minorHAnsi"/>
                <w:b w:val="0"/>
                <w:color w:val="000000" w:themeColor="text1"/>
                <w:kern w:val="32"/>
                <w:sz w:val="18"/>
                <w:szCs w:val="18"/>
              </w:rPr>
              <w:t>is</w:t>
            </w:r>
            <w:r w:rsidRPr="002D3554">
              <w:rPr>
                <w:rFonts w:asciiTheme="minorHAnsi" w:eastAsia="MS Gothic" w:hAnsiTheme="minorHAnsi" w:cstheme="minorHAnsi"/>
                <w:b w:val="0"/>
                <w:color w:val="000000" w:themeColor="text1"/>
                <w:kern w:val="32"/>
                <w:sz w:val="18"/>
                <w:szCs w:val="18"/>
              </w:rPr>
              <w:t xml:space="preserve"> to a governance board, is remuneration proposed?</w:t>
            </w:r>
          </w:p>
        </w:tc>
        <w:tc>
          <w:tcPr>
            <w:tcW w:w="1026" w:type="dxa"/>
            <w:shd w:val="clear" w:color="auto" w:fill="auto"/>
          </w:tcPr>
          <w:p w14:paraId="31CB83E7" w14:textId="6B3193E7"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w:t>
            </w:r>
            <w:r w:rsidR="00CC36EE">
              <w:rPr>
                <w:rFonts w:eastAsia="MS Gothic" w:cstheme="minorHAnsi"/>
                <w:bCs/>
                <w:color w:val="000000" w:themeColor="text1"/>
                <w:kern w:val="32"/>
                <w:sz w:val="18"/>
                <w:szCs w:val="18"/>
              </w:rPr>
              <w:t>7</w:t>
            </w:r>
          </w:p>
        </w:tc>
        <w:tc>
          <w:tcPr>
            <w:tcW w:w="440" w:type="dxa"/>
            <w:shd w:val="clear" w:color="auto" w:fill="auto"/>
          </w:tcPr>
          <w:p w14:paraId="67900DDB"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6DA0F3BB"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tcPr>
          <w:p w14:paraId="22466682"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Is the remuneration in accordance with the relevant classification for the board? </w:t>
            </w:r>
          </w:p>
        </w:tc>
        <w:tc>
          <w:tcPr>
            <w:tcW w:w="1026" w:type="dxa"/>
          </w:tcPr>
          <w:p w14:paraId="01D752F6" w14:textId="7A0C5896"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w:t>
            </w:r>
            <w:r w:rsidR="00CC36EE">
              <w:rPr>
                <w:rFonts w:eastAsia="MS Gothic" w:cstheme="minorHAnsi"/>
                <w:bCs/>
                <w:color w:val="000000" w:themeColor="text1"/>
                <w:kern w:val="32"/>
                <w:sz w:val="18"/>
                <w:szCs w:val="18"/>
              </w:rPr>
              <w:t>7</w:t>
            </w:r>
          </w:p>
        </w:tc>
        <w:tc>
          <w:tcPr>
            <w:tcW w:w="440" w:type="dxa"/>
          </w:tcPr>
          <w:p w14:paraId="3C9650A7"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744551F2"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52B32E57"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If the appointee is being paid a daily rate, provide context in the Ministerial brief or Cabinet submission (e.g. number of meetings per year). </w:t>
            </w:r>
          </w:p>
        </w:tc>
        <w:tc>
          <w:tcPr>
            <w:tcW w:w="1026" w:type="dxa"/>
            <w:shd w:val="clear" w:color="auto" w:fill="auto"/>
          </w:tcPr>
          <w:p w14:paraId="3F059E8A" w14:textId="411ACA6D"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2</w:t>
            </w:r>
            <w:r w:rsidR="00743809">
              <w:rPr>
                <w:rFonts w:eastAsia="MS Gothic" w:cstheme="minorHAnsi"/>
                <w:bCs/>
                <w:color w:val="000000" w:themeColor="text1"/>
                <w:kern w:val="32"/>
                <w:sz w:val="18"/>
                <w:szCs w:val="18"/>
              </w:rPr>
              <w:t>7</w:t>
            </w:r>
          </w:p>
        </w:tc>
        <w:tc>
          <w:tcPr>
            <w:tcW w:w="440" w:type="dxa"/>
            <w:shd w:val="clear" w:color="auto" w:fill="auto"/>
          </w:tcPr>
          <w:p w14:paraId="559FF34A"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21C8AEE2"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tcPr>
          <w:p w14:paraId="2265989E"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Is the candidate a public sector employee? If yes, can they be remunerated? </w:t>
            </w:r>
          </w:p>
        </w:tc>
        <w:tc>
          <w:tcPr>
            <w:tcW w:w="1026" w:type="dxa"/>
          </w:tcPr>
          <w:p w14:paraId="2E9CA7DC" w14:textId="5053B308" w:rsidR="00B51FD5" w:rsidRPr="00853BF5" w:rsidRDefault="00827D9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30</w:t>
            </w:r>
          </w:p>
        </w:tc>
        <w:tc>
          <w:tcPr>
            <w:tcW w:w="440" w:type="dxa"/>
          </w:tcPr>
          <w:p w14:paraId="4AE0812E"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09EA1504"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2AE9E088"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 xml:space="preserve">Has the candidate accepted a Victorian public sector Voluntary Departure Package in the last three years? </w:t>
            </w:r>
          </w:p>
        </w:tc>
        <w:tc>
          <w:tcPr>
            <w:tcW w:w="1026" w:type="dxa"/>
            <w:shd w:val="clear" w:color="auto" w:fill="auto"/>
          </w:tcPr>
          <w:p w14:paraId="69577F5F" w14:textId="017AA2DE"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3</w:t>
            </w:r>
            <w:r w:rsidR="009A1F68">
              <w:rPr>
                <w:rFonts w:eastAsia="MS Gothic" w:cstheme="minorHAnsi"/>
                <w:bCs/>
                <w:color w:val="000000" w:themeColor="text1"/>
                <w:kern w:val="32"/>
                <w:sz w:val="18"/>
                <w:szCs w:val="18"/>
              </w:rPr>
              <w:t>1</w:t>
            </w:r>
          </w:p>
        </w:tc>
        <w:tc>
          <w:tcPr>
            <w:tcW w:w="440" w:type="dxa"/>
            <w:shd w:val="clear" w:color="auto" w:fill="auto"/>
          </w:tcPr>
          <w:p w14:paraId="5CBE41AB"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251B07D0" w14:textId="77777777" w:rsidTr="00C919D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13" w:type="dxa"/>
            <w:shd w:val="clear" w:color="auto" w:fill="C8F1FF" w:themeFill="accent3" w:themeFillTint="33"/>
          </w:tcPr>
          <w:p w14:paraId="7434F066" w14:textId="77777777" w:rsidR="00B51FD5" w:rsidRPr="009A1F68" w:rsidRDefault="00B51FD5" w:rsidP="00C919DC">
            <w:pPr>
              <w:pStyle w:val="DPCtabletext"/>
              <w:spacing w:before="120" w:after="120"/>
              <w:rPr>
                <w:rFonts w:asciiTheme="minorHAnsi" w:eastAsia="MS Gothic" w:hAnsiTheme="minorHAnsi" w:cstheme="minorHAnsi"/>
                <w:bCs/>
                <w:kern w:val="32"/>
                <w:sz w:val="18"/>
                <w:szCs w:val="18"/>
              </w:rPr>
            </w:pPr>
            <w:r w:rsidRPr="00C919DC">
              <w:rPr>
                <w:rFonts w:asciiTheme="minorHAnsi" w:eastAsia="MS Gothic" w:hAnsiTheme="minorHAnsi"/>
                <w:sz w:val="18"/>
                <w:szCs w:val="18"/>
              </w:rPr>
              <w:t>Section 9: Approval process</w:t>
            </w:r>
          </w:p>
        </w:tc>
        <w:tc>
          <w:tcPr>
            <w:tcW w:w="1026" w:type="dxa"/>
            <w:shd w:val="clear" w:color="auto" w:fill="C8F1FF" w:themeFill="accent3" w:themeFillTint="33"/>
          </w:tcPr>
          <w:p w14:paraId="2DF770DE" w14:textId="77777777" w:rsidR="00B51FD5" w:rsidRPr="00853BF5"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p>
        </w:tc>
        <w:tc>
          <w:tcPr>
            <w:tcW w:w="440" w:type="dxa"/>
            <w:shd w:val="clear" w:color="auto" w:fill="C8F1FF" w:themeFill="accent3" w:themeFillTint="33"/>
          </w:tcPr>
          <w:p w14:paraId="08B1B936"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p>
        </w:tc>
      </w:tr>
      <w:tr w:rsidR="00B51FD5" w:rsidRPr="00A93CBE" w14:paraId="421FB14C"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19077D13"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Is the board created under legislation? Do appointments need to be approved by Cabinet and/or made by the Governor-in-Council?</w:t>
            </w:r>
          </w:p>
        </w:tc>
        <w:tc>
          <w:tcPr>
            <w:tcW w:w="1026" w:type="dxa"/>
            <w:shd w:val="clear" w:color="auto" w:fill="auto"/>
          </w:tcPr>
          <w:p w14:paraId="4F55F275" w14:textId="5E32EA66" w:rsidR="00B51FD5" w:rsidRPr="00853BF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3</w:t>
            </w:r>
            <w:r w:rsidR="009A1F68">
              <w:rPr>
                <w:rFonts w:eastAsia="MS Gothic" w:cstheme="minorHAnsi"/>
                <w:bCs/>
                <w:color w:val="000000" w:themeColor="text1"/>
                <w:kern w:val="32"/>
                <w:sz w:val="18"/>
                <w:szCs w:val="18"/>
              </w:rPr>
              <w:t>4</w:t>
            </w:r>
          </w:p>
        </w:tc>
        <w:tc>
          <w:tcPr>
            <w:tcW w:w="440" w:type="dxa"/>
            <w:shd w:val="clear" w:color="auto" w:fill="auto"/>
          </w:tcPr>
          <w:p w14:paraId="2F4340F5"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49D288C5" w14:textId="77777777" w:rsidTr="00C919D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tcPr>
          <w:p w14:paraId="54E19696"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Is the instrument of appointment and resume for the appointee(s) included in the Cabinet submission?</w:t>
            </w:r>
          </w:p>
        </w:tc>
        <w:tc>
          <w:tcPr>
            <w:tcW w:w="1026" w:type="dxa"/>
          </w:tcPr>
          <w:p w14:paraId="6D5ADA7F" w14:textId="400455A8"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rPr>
            </w:pPr>
            <w:r>
              <w:rPr>
                <w:rFonts w:eastAsia="MS Gothic" w:cstheme="minorHAnsi"/>
                <w:bCs/>
                <w:color w:val="000000" w:themeColor="text1"/>
                <w:kern w:val="32"/>
                <w:sz w:val="18"/>
                <w:szCs w:val="18"/>
              </w:rPr>
              <w:t>3</w:t>
            </w:r>
            <w:r w:rsidR="001F7728">
              <w:rPr>
                <w:rFonts w:eastAsia="MS Gothic" w:cstheme="minorHAnsi"/>
                <w:bCs/>
                <w:color w:val="000000" w:themeColor="text1"/>
                <w:kern w:val="32"/>
                <w:sz w:val="18"/>
                <w:szCs w:val="18"/>
              </w:rPr>
              <w:t>4</w:t>
            </w:r>
          </w:p>
        </w:tc>
        <w:tc>
          <w:tcPr>
            <w:tcW w:w="440" w:type="dxa"/>
          </w:tcPr>
          <w:p w14:paraId="517D2A74" w14:textId="77777777" w:rsidR="00B51FD5" w:rsidRPr="005E215C" w:rsidRDefault="00B51FD5">
            <w:pPr>
              <w:jc w:val="center"/>
              <w:cnfStyle w:val="000000100000" w:firstRow="0" w:lastRow="0" w:firstColumn="0" w:lastColumn="0" w:oddVBand="0" w:evenVBand="0" w:oddHBand="1" w:evenHBand="0"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r w:rsidR="00B51FD5" w:rsidRPr="00A93CBE" w14:paraId="15364AC1" w14:textId="77777777" w:rsidTr="00C919D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14:paraId="2CD5C53C" w14:textId="77777777" w:rsidR="00B51FD5" w:rsidRPr="002D3554" w:rsidRDefault="00B51FD5">
            <w:pPr>
              <w:contextualSpacing/>
              <w:rPr>
                <w:rFonts w:asciiTheme="minorHAnsi" w:eastAsia="MS Gothic" w:hAnsiTheme="minorHAnsi" w:cstheme="minorHAnsi"/>
                <w:b w:val="0"/>
                <w:color w:val="000000" w:themeColor="text1"/>
                <w:kern w:val="32"/>
                <w:sz w:val="18"/>
                <w:szCs w:val="18"/>
              </w:rPr>
            </w:pPr>
            <w:r w:rsidRPr="002D3554">
              <w:rPr>
                <w:rFonts w:asciiTheme="minorHAnsi" w:eastAsia="MS Gothic" w:hAnsiTheme="minorHAnsi" w:cstheme="minorHAnsi"/>
                <w:b w:val="0"/>
                <w:color w:val="000000" w:themeColor="text1"/>
                <w:kern w:val="32"/>
                <w:sz w:val="18"/>
                <w:szCs w:val="18"/>
              </w:rPr>
              <w:t>Is the submission being brought to Cabinet within three months of the appointment term commencing?</w:t>
            </w:r>
          </w:p>
        </w:tc>
        <w:tc>
          <w:tcPr>
            <w:tcW w:w="1026" w:type="dxa"/>
            <w:shd w:val="clear" w:color="auto" w:fill="auto"/>
          </w:tcPr>
          <w:p w14:paraId="1FFC5635" w14:textId="7CC5564B" w:rsidR="00B51FD5"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Pr>
                <w:rFonts w:eastAsia="MS Gothic" w:cstheme="minorHAnsi"/>
                <w:bCs/>
                <w:color w:val="000000" w:themeColor="text1"/>
                <w:kern w:val="32"/>
                <w:sz w:val="18"/>
                <w:szCs w:val="18"/>
              </w:rPr>
              <w:t>1</w:t>
            </w:r>
            <w:r w:rsidR="001F7728">
              <w:rPr>
                <w:rFonts w:eastAsia="MS Gothic" w:cstheme="minorHAnsi"/>
                <w:bCs/>
                <w:color w:val="000000" w:themeColor="text1"/>
                <w:kern w:val="32"/>
                <w:sz w:val="18"/>
                <w:szCs w:val="18"/>
              </w:rPr>
              <w:t>1</w:t>
            </w:r>
          </w:p>
        </w:tc>
        <w:tc>
          <w:tcPr>
            <w:tcW w:w="440" w:type="dxa"/>
            <w:shd w:val="clear" w:color="auto" w:fill="auto"/>
          </w:tcPr>
          <w:p w14:paraId="2E83E6B4" w14:textId="77777777" w:rsidR="00B51FD5" w:rsidRPr="005E215C" w:rsidRDefault="00B51FD5">
            <w:pPr>
              <w:jc w:val="center"/>
              <w:cnfStyle w:val="000000010000" w:firstRow="0" w:lastRow="0" w:firstColumn="0" w:lastColumn="0" w:oddVBand="0" w:evenVBand="0" w:oddHBand="0" w:evenHBand="1" w:firstRowFirstColumn="0" w:firstRowLastColumn="0" w:lastRowFirstColumn="0" w:lastRowLastColumn="0"/>
              <w:rPr>
                <w:rFonts w:eastAsia="MS Gothic" w:cstheme="minorHAnsi"/>
                <w:bCs/>
                <w:color w:val="000000" w:themeColor="text1"/>
                <w:kern w:val="32"/>
                <w:sz w:val="18"/>
                <w:szCs w:val="18"/>
              </w:rPr>
            </w:pPr>
            <w:r w:rsidRPr="005E215C">
              <w:rPr>
                <w:rFonts w:ascii="Wingdings 2" w:eastAsia="Wingdings 2" w:hAnsi="Wingdings 2" w:cstheme="minorHAnsi"/>
                <w:color w:val="000000" w:themeColor="text1"/>
                <w:kern w:val="32"/>
                <w:sz w:val="18"/>
                <w:szCs w:val="18"/>
              </w:rPr>
              <w:sym w:font="Wingdings 2" w:char="F0A3"/>
            </w:r>
          </w:p>
        </w:tc>
      </w:tr>
    </w:tbl>
    <w:p w14:paraId="5EDE8CE7" w14:textId="77777777" w:rsidR="00B51FD5" w:rsidRPr="00B85DE8" w:rsidRDefault="00B51FD5" w:rsidP="00B51FD5">
      <w:pPr>
        <w:pStyle w:val="DPCbody"/>
      </w:pPr>
    </w:p>
    <w:p w14:paraId="5D5205B5" w14:textId="77777777" w:rsidR="00750859" w:rsidRDefault="00750859">
      <w:pPr>
        <w:rPr>
          <w:color w:val="000000" w:themeColor="text1"/>
        </w:rPr>
      </w:pPr>
    </w:p>
    <w:bookmarkEnd w:id="17"/>
    <w:bookmarkEnd w:id="18"/>
    <w:bookmarkEnd w:id="19"/>
    <w:bookmarkEnd w:id="20"/>
    <w:bookmarkEnd w:id="21"/>
    <w:p w14:paraId="6AB85BD6" w14:textId="33E52F13" w:rsidR="00EE05C6" w:rsidRPr="00125B3E" w:rsidRDefault="00EE05C6" w:rsidP="00125B3E">
      <w:pPr>
        <w:pStyle w:val="BodyText"/>
        <w:sectPr w:rsidR="00EE05C6" w:rsidRPr="00125B3E" w:rsidSect="00291C5A">
          <w:headerReference w:type="default" r:id="rId81"/>
          <w:footerReference w:type="default" r:id="rId82"/>
          <w:footnotePr>
            <w:numRestart w:val="eachSect"/>
          </w:footnotePr>
          <w:pgSz w:w="11901" w:h="16817"/>
          <w:pgMar w:top="1134" w:right="851" w:bottom="1134" w:left="851" w:header="284" w:footer="284" w:gutter="0"/>
          <w:cols w:space="720"/>
          <w:docGrid w:linePitch="272"/>
        </w:sectPr>
      </w:pPr>
    </w:p>
    <w:p w14:paraId="3DA823B8" w14:textId="77777777" w:rsidR="00B639AD" w:rsidRPr="00CD0960" w:rsidRDefault="00B639AD" w:rsidP="00B639AD">
      <w:pPr>
        <w:pStyle w:val="Coverurl"/>
        <w:framePr w:wrap="around" w:x="852" w:anchorLock="1"/>
        <w:rPr>
          <w:rStyle w:val="Hyperlink"/>
        </w:rPr>
      </w:pPr>
      <w:r>
        <w:lastRenderedPageBreak/>
        <w:fldChar w:fldCharType="begin"/>
      </w:r>
      <w:r>
        <w:instrText>HYPERLINK "http://vic.gov.au/dpc" \o "Visit DPC"</w:instrText>
      </w:r>
      <w:r>
        <w:fldChar w:fldCharType="separate"/>
      </w:r>
      <w:r w:rsidRPr="00CD0960">
        <w:rPr>
          <w:rStyle w:val="Hyperlink"/>
        </w:rPr>
        <w:t>dpc.vic.gov.au</w:t>
      </w:r>
    </w:p>
    <w:p w14:paraId="766F10CC" w14:textId="77777777" w:rsidR="00380906" w:rsidRPr="003B3A76" w:rsidRDefault="00B639AD" w:rsidP="00B639AD">
      <w:pPr>
        <w:pStyle w:val="BodyText12ptAccessible"/>
        <w:rPr>
          <w:rStyle w:val="Strong"/>
          <w:color w:val="FFFFFF" w:themeColor="background1"/>
        </w:rPr>
      </w:pPr>
      <w:r>
        <w:rPr>
          <w:color w:val="201547" w:themeColor="text2"/>
          <w:lang w:eastAsia="en-AU"/>
        </w:rPr>
        <w:fldChar w:fldCharType="end"/>
      </w:r>
      <w:r>
        <w:rPr>
          <w:rFonts w:ascii="VIC SemiBold" w:hAnsi="VIC SemiBold"/>
          <w:bCs/>
          <w:noProof/>
          <w:color w:val="FFFFFF" w:themeColor="background1"/>
        </w:rPr>
        <mc:AlternateContent>
          <mc:Choice Requires="wps">
            <w:drawing>
              <wp:anchor distT="0" distB="0" distL="114300" distR="114300" simplePos="0" relativeHeight="251658241" behindDoc="1" locked="1" layoutInCell="1" allowOverlap="1" wp14:anchorId="0C1F7AEA" wp14:editId="2EBB0C72">
                <wp:simplePos x="0" y="0"/>
                <wp:positionH relativeFrom="page">
                  <wp:posOffset>0</wp:posOffset>
                </wp:positionH>
                <wp:positionV relativeFrom="page">
                  <wp:posOffset>0</wp:posOffset>
                </wp:positionV>
                <wp:extent cx="7560000" cy="9360000"/>
                <wp:effectExtent l="0" t="0" r="3175" b="0"/>
                <wp:wrapNone/>
                <wp:docPr id="196164162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936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30D4D" id="Rectangle 1" o:spid="_x0000_s1026" alt="&quot;&quot;" style="position:absolute;margin-left:0;margin-top:0;width:595.3pt;height:73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" fillcolor="#201547 [3215]" stroked="f" strokeweight="1pt">
                <w10:wrap anchorx="page" anchory="page"/>
                <w10:anchorlock/>
              </v:rect>
            </w:pict>
          </mc:Fallback>
        </mc:AlternateContent>
      </w:r>
      <w:r w:rsidR="00733A33" w:rsidRPr="003B3A76">
        <w:rPr>
          <w:rStyle w:val="Strong"/>
          <w:noProof/>
          <w:color w:val="FFFFFF" w:themeColor="background1"/>
        </w:rPr>
        <w:drawing>
          <wp:anchor distT="0" distB="0" distL="114300" distR="114300" simplePos="0" relativeHeight="251658240" behindDoc="1" locked="0" layoutInCell="1" allowOverlap="1" wp14:anchorId="58D9360C" wp14:editId="1FFB52E3">
            <wp:simplePos x="0" y="0"/>
            <wp:positionH relativeFrom="page">
              <wp:posOffset>5368290</wp:posOffset>
            </wp:positionH>
            <wp:positionV relativeFrom="page">
              <wp:posOffset>9699244</wp:posOffset>
            </wp:positionV>
            <wp:extent cx="1818000" cy="540000"/>
            <wp:effectExtent l="0" t="0" r="0" b="0"/>
            <wp:wrapNone/>
            <wp:docPr id="178760192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1925" name="Graphic 1">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1818000" cy="540000"/>
                    </a:xfrm>
                    <a:prstGeom prst="rect">
                      <a:avLst/>
                    </a:prstGeom>
                  </pic:spPr>
                </pic:pic>
              </a:graphicData>
            </a:graphic>
            <wp14:sizeRelH relativeFrom="margin">
              <wp14:pctWidth>0</wp14:pctWidth>
            </wp14:sizeRelH>
            <wp14:sizeRelV relativeFrom="margin">
              <wp14:pctHeight>0</wp14:pctHeight>
            </wp14:sizeRelV>
          </wp:anchor>
        </w:drawing>
      </w:r>
    </w:p>
    <w:sectPr w:rsidR="00380906" w:rsidRPr="003B3A76" w:rsidSect="00BB5F09">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7793F" w14:textId="77777777" w:rsidR="00483CC7" w:rsidRDefault="00483CC7" w:rsidP="00921FD3">
      <w:r>
        <w:separator/>
      </w:r>
    </w:p>
    <w:p w14:paraId="56632905" w14:textId="77777777" w:rsidR="00483CC7" w:rsidRDefault="00483CC7"/>
    <w:p w14:paraId="35299B6E" w14:textId="77777777" w:rsidR="00483CC7" w:rsidRDefault="00483CC7"/>
    <w:p w14:paraId="183C930B" w14:textId="77777777" w:rsidR="00483CC7" w:rsidRDefault="00483CC7"/>
    <w:p w14:paraId="66E1DCCB" w14:textId="77777777" w:rsidR="00483CC7" w:rsidRDefault="00483CC7"/>
    <w:p w14:paraId="01E042BF" w14:textId="77777777" w:rsidR="00483CC7" w:rsidRDefault="00483CC7"/>
  </w:endnote>
  <w:endnote w:type="continuationSeparator" w:id="0">
    <w:p w14:paraId="655DF29C" w14:textId="77777777" w:rsidR="00483CC7" w:rsidRDefault="00483CC7" w:rsidP="00921FD3">
      <w:r>
        <w:continuationSeparator/>
      </w:r>
    </w:p>
    <w:p w14:paraId="603138F7" w14:textId="77777777" w:rsidR="00483CC7" w:rsidRDefault="00483CC7"/>
    <w:p w14:paraId="5B6343F4" w14:textId="77777777" w:rsidR="00483CC7" w:rsidRDefault="00483CC7"/>
    <w:p w14:paraId="0A32DAE2" w14:textId="77777777" w:rsidR="00483CC7" w:rsidRDefault="00483CC7"/>
    <w:p w14:paraId="5C03D183" w14:textId="77777777" w:rsidR="00483CC7" w:rsidRDefault="00483CC7"/>
    <w:p w14:paraId="19897E63" w14:textId="77777777" w:rsidR="00483CC7" w:rsidRDefault="00483CC7"/>
  </w:endnote>
  <w:endnote w:type="continuationNotice" w:id="1">
    <w:p w14:paraId="1B79F335" w14:textId="77777777" w:rsidR="00483CC7" w:rsidRDefault="00483CC7"/>
    <w:p w14:paraId="30740129" w14:textId="77777777" w:rsidR="00483CC7" w:rsidRDefault="00483CC7"/>
    <w:p w14:paraId="6D5D519E" w14:textId="77777777" w:rsidR="00483CC7" w:rsidRDefault="00483CC7"/>
    <w:p w14:paraId="3010FE6E" w14:textId="77777777" w:rsidR="00483CC7" w:rsidRDefault="00483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F1535905-8318-420B-8FB4-378D37A246A5}"/>
    <w:embedBold r:id="rId2" w:fontKey="{84F8AF7B-54C8-4E27-A09E-48E3485C9F35}"/>
    <w:embedItalic r:id="rId3" w:fontKey="{1D035619-B0FD-4B01-8DA0-A58E006D8944}"/>
    <w:embedBoldItalic r:id="rId4" w:fontKey="{B13EBED9-5AF5-4570-B3EB-01F92CE2FAEA}"/>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5" w:fontKey="{B13F5897-A8E5-42D8-A12C-1F3BC51B4134}"/>
    <w:embedBold r:id="rId6" w:fontKey="{5C659E8E-69A5-408A-B69B-944F0A3FB800}"/>
  </w:font>
  <w:font w:name="Calibri">
    <w:panose1 w:val="020F0502020204030204"/>
    <w:charset w:val="00"/>
    <w:family w:val="swiss"/>
    <w:pitch w:val="variable"/>
    <w:sig w:usb0="E4002EFF" w:usb1="C000247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7" w:subsetted="1" w:fontKey="{83B20574-6321-450E-B4F3-59DF8E4177F5}"/>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embedRegular r:id="rId8" w:fontKey="{62EA63FD-1AE7-40A2-AC2A-B6B8B75496C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8223" w14:textId="77777777" w:rsidR="002A4E35" w:rsidRDefault="002A4E35"/>
  <w:p w14:paraId="4AC46463" w14:textId="77777777" w:rsidR="00BF70EB" w:rsidRDefault="00BF70EB">
    <w:pPr>
      <w:pStyle w:val="Footer"/>
    </w:pPr>
  </w:p>
  <w:p w14:paraId="6B4C048D" w14:textId="77777777" w:rsidR="002A4E35" w:rsidRDefault="002A4E35"/>
  <w:p w14:paraId="5E578637" w14:textId="77777777" w:rsidR="002A4E35" w:rsidRDefault="002A4E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60A7" w14:textId="77777777" w:rsidR="00B93E20" w:rsidRPr="008F0B7B" w:rsidRDefault="00F1480A" w:rsidP="00E7598F">
    <w:pPr>
      <w:pStyle w:val="Footer"/>
    </w:pPr>
    <w:r>
      <w:rPr>
        <w:noProof/>
      </w:rPr>
      <mc:AlternateContent>
        <mc:Choice Requires="wps">
          <w:drawing>
            <wp:anchor distT="0" distB="0" distL="0" distR="0" simplePos="0" relativeHeight="251658240" behindDoc="0" locked="0" layoutInCell="1" allowOverlap="1" wp14:anchorId="12C1BE44" wp14:editId="2DACE130">
              <wp:simplePos x="0" y="0"/>
              <wp:positionH relativeFrom="page">
                <wp:align>left</wp:align>
              </wp:positionH>
              <wp:positionV relativeFrom="page">
                <wp:align>bottom</wp:align>
              </wp:positionV>
              <wp:extent cx="759460" cy="361315"/>
              <wp:effectExtent l="0" t="0" r="2540" b="0"/>
              <wp:wrapNone/>
              <wp:docPr id="61169039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0BBF2CE5" w14:textId="77777777" w:rsidR="00F1480A" w:rsidRPr="00F1480A" w:rsidRDefault="00F1480A" w:rsidP="00F1480A">
                          <w:pPr>
                            <w:rPr>
                              <w:noProof/>
                              <w:color w:val="000000"/>
                              <w:sz w:val="22"/>
                              <w:szCs w:val="22"/>
                            </w:rPr>
                          </w:pPr>
                          <w:r w:rsidRPr="00F1480A">
                            <w:rPr>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C1BE44" id="_x0000_t202" coordsize="21600,21600" o:spt="202" path="m,l,21600r21600,l21600,xe">
              <v:stroke joinstyle="miter"/>
              <v:path gradientshapeok="t" o:connecttype="rect"/>
            </v:shapetype>
            <v:shape id="Text Box 2" o:spid="_x0000_s1044" type="#_x0000_t202" alt="OFFICIAL" style="position:absolute;margin-left:0;margin-top:0;width:59.8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" filled="f" stroked="f">
              <v:textbox style="mso-fit-shape-to-text:t" inset="20pt,0,0,15pt">
                <w:txbxContent>
                  <w:p w14:paraId="0BBF2CE5" w14:textId="77777777" w:rsidR="00F1480A" w:rsidRPr="00F1480A" w:rsidRDefault="00F1480A" w:rsidP="00F1480A">
                    <w:pPr>
                      <w:rPr>
                        <w:noProof/>
                        <w:color w:val="000000"/>
                        <w:sz w:val="22"/>
                        <w:szCs w:val="22"/>
                      </w:rPr>
                    </w:pPr>
                    <w:r w:rsidRPr="00F1480A">
                      <w:rPr>
                        <w:noProof/>
                        <w:color w:val="000000"/>
                        <w:sz w:val="22"/>
                        <w:szCs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5D088" w14:textId="279CCB57" w:rsidR="00291C5A" w:rsidRDefault="00D65AA6">
    <w:pPr>
      <w:pStyle w:val="Footer"/>
    </w:pPr>
    <w:sdt>
      <w:sdtPr>
        <w:alias w:val="Title"/>
        <w:tag w:val="Title"/>
        <w:id w:val="-202018699"/>
        <w:dataBinding w:prefixMappings="xmlns:ns0='http://purl.org/dc/elements/1.1/' xmlns:ns1='http://schemas.openxmlformats.org/package/2006/metadata/core-properties' " w:xpath="/ns1:coreProperties[1]/ns0:title[1]" w:storeItemID="{6C3C8BC8-F283-45AE-878A-BAB7291924A1}"/>
        <w:text/>
      </w:sdtPr>
      <w:sdtEndPr/>
      <w:sdtContent>
        <w:r w:rsidR="00923324">
          <w:t>Appointment and Remuneration Guidelines</w:t>
        </w:r>
      </w:sdtContent>
    </w:sdt>
    <w:r w:rsidR="00291C5A" w:rsidRPr="003A4A07">
      <w:ptab w:relativeTo="margin" w:alignment="right" w:leader="none"/>
    </w:r>
    <w:r w:rsidR="00291C5A" w:rsidRPr="003A4A07">
      <w:fldChar w:fldCharType="begin"/>
    </w:r>
    <w:r w:rsidR="00291C5A" w:rsidRPr="003A4A07">
      <w:instrText xml:space="preserve"> PAGE   \* MERGEFORMAT </w:instrText>
    </w:r>
    <w:r w:rsidR="00291C5A" w:rsidRPr="003A4A07">
      <w:fldChar w:fldCharType="separate"/>
    </w:r>
    <w:r w:rsidR="00291C5A">
      <w:t>2</w:t>
    </w:r>
    <w:r w:rsidR="00291C5A" w:rsidRPr="003A4A07">
      <w:fldChar w:fldCharType="end"/>
    </w:r>
    <w:r w:rsidR="00291C5A" w:rsidRPr="00F9068F">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4C760" w14:textId="77777777" w:rsidR="00483CC7" w:rsidRDefault="00483CC7" w:rsidP="008F0B7B">
      <w:pPr>
        <w:pStyle w:val="BodyText"/>
      </w:pPr>
      <w:r>
        <w:separator/>
      </w:r>
    </w:p>
    <w:p w14:paraId="2FB18FA8" w14:textId="77777777" w:rsidR="00483CC7" w:rsidRDefault="00483CC7"/>
  </w:footnote>
  <w:footnote w:type="continuationSeparator" w:id="0">
    <w:p w14:paraId="571B0EF7" w14:textId="77777777" w:rsidR="00483CC7" w:rsidRPr="00D27532" w:rsidRDefault="00483CC7" w:rsidP="00D27532">
      <w:pPr>
        <w:pStyle w:val="BodyText"/>
      </w:pPr>
      <w:r>
        <w:separator/>
      </w:r>
    </w:p>
    <w:p w14:paraId="441A0FAB" w14:textId="77777777" w:rsidR="00483CC7" w:rsidRDefault="00483CC7"/>
    <w:p w14:paraId="36D7E937" w14:textId="77777777" w:rsidR="00483CC7" w:rsidRDefault="00483CC7"/>
    <w:p w14:paraId="141AB182" w14:textId="77777777" w:rsidR="00483CC7" w:rsidRDefault="00483CC7"/>
  </w:footnote>
  <w:footnote w:type="continuationNotice" w:id="1">
    <w:p w14:paraId="4B5F6244" w14:textId="77777777" w:rsidR="00483CC7" w:rsidRPr="00D27532" w:rsidRDefault="00483CC7" w:rsidP="00D27532">
      <w:pPr>
        <w:pStyle w:val="BodyText"/>
      </w:pPr>
      <w:r>
        <w:separator/>
      </w:r>
    </w:p>
    <w:p w14:paraId="2549AD16" w14:textId="77777777" w:rsidR="00483CC7" w:rsidRDefault="00483CC7"/>
    <w:p w14:paraId="1681EB6D" w14:textId="77777777" w:rsidR="00483CC7" w:rsidRDefault="00483CC7"/>
    <w:p w14:paraId="1131848D" w14:textId="77777777" w:rsidR="00483CC7" w:rsidRDefault="00483CC7"/>
  </w:footnote>
  <w:footnote w:id="2">
    <w:p w14:paraId="4DD37BD8" w14:textId="77777777" w:rsidR="00923324" w:rsidRDefault="00923324" w:rsidP="00923324">
      <w:pPr>
        <w:pStyle w:val="FootnoteText"/>
      </w:pPr>
      <w:r>
        <w:rPr>
          <w:rStyle w:val="FootnoteReference"/>
        </w:rPr>
        <w:footnoteRef/>
      </w:r>
      <w:r>
        <w:t xml:space="preserve"> </w:t>
      </w:r>
      <w:r w:rsidRPr="00D322AF">
        <w:t xml:space="preserve">The </w:t>
      </w:r>
      <w:r w:rsidRPr="005A1A96">
        <w:rPr>
          <w:i/>
        </w:rPr>
        <w:t>Public Administration Act 2004</w:t>
      </w:r>
      <w:r w:rsidRPr="00D322AF">
        <w:t xml:space="preserve"> requires</w:t>
      </w:r>
      <w:r>
        <w:t xml:space="preserve"> that</w:t>
      </w:r>
      <w:r w:rsidRPr="00D322AF">
        <w:t xml:space="preserve"> the</w:t>
      </w:r>
      <w:r>
        <w:t xml:space="preserve"> boards of most public entities </w:t>
      </w:r>
      <w:r w:rsidRPr="00D322AF">
        <w:t>ensure that adequate procedures are in place for assessing the performance of the</w:t>
      </w:r>
      <w:r>
        <w:t xml:space="preserve"> board and individual directors: see s 81(c).</w:t>
      </w:r>
      <w:r w:rsidRPr="00D322AF">
        <w:t xml:space="preserve">  </w:t>
      </w:r>
    </w:p>
  </w:footnote>
  <w:footnote w:id="3">
    <w:p w14:paraId="09AE1FB5" w14:textId="77777777" w:rsidR="005262EE" w:rsidRDefault="005262EE" w:rsidP="005262EE">
      <w:pPr>
        <w:pStyle w:val="FootnoteText"/>
      </w:pPr>
      <w:r>
        <w:rPr>
          <w:rStyle w:val="FootnoteReference"/>
        </w:rPr>
        <w:footnoteRef/>
      </w:r>
      <w:r>
        <w:t xml:space="preserve"> As explained in the </w:t>
      </w:r>
      <w:r w:rsidRPr="00447E63">
        <w:rPr>
          <w:i/>
        </w:rPr>
        <w:t>Cabinet Handbook</w:t>
      </w:r>
      <w:r>
        <w:t xml:space="preserve">, before Cabinet considers an appointment or reappointment, a DOPI should be received from the candidate and be judged to be satisfactory by the minister. </w:t>
      </w:r>
    </w:p>
  </w:footnote>
  <w:footnote w:id="4">
    <w:p w14:paraId="0C3EEF52" w14:textId="77777777" w:rsidR="00276325" w:rsidRDefault="00276325" w:rsidP="00276325">
      <w:pPr>
        <w:pStyle w:val="FootnoteText"/>
      </w:pPr>
      <w:r>
        <w:rPr>
          <w:rStyle w:val="FootnoteReference"/>
        </w:rPr>
        <w:footnoteRef/>
      </w:r>
      <w:r>
        <w:t xml:space="preserve"> Public sector employees are subject to the Victorian Public Sector Code of Conduct. Rule 3.8 prohibits </w:t>
      </w:r>
      <w:r w:rsidRPr="00EE1F88">
        <w:t>public sector employees from engaging in other employment where the activity which conflicts with their role.</w:t>
      </w:r>
    </w:p>
  </w:footnote>
  <w:footnote w:id="5">
    <w:p w14:paraId="656FD3EF" w14:textId="77777777" w:rsidR="00276325" w:rsidRDefault="00276325" w:rsidP="00276325">
      <w:pPr>
        <w:pStyle w:val="FootnoteText"/>
      </w:pPr>
      <w:r>
        <w:rPr>
          <w:rStyle w:val="FootnoteReference"/>
        </w:rPr>
        <w:footnoteRef/>
      </w:r>
      <w:r>
        <w:t xml:space="preserve"> </w:t>
      </w:r>
      <w:r w:rsidRPr="005D5DA0">
        <w:t xml:space="preserve">Where a public sector employee holds a full-time position, the ‘substantive’ employer is the employer of the full-time position. Where the public sector employee holds </w:t>
      </w:r>
      <w:r>
        <w:t>one</w:t>
      </w:r>
      <w:r w:rsidRPr="005D5DA0">
        <w:t xml:space="preserve"> or more part time positions, the ‘substantive’ employer is the public sector </w:t>
      </w:r>
      <w:r>
        <w:t xml:space="preserve">employer </w:t>
      </w:r>
      <w:r w:rsidRPr="005D5DA0">
        <w:t xml:space="preserve">with on-going </w:t>
      </w:r>
      <w:r>
        <w:t xml:space="preserve">employment </w:t>
      </w:r>
      <w:r w:rsidRPr="005D5DA0">
        <w:t>status, or failing that, the public sector employer of the greatest time fraction.</w:t>
      </w:r>
    </w:p>
  </w:footnote>
  <w:footnote w:id="6">
    <w:p w14:paraId="0E226C0B" w14:textId="77777777" w:rsidR="00276325" w:rsidRPr="00D72C32" w:rsidRDefault="00276325" w:rsidP="00276325">
      <w:pPr>
        <w:pStyle w:val="FootnoteText"/>
      </w:pPr>
      <w:r>
        <w:rPr>
          <w:rStyle w:val="FootnoteReference"/>
        </w:rPr>
        <w:footnoteRef/>
      </w:r>
      <w:r>
        <w:t xml:space="preserve"> Section 32 of the </w:t>
      </w:r>
      <w:r w:rsidRPr="0023585B">
        <w:rPr>
          <w:i/>
        </w:rPr>
        <w:t>Public Administration Act 2004</w:t>
      </w:r>
      <w:r>
        <w:rPr>
          <w:i/>
        </w:rPr>
        <w:t xml:space="preserve"> (Act) </w:t>
      </w:r>
      <w:r w:rsidRPr="0023585B">
        <w:t xml:space="preserve">also </w:t>
      </w:r>
      <w:r>
        <w:t>requires approval for individuals employed under Part 3 of the Act engaging in outside employment.</w:t>
      </w:r>
    </w:p>
  </w:footnote>
  <w:footnote w:id="7">
    <w:p w14:paraId="4983BF6D" w14:textId="77777777" w:rsidR="00E05E83" w:rsidRDefault="00E05E83" w:rsidP="00E05E83">
      <w:pPr>
        <w:pStyle w:val="FootnoteText"/>
      </w:pPr>
      <w:r>
        <w:rPr>
          <w:rStyle w:val="FootnoteReference"/>
        </w:rPr>
        <w:footnoteRef/>
      </w:r>
      <w:r>
        <w:t xml:space="preserve"> ‘Boards of management’ are responsible for strategy and direction. Boards of management include the boards Statutory Authorities, State Owned Enterprises and Government Business Enterprise and trusts.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95FC8" w14:textId="77777777" w:rsidR="00F342B7" w:rsidRDefault="00CF57AB">
    <w:pPr>
      <w:pStyle w:val="Header"/>
    </w:pPr>
    <w:r>
      <w:rPr>
        <w:noProof/>
      </w:rPr>
      <mc:AlternateContent>
        <mc:Choice Requires="wpg">
          <w:drawing>
            <wp:anchor distT="0" distB="0" distL="114300" distR="114300" simplePos="0" relativeHeight="251658241" behindDoc="1" locked="1" layoutInCell="1" allowOverlap="1" wp14:anchorId="5C47C7E7" wp14:editId="48CCBE1C">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FC1EE3" id="Graphic 1" o:spid="_x0000_s1026" alt="&quot;&quot;" style="position:absolute;margin-left:0;margin-top:0;width:595.55pt;height:29.5pt;z-index:-251658239;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640D5D"/>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D0C5F"/>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5" w15:restartNumberingAfterBreak="0">
    <w:nsid w:val="137E6EED"/>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4E8350B"/>
    <w:multiLevelType w:val="hybridMultilevel"/>
    <w:tmpl w:val="1B68B29A"/>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D5979"/>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8A01CD"/>
    <w:multiLevelType w:val="multilevel"/>
    <w:tmpl w:val="B93E04B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425"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3"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E8030F"/>
    <w:multiLevelType w:val="multilevel"/>
    <w:tmpl w:val="87621AF0"/>
    <w:lvl w:ilvl="0">
      <w:start w:val="1"/>
      <w:numFmt w:val="bullet"/>
      <w:lvlText w:val="▪"/>
      <w:lvlJc w:val="left"/>
      <w:pPr>
        <w:ind w:left="993" w:hanging="284"/>
      </w:pPr>
      <w:rPr>
        <w:rFonts w:hint="default"/>
        <w:sz w:val="24"/>
      </w:rPr>
    </w:lvl>
    <w:lvl w:ilvl="1">
      <w:start w:val="1"/>
      <w:numFmt w:val="bullet"/>
      <w:lvlRestart w:val="0"/>
      <w:lvlText w:val="–"/>
      <w:lvlJc w:val="left"/>
      <w:pPr>
        <w:tabs>
          <w:tab w:val="num" w:pos="993"/>
        </w:tabs>
        <w:ind w:left="1276" w:hanging="283"/>
      </w:pPr>
      <w:rPr>
        <w:rFonts w:ascii="Arial" w:hAnsi="Arial" w:hint="default"/>
        <w:color w:val="auto"/>
      </w:rPr>
    </w:lvl>
    <w:lvl w:ilvl="2">
      <w:start w:val="1"/>
      <w:numFmt w:val="none"/>
      <w:lvlRestart w:val="0"/>
      <w:lvlText w:val=""/>
      <w:lvlJc w:val="left"/>
      <w:pPr>
        <w:ind w:left="709" w:firstLine="0"/>
      </w:pPr>
      <w:rPr>
        <w:rFonts w:hint="default"/>
      </w:rPr>
    </w:lvl>
    <w:lvl w:ilvl="3">
      <w:start w:val="1"/>
      <w:numFmt w:val="bullet"/>
      <w:lvlText w:val=""/>
      <w:lvlJc w:val="left"/>
      <w:pPr>
        <w:ind w:left="1069" w:hanging="360"/>
      </w:pPr>
      <w:rPr>
        <w:rFonts w:ascii="Wingdings" w:hAnsi="Wingding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15"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7"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A858F5"/>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1E6BAE"/>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1A1B4E"/>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7836A1"/>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6316193B"/>
    <w:multiLevelType w:val="multilevel"/>
    <w:tmpl w:val="4DFC12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647B20D9"/>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9F5477"/>
    <w:multiLevelType w:val="multilevel"/>
    <w:tmpl w:val="7608A9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79609F"/>
    <w:multiLevelType w:val="hybridMultilevel"/>
    <w:tmpl w:val="24206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373748"/>
    <w:multiLevelType w:val="hybridMultilevel"/>
    <w:tmpl w:val="1B68B29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8522EC"/>
    <w:multiLevelType w:val="multilevel"/>
    <w:tmpl w:val="C8E6DA68"/>
    <w:lvl w:ilvl="0">
      <w:start w:val="1"/>
      <w:numFmt w:val="decimal"/>
      <w:lvlText w:val="%1."/>
      <w:lvlJc w:val="left"/>
      <w:pPr>
        <w:ind w:left="644" w:hanging="360"/>
      </w:pPr>
      <w:rPr>
        <w:rFonts w:hint="default"/>
        <w:color w:val="201547" w:themeColor="text2"/>
      </w:rPr>
    </w:lvl>
    <w:lvl w:ilvl="1">
      <w:start w:val="1"/>
      <w:numFmt w:val="decimal"/>
      <w:lvlText w:val="%1.%2."/>
      <w:lvlJc w:val="left"/>
      <w:pPr>
        <w:ind w:left="716"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24"/>
  </w:num>
  <w:num w:numId="2" w16cid:durableId="503790137">
    <w:abstractNumId w:val="16"/>
  </w:num>
  <w:num w:numId="3" w16cid:durableId="2012565857">
    <w:abstractNumId w:val="6"/>
  </w:num>
  <w:num w:numId="4" w16cid:durableId="76903290">
    <w:abstractNumId w:val="12"/>
  </w:num>
  <w:num w:numId="5" w16cid:durableId="2010210550">
    <w:abstractNumId w:val="8"/>
  </w:num>
  <w:num w:numId="6" w16cid:durableId="837189291">
    <w:abstractNumId w:val="31"/>
  </w:num>
  <w:num w:numId="7" w16cid:durableId="8762842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1"/>
  </w:num>
  <w:num w:numId="10" w16cid:durableId="783112715">
    <w:abstractNumId w:val="0"/>
  </w:num>
  <w:num w:numId="11" w16cid:durableId="4720608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8"/>
  </w:num>
  <w:num w:numId="13" w16cid:durableId="1048383676">
    <w:abstractNumId w:val="4"/>
  </w:num>
  <w:num w:numId="14" w16cid:durableId="724064763">
    <w:abstractNumId w:val="15"/>
  </w:num>
  <w:num w:numId="15" w16cid:durableId="1273320527">
    <w:abstractNumId w:val="13"/>
  </w:num>
  <w:num w:numId="16" w16cid:durableId="604773466">
    <w:abstractNumId w:val="9"/>
  </w:num>
  <w:num w:numId="17" w16cid:durableId="410204198">
    <w:abstractNumId w:val="15"/>
  </w:num>
  <w:num w:numId="18" w16cid:durableId="1381973859">
    <w:abstractNumId w:val="30"/>
  </w:num>
  <w:num w:numId="19" w16cid:durableId="1071928725">
    <w:abstractNumId w:val="7"/>
  </w:num>
  <w:num w:numId="20" w16cid:durableId="913709111">
    <w:abstractNumId w:val="17"/>
  </w:num>
  <w:num w:numId="21" w16cid:durableId="1028456880">
    <w:abstractNumId w:val="17"/>
    <w:lvlOverride w:ilvl="0">
      <w:lvl w:ilvl="0">
        <w:start w:val="1"/>
        <w:numFmt w:val="bullet"/>
        <w:pStyle w:val="DPCbullet1"/>
        <w:lvlText w:val="▪"/>
        <w:lvlJc w:val="left"/>
        <w:pPr>
          <w:ind w:left="1004" w:hanging="284"/>
        </w:pPr>
        <w:rPr>
          <w:rFonts w:hint="default"/>
          <w:sz w:val="24"/>
        </w:rPr>
      </w:lvl>
    </w:lvlOverride>
  </w:num>
  <w:num w:numId="22" w16cid:durableId="1361009312">
    <w:abstractNumId w:val="11"/>
  </w:num>
  <w:num w:numId="23" w16cid:durableId="1855264851">
    <w:abstractNumId w:val="28"/>
  </w:num>
  <w:num w:numId="24" w16cid:durableId="128401754">
    <w:abstractNumId w:val="19"/>
  </w:num>
  <w:num w:numId="25" w16cid:durableId="1301576328">
    <w:abstractNumId w:val="2"/>
  </w:num>
  <w:num w:numId="26" w16cid:durableId="28455184">
    <w:abstractNumId w:val="29"/>
  </w:num>
  <w:num w:numId="27" w16cid:durableId="959140709">
    <w:abstractNumId w:val="20"/>
  </w:num>
  <w:num w:numId="28" w16cid:durableId="74712785">
    <w:abstractNumId w:val="14"/>
  </w:num>
  <w:num w:numId="29" w16cid:durableId="700253407">
    <w:abstractNumId w:val="22"/>
  </w:num>
  <w:num w:numId="30" w16cid:durableId="1819152207">
    <w:abstractNumId w:val="23"/>
  </w:num>
  <w:num w:numId="31" w16cid:durableId="1011445340">
    <w:abstractNumId w:val="3"/>
  </w:num>
  <w:num w:numId="32" w16cid:durableId="1834712354">
    <w:abstractNumId w:val="26"/>
  </w:num>
  <w:num w:numId="33" w16cid:durableId="1075207380">
    <w:abstractNumId w:val="5"/>
  </w:num>
  <w:num w:numId="34" w16cid:durableId="836847130">
    <w:abstractNumId w:val="10"/>
  </w:num>
  <w:num w:numId="35" w16cid:durableId="1126966565">
    <w:abstractNumId w:val="27"/>
  </w:num>
  <w:num w:numId="36" w16cid:durableId="20436835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embedTrueTypeFonts/>
  <w:saveSubsetFonts/>
  <w:proofState w:spelling="clean"/>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29"/>
    <w:rsid w:val="000016A6"/>
    <w:rsid w:val="00002729"/>
    <w:rsid w:val="00002C93"/>
    <w:rsid w:val="00003583"/>
    <w:rsid w:val="00003709"/>
    <w:rsid w:val="00003E3B"/>
    <w:rsid w:val="00005754"/>
    <w:rsid w:val="00005FC0"/>
    <w:rsid w:val="000100A3"/>
    <w:rsid w:val="0001088E"/>
    <w:rsid w:val="00010DAC"/>
    <w:rsid w:val="00011C9B"/>
    <w:rsid w:val="00013F67"/>
    <w:rsid w:val="00014D02"/>
    <w:rsid w:val="00020713"/>
    <w:rsid w:val="0002154A"/>
    <w:rsid w:val="00021A2F"/>
    <w:rsid w:val="00022E14"/>
    <w:rsid w:val="00024B98"/>
    <w:rsid w:val="00024CD8"/>
    <w:rsid w:val="0002560A"/>
    <w:rsid w:val="00025B3C"/>
    <w:rsid w:val="0002627E"/>
    <w:rsid w:val="00026FE4"/>
    <w:rsid w:val="000277AD"/>
    <w:rsid w:val="00027A61"/>
    <w:rsid w:val="000305D4"/>
    <w:rsid w:val="00030C2E"/>
    <w:rsid w:val="00031893"/>
    <w:rsid w:val="000319D3"/>
    <w:rsid w:val="000330D7"/>
    <w:rsid w:val="000339CA"/>
    <w:rsid w:val="000369F8"/>
    <w:rsid w:val="00036B6C"/>
    <w:rsid w:val="0003751F"/>
    <w:rsid w:val="00037776"/>
    <w:rsid w:val="00040774"/>
    <w:rsid w:val="00041B38"/>
    <w:rsid w:val="0004321A"/>
    <w:rsid w:val="00043FD4"/>
    <w:rsid w:val="0004413C"/>
    <w:rsid w:val="00044CEA"/>
    <w:rsid w:val="00046605"/>
    <w:rsid w:val="00046ACD"/>
    <w:rsid w:val="00046BB3"/>
    <w:rsid w:val="00046E00"/>
    <w:rsid w:val="00051B1A"/>
    <w:rsid w:val="0005225F"/>
    <w:rsid w:val="0005359F"/>
    <w:rsid w:val="00054A1A"/>
    <w:rsid w:val="00055779"/>
    <w:rsid w:val="000557C6"/>
    <w:rsid w:val="00055A33"/>
    <w:rsid w:val="000605A5"/>
    <w:rsid w:val="00064304"/>
    <w:rsid w:val="00066598"/>
    <w:rsid w:val="00070CE1"/>
    <w:rsid w:val="00070EC3"/>
    <w:rsid w:val="00072101"/>
    <w:rsid w:val="00072B2F"/>
    <w:rsid w:val="00073820"/>
    <w:rsid w:val="00074C16"/>
    <w:rsid w:val="000808DE"/>
    <w:rsid w:val="00080C66"/>
    <w:rsid w:val="00081DA7"/>
    <w:rsid w:val="00082403"/>
    <w:rsid w:val="00082F4A"/>
    <w:rsid w:val="00084C7F"/>
    <w:rsid w:val="000866A6"/>
    <w:rsid w:val="00086A96"/>
    <w:rsid w:val="00087FF3"/>
    <w:rsid w:val="00091ABC"/>
    <w:rsid w:val="00091C81"/>
    <w:rsid w:val="000926DF"/>
    <w:rsid w:val="00092B26"/>
    <w:rsid w:val="000932CC"/>
    <w:rsid w:val="00093D04"/>
    <w:rsid w:val="00094ABC"/>
    <w:rsid w:val="0009562F"/>
    <w:rsid w:val="00096E9B"/>
    <w:rsid w:val="00097C7F"/>
    <w:rsid w:val="000A0A02"/>
    <w:rsid w:val="000A0A27"/>
    <w:rsid w:val="000A1059"/>
    <w:rsid w:val="000A1360"/>
    <w:rsid w:val="000A1927"/>
    <w:rsid w:val="000A2F39"/>
    <w:rsid w:val="000A381D"/>
    <w:rsid w:val="000A5A67"/>
    <w:rsid w:val="000A65D2"/>
    <w:rsid w:val="000A739E"/>
    <w:rsid w:val="000A7561"/>
    <w:rsid w:val="000A7B01"/>
    <w:rsid w:val="000A7E35"/>
    <w:rsid w:val="000B05DF"/>
    <w:rsid w:val="000B10A2"/>
    <w:rsid w:val="000B10B9"/>
    <w:rsid w:val="000B147C"/>
    <w:rsid w:val="000B25F4"/>
    <w:rsid w:val="000B3148"/>
    <w:rsid w:val="000B3C22"/>
    <w:rsid w:val="000B4613"/>
    <w:rsid w:val="000B619D"/>
    <w:rsid w:val="000B640C"/>
    <w:rsid w:val="000B69BA"/>
    <w:rsid w:val="000B6D9E"/>
    <w:rsid w:val="000B7F4B"/>
    <w:rsid w:val="000C30EA"/>
    <w:rsid w:val="000C52D3"/>
    <w:rsid w:val="000D0392"/>
    <w:rsid w:val="000D2C1A"/>
    <w:rsid w:val="000D3809"/>
    <w:rsid w:val="000D3D36"/>
    <w:rsid w:val="000D5CAC"/>
    <w:rsid w:val="000D6B77"/>
    <w:rsid w:val="000D6F93"/>
    <w:rsid w:val="000D7265"/>
    <w:rsid w:val="000D737E"/>
    <w:rsid w:val="000E015F"/>
    <w:rsid w:val="000E0434"/>
    <w:rsid w:val="000E11C1"/>
    <w:rsid w:val="000E384B"/>
    <w:rsid w:val="000E569E"/>
    <w:rsid w:val="000E60A3"/>
    <w:rsid w:val="000E7003"/>
    <w:rsid w:val="000E7E83"/>
    <w:rsid w:val="000F118D"/>
    <w:rsid w:val="000F31B8"/>
    <w:rsid w:val="000F5A42"/>
    <w:rsid w:val="000F66DC"/>
    <w:rsid w:val="000F689C"/>
    <w:rsid w:val="000F6AC0"/>
    <w:rsid w:val="00100033"/>
    <w:rsid w:val="00102B6E"/>
    <w:rsid w:val="00103873"/>
    <w:rsid w:val="00105220"/>
    <w:rsid w:val="00105DB2"/>
    <w:rsid w:val="00107B0D"/>
    <w:rsid w:val="00107F77"/>
    <w:rsid w:val="001106A0"/>
    <w:rsid w:val="00111273"/>
    <w:rsid w:val="00111713"/>
    <w:rsid w:val="00111775"/>
    <w:rsid w:val="0011222A"/>
    <w:rsid w:val="00112FAD"/>
    <w:rsid w:val="00113F05"/>
    <w:rsid w:val="00114812"/>
    <w:rsid w:val="00114A73"/>
    <w:rsid w:val="00114FF1"/>
    <w:rsid w:val="00115A96"/>
    <w:rsid w:val="00116545"/>
    <w:rsid w:val="00116563"/>
    <w:rsid w:val="00116B2F"/>
    <w:rsid w:val="00116CED"/>
    <w:rsid w:val="0011767C"/>
    <w:rsid w:val="00120D69"/>
    <w:rsid w:val="00121EFA"/>
    <w:rsid w:val="00125B3E"/>
    <w:rsid w:val="00125D26"/>
    <w:rsid w:val="001269A2"/>
    <w:rsid w:val="00127421"/>
    <w:rsid w:val="0013116E"/>
    <w:rsid w:val="00131292"/>
    <w:rsid w:val="00131C08"/>
    <w:rsid w:val="0013204F"/>
    <w:rsid w:val="00132C13"/>
    <w:rsid w:val="00132C9F"/>
    <w:rsid w:val="00133704"/>
    <w:rsid w:val="0013421B"/>
    <w:rsid w:val="00134CAE"/>
    <w:rsid w:val="001359E7"/>
    <w:rsid w:val="00135EFC"/>
    <w:rsid w:val="00140DE1"/>
    <w:rsid w:val="0014157C"/>
    <w:rsid w:val="001419CE"/>
    <w:rsid w:val="00142478"/>
    <w:rsid w:val="001431BD"/>
    <w:rsid w:val="001439D4"/>
    <w:rsid w:val="00145987"/>
    <w:rsid w:val="001476EF"/>
    <w:rsid w:val="00147C62"/>
    <w:rsid w:val="0015038F"/>
    <w:rsid w:val="00150CAE"/>
    <w:rsid w:val="0015137D"/>
    <w:rsid w:val="00151926"/>
    <w:rsid w:val="001524E1"/>
    <w:rsid w:val="001533A2"/>
    <w:rsid w:val="00155DEA"/>
    <w:rsid w:val="00156291"/>
    <w:rsid w:val="00161815"/>
    <w:rsid w:val="00163C71"/>
    <w:rsid w:val="00163F0B"/>
    <w:rsid w:val="0016469D"/>
    <w:rsid w:val="00164D7F"/>
    <w:rsid w:val="001656A1"/>
    <w:rsid w:val="00165AB4"/>
    <w:rsid w:val="00166413"/>
    <w:rsid w:val="001678F4"/>
    <w:rsid w:val="00170277"/>
    <w:rsid w:val="0017068C"/>
    <w:rsid w:val="00171F16"/>
    <w:rsid w:val="001728CA"/>
    <w:rsid w:val="00172CF0"/>
    <w:rsid w:val="00173BFD"/>
    <w:rsid w:val="00174347"/>
    <w:rsid w:val="001743EB"/>
    <w:rsid w:val="001746FB"/>
    <w:rsid w:val="0017470B"/>
    <w:rsid w:val="001747FA"/>
    <w:rsid w:val="00177700"/>
    <w:rsid w:val="00177EE2"/>
    <w:rsid w:val="00177F07"/>
    <w:rsid w:val="00180847"/>
    <w:rsid w:val="00180CE8"/>
    <w:rsid w:val="00181EAF"/>
    <w:rsid w:val="001838AB"/>
    <w:rsid w:val="0018395E"/>
    <w:rsid w:val="001840E4"/>
    <w:rsid w:val="0018488D"/>
    <w:rsid w:val="001879A8"/>
    <w:rsid w:val="00187AB5"/>
    <w:rsid w:val="0019091F"/>
    <w:rsid w:val="001909B9"/>
    <w:rsid w:val="00190B51"/>
    <w:rsid w:val="0019124A"/>
    <w:rsid w:val="0019228A"/>
    <w:rsid w:val="001934EB"/>
    <w:rsid w:val="00194378"/>
    <w:rsid w:val="00194A85"/>
    <w:rsid w:val="00194DBF"/>
    <w:rsid w:val="0019649D"/>
    <w:rsid w:val="001A0AAF"/>
    <w:rsid w:val="001A15D5"/>
    <w:rsid w:val="001A1E29"/>
    <w:rsid w:val="001A1F72"/>
    <w:rsid w:val="001A27BD"/>
    <w:rsid w:val="001A35E5"/>
    <w:rsid w:val="001A369D"/>
    <w:rsid w:val="001A3D04"/>
    <w:rsid w:val="001A6133"/>
    <w:rsid w:val="001A628B"/>
    <w:rsid w:val="001A7330"/>
    <w:rsid w:val="001B2E63"/>
    <w:rsid w:val="001B3C6A"/>
    <w:rsid w:val="001B3EE6"/>
    <w:rsid w:val="001B455D"/>
    <w:rsid w:val="001B4F9A"/>
    <w:rsid w:val="001C07C2"/>
    <w:rsid w:val="001C0A67"/>
    <w:rsid w:val="001C1CD0"/>
    <w:rsid w:val="001C256D"/>
    <w:rsid w:val="001C43B2"/>
    <w:rsid w:val="001C4B93"/>
    <w:rsid w:val="001C4DF8"/>
    <w:rsid w:val="001C4E88"/>
    <w:rsid w:val="001C65E7"/>
    <w:rsid w:val="001D0245"/>
    <w:rsid w:val="001D025D"/>
    <w:rsid w:val="001D4524"/>
    <w:rsid w:val="001D4C98"/>
    <w:rsid w:val="001D6368"/>
    <w:rsid w:val="001D754D"/>
    <w:rsid w:val="001E04AA"/>
    <w:rsid w:val="001E0611"/>
    <w:rsid w:val="001E0762"/>
    <w:rsid w:val="001E1988"/>
    <w:rsid w:val="001E3E31"/>
    <w:rsid w:val="001E407B"/>
    <w:rsid w:val="001E4186"/>
    <w:rsid w:val="001E49FD"/>
    <w:rsid w:val="001E4E96"/>
    <w:rsid w:val="001E52C6"/>
    <w:rsid w:val="001E549D"/>
    <w:rsid w:val="001E5591"/>
    <w:rsid w:val="001E6F39"/>
    <w:rsid w:val="001E79F1"/>
    <w:rsid w:val="001F010F"/>
    <w:rsid w:val="001F04A9"/>
    <w:rsid w:val="001F1BB2"/>
    <w:rsid w:val="001F1F71"/>
    <w:rsid w:val="001F2523"/>
    <w:rsid w:val="001F2FAF"/>
    <w:rsid w:val="001F35AC"/>
    <w:rsid w:val="001F3934"/>
    <w:rsid w:val="001F398C"/>
    <w:rsid w:val="001F485D"/>
    <w:rsid w:val="001F4BD2"/>
    <w:rsid w:val="001F6828"/>
    <w:rsid w:val="001F7728"/>
    <w:rsid w:val="00200AEB"/>
    <w:rsid w:val="00202F93"/>
    <w:rsid w:val="002076B2"/>
    <w:rsid w:val="00214687"/>
    <w:rsid w:val="00214F3C"/>
    <w:rsid w:val="00215155"/>
    <w:rsid w:val="00215832"/>
    <w:rsid w:val="00216B6C"/>
    <w:rsid w:val="00216D02"/>
    <w:rsid w:val="00216D4C"/>
    <w:rsid w:val="002173CF"/>
    <w:rsid w:val="00217CEB"/>
    <w:rsid w:val="00217D92"/>
    <w:rsid w:val="0022131D"/>
    <w:rsid w:val="00221437"/>
    <w:rsid w:val="00221E20"/>
    <w:rsid w:val="0022241B"/>
    <w:rsid w:val="0022397C"/>
    <w:rsid w:val="00224507"/>
    <w:rsid w:val="00224DDA"/>
    <w:rsid w:val="002255B8"/>
    <w:rsid w:val="002261DF"/>
    <w:rsid w:val="00226C22"/>
    <w:rsid w:val="00226F6E"/>
    <w:rsid w:val="002313EF"/>
    <w:rsid w:val="00231D84"/>
    <w:rsid w:val="00232594"/>
    <w:rsid w:val="00233115"/>
    <w:rsid w:val="00233579"/>
    <w:rsid w:val="00234568"/>
    <w:rsid w:val="002351BC"/>
    <w:rsid w:val="00235466"/>
    <w:rsid w:val="00235BE7"/>
    <w:rsid w:val="00237028"/>
    <w:rsid w:val="002376C0"/>
    <w:rsid w:val="002409AB"/>
    <w:rsid w:val="00240A62"/>
    <w:rsid w:val="00241AB7"/>
    <w:rsid w:val="00242522"/>
    <w:rsid w:val="002434EF"/>
    <w:rsid w:val="00243851"/>
    <w:rsid w:val="00243AE2"/>
    <w:rsid w:val="002454F4"/>
    <w:rsid w:val="00246264"/>
    <w:rsid w:val="00246957"/>
    <w:rsid w:val="00246A79"/>
    <w:rsid w:val="00247822"/>
    <w:rsid w:val="00247F93"/>
    <w:rsid w:val="002510E3"/>
    <w:rsid w:val="0025118A"/>
    <w:rsid w:val="00252F18"/>
    <w:rsid w:val="00254215"/>
    <w:rsid w:val="00254690"/>
    <w:rsid w:val="00254FCE"/>
    <w:rsid w:val="002562B0"/>
    <w:rsid w:val="002573C8"/>
    <w:rsid w:val="002606FB"/>
    <w:rsid w:val="00262546"/>
    <w:rsid w:val="002626BB"/>
    <w:rsid w:val="0026278D"/>
    <w:rsid w:val="00263B26"/>
    <w:rsid w:val="00263D14"/>
    <w:rsid w:val="0026496F"/>
    <w:rsid w:val="00266388"/>
    <w:rsid w:val="002667C8"/>
    <w:rsid w:val="002669AE"/>
    <w:rsid w:val="0026731D"/>
    <w:rsid w:val="00267565"/>
    <w:rsid w:val="00267830"/>
    <w:rsid w:val="00272278"/>
    <w:rsid w:val="00274BF9"/>
    <w:rsid w:val="00275F66"/>
    <w:rsid w:val="00276325"/>
    <w:rsid w:val="0027645B"/>
    <w:rsid w:val="00281626"/>
    <w:rsid w:val="00281877"/>
    <w:rsid w:val="00281903"/>
    <w:rsid w:val="00282330"/>
    <w:rsid w:val="002839D6"/>
    <w:rsid w:val="0028704F"/>
    <w:rsid w:val="002875F1"/>
    <w:rsid w:val="0029063F"/>
    <w:rsid w:val="002919A0"/>
    <w:rsid w:val="00291C5A"/>
    <w:rsid w:val="0029290D"/>
    <w:rsid w:val="00292F47"/>
    <w:rsid w:val="0029399F"/>
    <w:rsid w:val="002942EF"/>
    <w:rsid w:val="002964A8"/>
    <w:rsid w:val="00296B07"/>
    <w:rsid w:val="002A0845"/>
    <w:rsid w:val="002A2397"/>
    <w:rsid w:val="002A4E35"/>
    <w:rsid w:val="002A5060"/>
    <w:rsid w:val="002B0358"/>
    <w:rsid w:val="002B0369"/>
    <w:rsid w:val="002B0A86"/>
    <w:rsid w:val="002B0A93"/>
    <w:rsid w:val="002B1148"/>
    <w:rsid w:val="002B1E6B"/>
    <w:rsid w:val="002B269F"/>
    <w:rsid w:val="002B30EA"/>
    <w:rsid w:val="002B34E8"/>
    <w:rsid w:val="002B3EF8"/>
    <w:rsid w:val="002B41AB"/>
    <w:rsid w:val="002B5F3C"/>
    <w:rsid w:val="002B603E"/>
    <w:rsid w:val="002B6077"/>
    <w:rsid w:val="002B7332"/>
    <w:rsid w:val="002C0A22"/>
    <w:rsid w:val="002C29B0"/>
    <w:rsid w:val="002C2DDB"/>
    <w:rsid w:val="002C3E25"/>
    <w:rsid w:val="002C4C7F"/>
    <w:rsid w:val="002C62E1"/>
    <w:rsid w:val="002C6ADB"/>
    <w:rsid w:val="002D06D6"/>
    <w:rsid w:val="002D0D5F"/>
    <w:rsid w:val="002D167C"/>
    <w:rsid w:val="002D2C2A"/>
    <w:rsid w:val="002D3554"/>
    <w:rsid w:val="002D391F"/>
    <w:rsid w:val="002D53B9"/>
    <w:rsid w:val="002E1FC5"/>
    <w:rsid w:val="002E25A0"/>
    <w:rsid w:val="002E2D4D"/>
    <w:rsid w:val="002E34BF"/>
    <w:rsid w:val="002E35EE"/>
    <w:rsid w:val="002E3A7F"/>
    <w:rsid w:val="002E3D4D"/>
    <w:rsid w:val="002E4863"/>
    <w:rsid w:val="002E4B38"/>
    <w:rsid w:val="002E5A39"/>
    <w:rsid w:val="002E5C44"/>
    <w:rsid w:val="002E5FC8"/>
    <w:rsid w:val="002E624A"/>
    <w:rsid w:val="002E6A83"/>
    <w:rsid w:val="002F113F"/>
    <w:rsid w:val="002F206E"/>
    <w:rsid w:val="002F2554"/>
    <w:rsid w:val="002F278D"/>
    <w:rsid w:val="002F3821"/>
    <w:rsid w:val="002F3873"/>
    <w:rsid w:val="002F509E"/>
    <w:rsid w:val="002F5419"/>
    <w:rsid w:val="002F575C"/>
    <w:rsid w:val="002F5849"/>
    <w:rsid w:val="002F6787"/>
    <w:rsid w:val="002F6B03"/>
    <w:rsid w:val="0030002F"/>
    <w:rsid w:val="003002D8"/>
    <w:rsid w:val="0030059C"/>
    <w:rsid w:val="00301448"/>
    <w:rsid w:val="00302B5E"/>
    <w:rsid w:val="00305D59"/>
    <w:rsid w:val="00305D69"/>
    <w:rsid w:val="0031064B"/>
    <w:rsid w:val="00311BF3"/>
    <w:rsid w:val="00312BFC"/>
    <w:rsid w:val="00316E09"/>
    <w:rsid w:val="00317A45"/>
    <w:rsid w:val="0032039E"/>
    <w:rsid w:val="003207C1"/>
    <w:rsid w:val="00320A84"/>
    <w:rsid w:val="00321B51"/>
    <w:rsid w:val="00321DF2"/>
    <w:rsid w:val="0032396E"/>
    <w:rsid w:val="00324F56"/>
    <w:rsid w:val="00325EE2"/>
    <w:rsid w:val="0033030D"/>
    <w:rsid w:val="00331AF2"/>
    <w:rsid w:val="00333510"/>
    <w:rsid w:val="00335109"/>
    <w:rsid w:val="00335C9E"/>
    <w:rsid w:val="0033658D"/>
    <w:rsid w:val="0033714C"/>
    <w:rsid w:val="003378D1"/>
    <w:rsid w:val="00340CA0"/>
    <w:rsid w:val="00341877"/>
    <w:rsid w:val="00341CE1"/>
    <w:rsid w:val="0034214B"/>
    <w:rsid w:val="00342F8D"/>
    <w:rsid w:val="00343280"/>
    <w:rsid w:val="00344845"/>
    <w:rsid w:val="00344B1E"/>
    <w:rsid w:val="00344B84"/>
    <w:rsid w:val="00345BF7"/>
    <w:rsid w:val="00347536"/>
    <w:rsid w:val="0034790C"/>
    <w:rsid w:val="00350372"/>
    <w:rsid w:val="00351685"/>
    <w:rsid w:val="003516BF"/>
    <w:rsid w:val="00352C15"/>
    <w:rsid w:val="00353985"/>
    <w:rsid w:val="00354738"/>
    <w:rsid w:val="00354F6D"/>
    <w:rsid w:val="00355312"/>
    <w:rsid w:val="00362B74"/>
    <w:rsid w:val="00362F86"/>
    <w:rsid w:val="0036379C"/>
    <w:rsid w:val="003638D9"/>
    <w:rsid w:val="00363943"/>
    <w:rsid w:val="00364485"/>
    <w:rsid w:val="00364C8A"/>
    <w:rsid w:val="00364F93"/>
    <w:rsid w:val="003656D5"/>
    <w:rsid w:val="003661D1"/>
    <w:rsid w:val="00367465"/>
    <w:rsid w:val="00367533"/>
    <w:rsid w:val="00367751"/>
    <w:rsid w:val="00367A43"/>
    <w:rsid w:val="0037026F"/>
    <w:rsid w:val="0037070A"/>
    <w:rsid w:val="003707FD"/>
    <w:rsid w:val="00371BA8"/>
    <w:rsid w:val="00372C9F"/>
    <w:rsid w:val="00374AD7"/>
    <w:rsid w:val="00374C56"/>
    <w:rsid w:val="00375B8F"/>
    <w:rsid w:val="00380906"/>
    <w:rsid w:val="00381294"/>
    <w:rsid w:val="00382D9C"/>
    <w:rsid w:val="003846B2"/>
    <w:rsid w:val="00384779"/>
    <w:rsid w:val="00384FC9"/>
    <w:rsid w:val="0038503D"/>
    <w:rsid w:val="0038513D"/>
    <w:rsid w:val="00387EAE"/>
    <w:rsid w:val="003915CA"/>
    <w:rsid w:val="00392092"/>
    <w:rsid w:val="003931DD"/>
    <w:rsid w:val="00393908"/>
    <w:rsid w:val="00394652"/>
    <w:rsid w:val="00395620"/>
    <w:rsid w:val="003963C6"/>
    <w:rsid w:val="003A0362"/>
    <w:rsid w:val="003A04BC"/>
    <w:rsid w:val="003A05E4"/>
    <w:rsid w:val="003A0E8F"/>
    <w:rsid w:val="003A2B4F"/>
    <w:rsid w:val="003A3C20"/>
    <w:rsid w:val="003A44F5"/>
    <w:rsid w:val="003A533D"/>
    <w:rsid w:val="003A6ADE"/>
    <w:rsid w:val="003B0508"/>
    <w:rsid w:val="003B05D0"/>
    <w:rsid w:val="003B11A1"/>
    <w:rsid w:val="003B19B3"/>
    <w:rsid w:val="003B2CDC"/>
    <w:rsid w:val="003B3A76"/>
    <w:rsid w:val="003B3C46"/>
    <w:rsid w:val="003B5983"/>
    <w:rsid w:val="003B5DBC"/>
    <w:rsid w:val="003B7081"/>
    <w:rsid w:val="003B7E23"/>
    <w:rsid w:val="003C0215"/>
    <w:rsid w:val="003C3E43"/>
    <w:rsid w:val="003C4795"/>
    <w:rsid w:val="003C68CF"/>
    <w:rsid w:val="003C6DDB"/>
    <w:rsid w:val="003C6E18"/>
    <w:rsid w:val="003C7279"/>
    <w:rsid w:val="003C7DDF"/>
    <w:rsid w:val="003D0829"/>
    <w:rsid w:val="003D0F59"/>
    <w:rsid w:val="003D121F"/>
    <w:rsid w:val="003D3D47"/>
    <w:rsid w:val="003D489B"/>
    <w:rsid w:val="003D55AC"/>
    <w:rsid w:val="003D5696"/>
    <w:rsid w:val="003D7FBE"/>
    <w:rsid w:val="003E0560"/>
    <w:rsid w:val="003E1FC0"/>
    <w:rsid w:val="003E2D57"/>
    <w:rsid w:val="003E7427"/>
    <w:rsid w:val="003E7B8D"/>
    <w:rsid w:val="003F02C8"/>
    <w:rsid w:val="003F034D"/>
    <w:rsid w:val="003F2986"/>
    <w:rsid w:val="003F35BA"/>
    <w:rsid w:val="003F443B"/>
    <w:rsid w:val="003F5577"/>
    <w:rsid w:val="003F5A8C"/>
    <w:rsid w:val="003F66CB"/>
    <w:rsid w:val="003F6794"/>
    <w:rsid w:val="004008F8"/>
    <w:rsid w:val="00401E1E"/>
    <w:rsid w:val="00403322"/>
    <w:rsid w:val="00404B96"/>
    <w:rsid w:val="00407FEC"/>
    <w:rsid w:val="0041074F"/>
    <w:rsid w:val="004116A7"/>
    <w:rsid w:val="004127CC"/>
    <w:rsid w:val="004131BC"/>
    <w:rsid w:val="00413E14"/>
    <w:rsid w:val="00414499"/>
    <w:rsid w:val="00414A53"/>
    <w:rsid w:val="00414BBA"/>
    <w:rsid w:val="0041511C"/>
    <w:rsid w:val="00416D07"/>
    <w:rsid w:val="00420FAE"/>
    <w:rsid w:val="00422B11"/>
    <w:rsid w:val="00422CD0"/>
    <w:rsid w:val="00423AB8"/>
    <w:rsid w:val="004257D8"/>
    <w:rsid w:val="00425CE6"/>
    <w:rsid w:val="00426EE8"/>
    <w:rsid w:val="00430DD9"/>
    <w:rsid w:val="004312E8"/>
    <w:rsid w:val="004313CA"/>
    <w:rsid w:val="00431AD6"/>
    <w:rsid w:val="00432DB3"/>
    <w:rsid w:val="00433BD9"/>
    <w:rsid w:val="00433F2D"/>
    <w:rsid w:val="0043431C"/>
    <w:rsid w:val="00434C34"/>
    <w:rsid w:val="00435CAC"/>
    <w:rsid w:val="0044053B"/>
    <w:rsid w:val="00443586"/>
    <w:rsid w:val="00443864"/>
    <w:rsid w:val="00444053"/>
    <w:rsid w:val="00446065"/>
    <w:rsid w:val="00446E19"/>
    <w:rsid w:val="00446E28"/>
    <w:rsid w:val="00447CF6"/>
    <w:rsid w:val="00453964"/>
    <w:rsid w:val="00453F7C"/>
    <w:rsid w:val="0045516B"/>
    <w:rsid w:val="0045569A"/>
    <w:rsid w:val="004561DF"/>
    <w:rsid w:val="004567FF"/>
    <w:rsid w:val="00456C2D"/>
    <w:rsid w:val="00460F74"/>
    <w:rsid w:val="00464235"/>
    <w:rsid w:val="00465194"/>
    <w:rsid w:val="004656EB"/>
    <w:rsid w:val="00465996"/>
    <w:rsid w:val="0046601D"/>
    <w:rsid w:val="004670A7"/>
    <w:rsid w:val="00470991"/>
    <w:rsid w:val="00471041"/>
    <w:rsid w:val="004712B1"/>
    <w:rsid w:val="00471918"/>
    <w:rsid w:val="004728B4"/>
    <w:rsid w:val="00472B80"/>
    <w:rsid w:val="0047302D"/>
    <w:rsid w:val="00473934"/>
    <w:rsid w:val="00473FB7"/>
    <w:rsid w:val="00474864"/>
    <w:rsid w:val="00474DC3"/>
    <w:rsid w:val="00475A28"/>
    <w:rsid w:val="004766D2"/>
    <w:rsid w:val="004769DB"/>
    <w:rsid w:val="00477AB6"/>
    <w:rsid w:val="004808CC"/>
    <w:rsid w:val="00481165"/>
    <w:rsid w:val="00482B97"/>
    <w:rsid w:val="00482E74"/>
    <w:rsid w:val="0048376E"/>
    <w:rsid w:val="00483979"/>
    <w:rsid w:val="00483CC7"/>
    <w:rsid w:val="00483FF3"/>
    <w:rsid w:val="004848D9"/>
    <w:rsid w:val="00486745"/>
    <w:rsid w:val="004873A8"/>
    <w:rsid w:val="00490BEC"/>
    <w:rsid w:val="00492842"/>
    <w:rsid w:val="00493B19"/>
    <w:rsid w:val="00494E4E"/>
    <w:rsid w:val="00495D51"/>
    <w:rsid w:val="004964CC"/>
    <w:rsid w:val="00496E18"/>
    <w:rsid w:val="0049713B"/>
    <w:rsid w:val="004974B1"/>
    <w:rsid w:val="004A4836"/>
    <w:rsid w:val="004A59BB"/>
    <w:rsid w:val="004A6C25"/>
    <w:rsid w:val="004A7DBB"/>
    <w:rsid w:val="004A7EA0"/>
    <w:rsid w:val="004A7F6C"/>
    <w:rsid w:val="004B13EA"/>
    <w:rsid w:val="004B29B9"/>
    <w:rsid w:val="004B2B4A"/>
    <w:rsid w:val="004B3B66"/>
    <w:rsid w:val="004B44AF"/>
    <w:rsid w:val="004B48BF"/>
    <w:rsid w:val="004C02EC"/>
    <w:rsid w:val="004C0AA2"/>
    <w:rsid w:val="004C1A21"/>
    <w:rsid w:val="004C1FE7"/>
    <w:rsid w:val="004C344C"/>
    <w:rsid w:val="004C35B2"/>
    <w:rsid w:val="004C5529"/>
    <w:rsid w:val="004C7432"/>
    <w:rsid w:val="004C75EC"/>
    <w:rsid w:val="004C7798"/>
    <w:rsid w:val="004C7EF9"/>
    <w:rsid w:val="004D3942"/>
    <w:rsid w:val="004D41AC"/>
    <w:rsid w:val="004D4D99"/>
    <w:rsid w:val="004D6956"/>
    <w:rsid w:val="004D7F18"/>
    <w:rsid w:val="004E0321"/>
    <w:rsid w:val="004E09DD"/>
    <w:rsid w:val="004E0A64"/>
    <w:rsid w:val="004E147A"/>
    <w:rsid w:val="004E1EF6"/>
    <w:rsid w:val="004E22FD"/>
    <w:rsid w:val="004E5A0B"/>
    <w:rsid w:val="004E6776"/>
    <w:rsid w:val="004E6A3A"/>
    <w:rsid w:val="004F163E"/>
    <w:rsid w:val="004F36F7"/>
    <w:rsid w:val="004F38DE"/>
    <w:rsid w:val="004F47F5"/>
    <w:rsid w:val="004F4880"/>
    <w:rsid w:val="004F62C6"/>
    <w:rsid w:val="004F634E"/>
    <w:rsid w:val="004F668A"/>
    <w:rsid w:val="004F6D4C"/>
    <w:rsid w:val="004F6FE8"/>
    <w:rsid w:val="004F730E"/>
    <w:rsid w:val="004F776D"/>
    <w:rsid w:val="004F77CB"/>
    <w:rsid w:val="0050049D"/>
    <w:rsid w:val="00500B67"/>
    <w:rsid w:val="005013DC"/>
    <w:rsid w:val="00501683"/>
    <w:rsid w:val="0050241E"/>
    <w:rsid w:val="00502574"/>
    <w:rsid w:val="00503522"/>
    <w:rsid w:val="00507329"/>
    <w:rsid w:val="005077EB"/>
    <w:rsid w:val="00512576"/>
    <w:rsid w:val="005152D9"/>
    <w:rsid w:val="00516396"/>
    <w:rsid w:val="00517E3C"/>
    <w:rsid w:val="00520735"/>
    <w:rsid w:val="005207DF"/>
    <w:rsid w:val="005215D9"/>
    <w:rsid w:val="005218C6"/>
    <w:rsid w:val="005262EE"/>
    <w:rsid w:val="0052633A"/>
    <w:rsid w:val="00526E69"/>
    <w:rsid w:val="00527388"/>
    <w:rsid w:val="00527689"/>
    <w:rsid w:val="00527D8B"/>
    <w:rsid w:val="00530B13"/>
    <w:rsid w:val="00531EBE"/>
    <w:rsid w:val="0053238E"/>
    <w:rsid w:val="00532E15"/>
    <w:rsid w:val="00533C71"/>
    <w:rsid w:val="00533D2D"/>
    <w:rsid w:val="00535C1B"/>
    <w:rsid w:val="00540375"/>
    <w:rsid w:val="005409DF"/>
    <w:rsid w:val="00540FBA"/>
    <w:rsid w:val="005435A9"/>
    <w:rsid w:val="00544E33"/>
    <w:rsid w:val="0054547D"/>
    <w:rsid w:val="00547069"/>
    <w:rsid w:val="00547627"/>
    <w:rsid w:val="00550F70"/>
    <w:rsid w:val="0055107D"/>
    <w:rsid w:val="00551B17"/>
    <w:rsid w:val="005524D9"/>
    <w:rsid w:val="0055273C"/>
    <w:rsid w:val="00557905"/>
    <w:rsid w:val="00557ABF"/>
    <w:rsid w:val="00561EDF"/>
    <w:rsid w:val="00563C78"/>
    <w:rsid w:val="00565136"/>
    <w:rsid w:val="00566274"/>
    <w:rsid w:val="005665AE"/>
    <w:rsid w:val="005666FC"/>
    <w:rsid w:val="005668BE"/>
    <w:rsid w:val="0056756E"/>
    <w:rsid w:val="00567C83"/>
    <w:rsid w:val="00567D3C"/>
    <w:rsid w:val="0057096D"/>
    <w:rsid w:val="00571EDC"/>
    <w:rsid w:val="005733E7"/>
    <w:rsid w:val="005739A5"/>
    <w:rsid w:val="005745C8"/>
    <w:rsid w:val="00575400"/>
    <w:rsid w:val="00576F5B"/>
    <w:rsid w:val="00576FCB"/>
    <w:rsid w:val="0057714C"/>
    <w:rsid w:val="00577376"/>
    <w:rsid w:val="00581A1C"/>
    <w:rsid w:val="00581EF2"/>
    <w:rsid w:val="005831D8"/>
    <w:rsid w:val="005835D6"/>
    <w:rsid w:val="00583F3E"/>
    <w:rsid w:val="0058424A"/>
    <w:rsid w:val="00586CF7"/>
    <w:rsid w:val="00591292"/>
    <w:rsid w:val="0059142C"/>
    <w:rsid w:val="0059207E"/>
    <w:rsid w:val="00594DAC"/>
    <w:rsid w:val="00595975"/>
    <w:rsid w:val="00595D58"/>
    <w:rsid w:val="005960F4"/>
    <w:rsid w:val="00596533"/>
    <w:rsid w:val="005967DC"/>
    <w:rsid w:val="00597D29"/>
    <w:rsid w:val="00597ED3"/>
    <w:rsid w:val="005A0169"/>
    <w:rsid w:val="005A0305"/>
    <w:rsid w:val="005A1041"/>
    <w:rsid w:val="005A1E4E"/>
    <w:rsid w:val="005A219D"/>
    <w:rsid w:val="005A2538"/>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5B35"/>
    <w:rsid w:val="005B6412"/>
    <w:rsid w:val="005C06FC"/>
    <w:rsid w:val="005C0FEB"/>
    <w:rsid w:val="005C19DF"/>
    <w:rsid w:val="005C1C4F"/>
    <w:rsid w:val="005C319A"/>
    <w:rsid w:val="005C5116"/>
    <w:rsid w:val="005C5152"/>
    <w:rsid w:val="005C5484"/>
    <w:rsid w:val="005C6642"/>
    <w:rsid w:val="005C7699"/>
    <w:rsid w:val="005C7C60"/>
    <w:rsid w:val="005D0072"/>
    <w:rsid w:val="005D209B"/>
    <w:rsid w:val="005D28D4"/>
    <w:rsid w:val="005D4920"/>
    <w:rsid w:val="005D59F3"/>
    <w:rsid w:val="005D5EB0"/>
    <w:rsid w:val="005D66AB"/>
    <w:rsid w:val="005D68FB"/>
    <w:rsid w:val="005D727B"/>
    <w:rsid w:val="005D7B37"/>
    <w:rsid w:val="005D7D80"/>
    <w:rsid w:val="005E133C"/>
    <w:rsid w:val="005E1D75"/>
    <w:rsid w:val="005E1EE8"/>
    <w:rsid w:val="005E28AD"/>
    <w:rsid w:val="005E3064"/>
    <w:rsid w:val="005E4947"/>
    <w:rsid w:val="005E5E73"/>
    <w:rsid w:val="005E5EC0"/>
    <w:rsid w:val="005F04CB"/>
    <w:rsid w:val="005F081B"/>
    <w:rsid w:val="005F0B8B"/>
    <w:rsid w:val="005F0D2E"/>
    <w:rsid w:val="005F1786"/>
    <w:rsid w:val="005F252B"/>
    <w:rsid w:val="005F3452"/>
    <w:rsid w:val="005F4D0E"/>
    <w:rsid w:val="005F4E00"/>
    <w:rsid w:val="005F4E21"/>
    <w:rsid w:val="005F6784"/>
    <w:rsid w:val="005F6919"/>
    <w:rsid w:val="005F7DC8"/>
    <w:rsid w:val="0060047F"/>
    <w:rsid w:val="00604066"/>
    <w:rsid w:val="00604F1E"/>
    <w:rsid w:val="00607A97"/>
    <w:rsid w:val="00607F1A"/>
    <w:rsid w:val="006104C0"/>
    <w:rsid w:val="0061071E"/>
    <w:rsid w:val="00610FD7"/>
    <w:rsid w:val="00613A4E"/>
    <w:rsid w:val="00614C8E"/>
    <w:rsid w:val="006168EF"/>
    <w:rsid w:val="00617BA0"/>
    <w:rsid w:val="0062036B"/>
    <w:rsid w:val="006208A0"/>
    <w:rsid w:val="006209CA"/>
    <w:rsid w:val="00625C3F"/>
    <w:rsid w:val="00625DC4"/>
    <w:rsid w:val="0062664C"/>
    <w:rsid w:val="00630980"/>
    <w:rsid w:val="00631356"/>
    <w:rsid w:val="00631E73"/>
    <w:rsid w:val="00633BB1"/>
    <w:rsid w:val="00633C97"/>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6E88"/>
    <w:rsid w:val="00657AE4"/>
    <w:rsid w:val="0066005B"/>
    <w:rsid w:val="00660A69"/>
    <w:rsid w:val="006651F1"/>
    <w:rsid w:val="006667FD"/>
    <w:rsid w:val="006675E0"/>
    <w:rsid w:val="0066770F"/>
    <w:rsid w:val="00671864"/>
    <w:rsid w:val="00672BBE"/>
    <w:rsid w:val="0067300D"/>
    <w:rsid w:val="00674361"/>
    <w:rsid w:val="00675ACB"/>
    <w:rsid w:val="00676178"/>
    <w:rsid w:val="0067638B"/>
    <w:rsid w:val="00677741"/>
    <w:rsid w:val="0068068A"/>
    <w:rsid w:val="006817D7"/>
    <w:rsid w:val="006825F0"/>
    <w:rsid w:val="006827CA"/>
    <w:rsid w:val="006832BE"/>
    <w:rsid w:val="00683C09"/>
    <w:rsid w:val="00685698"/>
    <w:rsid w:val="00686E73"/>
    <w:rsid w:val="00690089"/>
    <w:rsid w:val="006902D1"/>
    <w:rsid w:val="006911F3"/>
    <w:rsid w:val="00691A1A"/>
    <w:rsid w:val="00693A3C"/>
    <w:rsid w:val="00693B74"/>
    <w:rsid w:val="00693BE4"/>
    <w:rsid w:val="006950AE"/>
    <w:rsid w:val="006955A9"/>
    <w:rsid w:val="006964B3"/>
    <w:rsid w:val="0069696F"/>
    <w:rsid w:val="006A10E4"/>
    <w:rsid w:val="006A1305"/>
    <w:rsid w:val="006A1B29"/>
    <w:rsid w:val="006A2387"/>
    <w:rsid w:val="006A288E"/>
    <w:rsid w:val="006A2F1E"/>
    <w:rsid w:val="006A3006"/>
    <w:rsid w:val="006A3DC3"/>
    <w:rsid w:val="006A48B6"/>
    <w:rsid w:val="006A53BA"/>
    <w:rsid w:val="006A7B63"/>
    <w:rsid w:val="006B1DC5"/>
    <w:rsid w:val="006B3040"/>
    <w:rsid w:val="006B318B"/>
    <w:rsid w:val="006B43B3"/>
    <w:rsid w:val="006B5C9A"/>
    <w:rsid w:val="006B632F"/>
    <w:rsid w:val="006B6F3B"/>
    <w:rsid w:val="006B7246"/>
    <w:rsid w:val="006C1A48"/>
    <w:rsid w:val="006C211C"/>
    <w:rsid w:val="006C2468"/>
    <w:rsid w:val="006C4799"/>
    <w:rsid w:val="006C4CCB"/>
    <w:rsid w:val="006C5EDD"/>
    <w:rsid w:val="006C5F6F"/>
    <w:rsid w:val="006C6EEC"/>
    <w:rsid w:val="006C7C7D"/>
    <w:rsid w:val="006D0C35"/>
    <w:rsid w:val="006D0D78"/>
    <w:rsid w:val="006D14AA"/>
    <w:rsid w:val="006D2F45"/>
    <w:rsid w:val="006D3D51"/>
    <w:rsid w:val="006D5DEF"/>
    <w:rsid w:val="006E00E3"/>
    <w:rsid w:val="006E03CE"/>
    <w:rsid w:val="006E1939"/>
    <w:rsid w:val="006E4A18"/>
    <w:rsid w:val="006E50FF"/>
    <w:rsid w:val="006E5998"/>
    <w:rsid w:val="006E76C9"/>
    <w:rsid w:val="006E79DB"/>
    <w:rsid w:val="006F14B6"/>
    <w:rsid w:val="006F17A1"/>
    <w:rsid w:val="006F1C9E"/>
    <w:rsid w:val="006F2BCD"/>
    <w:rsid w:val="006F2F1E"/>
    <w:rsid w:val="006F3B0F"/>
    <w:rsid w:val="006F44BD"/>
    <w:rsid w:val="006F59E2"/>
    <w:rsid w:val="006F5D96"/>
    <w:rsid w:val="006F7478"/>
    <w:rsid w:val="006F77D2"/>
    <w:rsid w:val="00702CB8"/>
    <w:rsid w:val="00703330"/>
    <w:rsid w:val="007046A7"/>
    <w:rsid w:val="0070590E"/>
    <w:rsid w:val="00705BED"/>
    <w:rsid w:val="00705F2B"/>
    <w:rsid w:val="00707B45"/>
    <w:rsid w:val="007132D0"/>
    <w:rsid w:val="00713A0A"/>
    <w:rsid w:val="00715166"/>
    <w:rsid w:val="00715276"/>
    <w:rsid w:val="007152DE"/>
    <w:rsid w:val="0071634D"/>
    <w:rsid w:val="00717B79"/>
    <w:rsid w:val="0072008C"/>
    <w:rsid w:val="00720ADC"/>
    <w:rsid w:val="0072140E"/>
    <w:rsid w:val="00721F12"/>
    <w:rsid w:val="00725FA2"/>
    <w:rsid w:val="00726618"/>
    <w:rsid w:val="007274C0"/>
    <w:rsid w:val="007329B6"/>
    <w:rsid w:val="00733284"/>
    <w:rsid w:val="007332A7"/>
    <w:rsid w:val="00733A33"/>
    <w:rsid w:val="0073461F"/>
    <w:rsid w:val="007355DC"/>
    <w:rsid w:val="00736CB7"/>
    <w:rsid w:val="0073746B"/>
    <w:rsid w:val="00737E19"/>
    <w:rsid w:val="00740467"/>
    <w:rsid w:val="00741843"/>
    <w:rsid w:val="0074223C"/>
    <w:rsid w:val="00742F66"/>
    <w:rsid w:val="00743809"/>
    <w:rsid w:val="00745B98"/>
    <w:rsid w:val="00746077"/>
    <w:rsid w:val="007462BD"/>
    <w:rsid w:val="007465BC"/>
    <w:rsid w:val="00747A4E"/>
    <w:rsid w:val="007507BE"/>
    <w:rsid w:val="00750859"/>
    <w:rsid w:val="0075091E"/>
    <w:rsid w:val="007516CF"/>
    <w:rsid w:val="007527DA"/>
    <w:rsid w:val="00752D72"/>
    <w:rsid w:val="00753703"/>
    <w:rsid w:val="00755CC0"/>
    <w:rsid w:val="00760074"/>
    <w:rsid w:val="0076010D"/>
    <w:rsid w:val="007608EB"/>
    <w:rsid w:val="00760C67"/>
    <w:rsid w:val="00760D80"/>
    <w:rsid w:val="007618EF"/>
    <w:rsid w:val="00761EE9"/>
    <w:rsid w:val="00761FF3"/>
    <w:rsid w:val="0076281D"/>
    <w:rsid w:val="00763535"/>
    <w:rsid w:val="0076385B"/>
    <w:rsid w:val="00763C24"/>
    <w:rsid w:val="00764823"/>
    <w:rsid w:val="00766510"/>
    <w:rsid w:val="007673EB"/>
    <w:rsid w:val="007712A6"/>
    <w:rsid w:val="007725E4"/>
    <w:rsid w:val="00773685"/>
    <w:rsid w:val="00773A93"/>
    <w:rsid w:val="00773B1E"/>
    <w:rsid w:val="00774996"/>
    <w:rsid w:val="007751EE"/>
    <w:rsid w:val="007769B6"/>
    <w:rsid w:val="007772E3"/>
    <w:rsid w:val="007776A5"/>
    <w:rsid w:val="00777DD6"/>
    <w:rsid w:val="00777E1D"/>
    <w:rsid w:val="00780E79"/>
    <w:rsid w:val="00783D38"/>
    <w:rsid w:val="007843E1"/>
    <w:rsid w:val="007851C8"/>
    <w:rsid w:val="007853F7"/>
    <w:rsid w:val="00785FBC"/>
    <w:rsid w:val="00786863"/>
    <w:rsid w:val="00790147"/>
    <w:rsid w:val="00790E18"/>
    <w:rsid w:val="00791469"/>
    <w:rsid w:val="007923BA"/>
    <w:rsid w:val="00793E01"/>
    <w:rsid w:val="007946CB"/>
    <w:rsid w:val="00795A31"/>
    <w:rsid w:val="007960BE"/>
    <w:rsid w:val="00797AB9"/>
    <w:rsid w:val="007A028C"/>
    <w:rsid w:val="007A03C4"/>
    <w:rsid w:val="007A121C"/>
    <w:rsid w:val="007A1E5C"/>
    <w:rsid w:val="007A2062"/>
    <w:rsid w:val="007A23C0"/>
    <w:rsid w:val="007A2961"/>
    <w:rsid w:val="007A40B2"/>
    <w:rsid w:val="007A4F72"/>
    <w:rsid w:val="007A55F1"/>
    <w:rsid w:val="007A704F"/>
    <w:rsid w:val="007A72FE"/>
    <w:rsid w:val="007A7845"/>
    <w:rsid w:val="007A7FA3"/>
    <w:rsid w:val="007B1819"/>
    <w:rsid w:val="007B1939"/>
    <w:rsid w:val="007B1A58"/>
    <w:rsid w:val="007B24EC"/>
    <w:rsid w:val="007B2B60"/>
    <w:rsid w:val="007B38D1"/>
    <w:rsid w:val="007B39D3"/>
    <w:rsid w:val="007B5A48"/>
    <w:rsid w:val="007B6B14"/>
    <w:rsid w:val="007B72A9"/>
    <w:rsid w:val="007B75E6"/>
    <w:rsid w:val="007B7BFE"/>
    <w:rsid w:val="007C12BA"/>
    <w:rsid w:val="007C1E72"/>
    <w:rsid w:val="007C2723"/>
    <w:rsid w:val="007C35FE"/>
    <w:rsid w:val="007C3DD0"/>
    <w:rsid w:val="007C43C3"/>
    <w:rsid w:val="007C5098"/>
    <w:rsid w:val="007C691B"/>
    <w:rsid w:val="007D0E68"/>
    <w:rsid w:val="007D106B"/>
    <w:rsid w:val="007D1163"/>
    <w:rsid w:val="007D1921"/>
    <w:rsid w:val="007D1955"/>
    <w:rsid w:val="007D197C"/>
    <w:rsid w:val="007D2136"/>
    <w:rsid w:val="007D30A1"/>
    <w:rsid w:val="007D359F"/>
    <w:rsid w:val="007D385B"/>
    <w:rsid w:val="007E0627"/>
    <w:rsid w:val="007E063B"/>
    <w:rsid w:val="007E0BD2"/>
    <w:rsid w:val="007E0DD4"/>
    <w:rsid w:val="007E173E"/>
    <w:rsid w:val="007E1A89"/>
    <w:rsid w:val="007E1D56"/>
    <w:rsid w:val="007E51BF"/>
    <w:rsid w:val="007E5C1A"/>
    <w:rsid w:val="007E6A59"/>
    <w:rsid w:val="007F0CF0"/>
    <w:rsid w:val="007F16B5"/>
    <w:rsid w:val="007F20CC"/>
    <w:rsid w:val="007F2CB8"/>
    <w:rsid w:val="007F4CE0"/>
    <w:rsid w:val="007F4FFE"/>
    <w:rsid w:val="007F5D9C"/>
    <w:rsid w:val="007F6D8A"/>
    <w:rsid w:val="00801F2D"/>
    <w:rsid w:val="00802606"/>
    <w:rsid w:val="008036AB"/>
    <w:rsid w:val="00803921"/>
    <w:rsid w:val="0080402D"/>
    <w:rsid w:val="008040E8"/>
    <w:rsid w:val="00804161"/>
    <w:rsid w:val="00807475"/>
    <w:rsid w:val="00811222"/>
    <w:rsid w:val="00811463"/>
    <w:rsid w:val="00811706"/>
    <w:rsid w:val="00813A41"/>
    <w:rsid w:val="00813C9B"/>
    <w:rsid w:val="00814D02"/>
    <w:rsid w:val="00814FC4"/>
    <w:rsid w:val="008163D1"/>
    <w:rsid w:val="008200D0"/>
    <w:rsid w:val="008224CB"/>
    <w:rsid w:val="00822EAC"/>
    <w:rsid w:val="008249F2"/>
    <w:rsid w:val="008274FF"/>
    <w:rsid w:val="008276F3"/>
    <w:rsid w:val="00827B3A"/>
    <w:rsid w:val="00827D95"/>
    <w:rsid w:val="008359E3"/>
    <w:rsid w:val="00835E7E"/>
    <w:rsid w:val="00836418"/>
    <w:rsid w:val="00836AED"/>
    <w:rsid w:val="00836B1D"/>
    <w:rsid w:val="00840037"/>
    <w:rsid w:val="00841E86"/>
    <w:rsid w:val="00842DA3"/>
    <w:rsid w:val="00842DCC"/>
    <w:rsid w:val="00842E06"/>
    <w:rsid w:val="00842F69"/>
    <w:rsid w:val="0084309C"/>
    <w:rsid w:val="0084336B"/>
    <w:rsid w:val="008433D6"/>
    <w:rsid w:val="0084357E"/>
    <w:rsid w:val="00843A4A"/>
    <w:rsid w:val="00843C34"/>
    <w:rsid w:val="008447E6"/>
    <w:rsid w:val="00846772"/>
    <w:rsid w:val="00846854"/>
    <w:rsid w:val="008508BA"/>
    <w:rsid w:val="00850E89"/>
    <w:rsid w:val="008513BF"/>
    <w:rsid w:val="00852196"/>
    <w:rsid w:val="00853996"/>
    <w:rsid w:val="00854F8F"/>
    <w:rsid w:val="00855C7A"/>
    <w:rsid w:val="0086090B"/>
    <w:rsid w:val="00861330"/>
    <w:rsid w:val="008614D5"/>
    <w:rsid w:val="00863A00"/>
    <w:rsid w:val="00864740"/>
    <w:rsid w:val="00864B67"/>
    <w:rsid w:val="0086657D"/>
    <w:rsid w:val="0087104A"/>
    <w:rsid w:val="00872BFE"/>
    <w:rsid w:val="00873BE8"/>
    <w:rsid w:val="008741EF"/>
    <w:rsid w:val="00875A1E"/>
    <w:rsid w:val="008773F5"/>
    <w:rsid w:val="00880EC9"/>
    <w:rsid w:val="0088255F"/>
    <w:rsid w:val="00884CCA"/>
    <w:rsid w:val="00884F1C"/>
    <w:rsid w:val="00885459"/>
    <w:rsid w:val="00885562"/>
    <w:rsid w:val="00886D55"/>
    <w:rsid w:val="008907C0"/>
    <w:rsid w:val="00890B8D"/>
    <w:rsid w:val="00890F13"/>
    <w:rsid w:val="008913EA"/>
    <w:rsid w:val="00892197"/>
    <w:rsid w:val="00893811"/>
    <w:rsid w:val="00893CC0"/>
    <w:rsid w:val="00894241"/>
    <w:rsid w:val="0089425F"/>
    <w:rsid w:val="00894560"/>
    <w:rsid w:val="008A1AC5"/>
    <w:rsid w:val="008A2C84"/>
    <w:rsid w:val="008A6507"/>
    <w:rsid w:val="008A6AC2"/>
    <w:rsid w:val="008A77A7"/>
    <w:rsid w:val="008B0346"/>
    <w:rsid w:val="008B0651"/>
    <w:rsid w:val="008B1794"/>
    <w:rsid w:val="008B2C37"/>
    <w:rsid w:val="008B3087"/>
    <w:rsid w:val="008B4255"/>
    <w:rsid w:val="008B5615"/>
    <w:rsid w:val="008B6574"/>
    <w:rsid w:val="008B6FE9"/>
    <w:rsid w:val="008C0823"/>
    <w:rsid w:val="008C14DE"/>
    <w:rsid w:val="008C2312"/>
    <w:rsid w:val="008C2832"/>
    <w:rsid w:val="008C2835"/>
    <w:rsid w:val="008C36AF"/>
    <w:rsid w:val="008C398D"/>
    <w:rsid w:val="008C3EB2"/>
    <w:rsid w:val="008C5315"/>
    <w:rsid w:val="008C5DA0"/>
    <w:rsid w:val="008C63A1"/>
    <w:rsid w:val="008C7DF0"/>
    <w:rsid w:val="008D1E5B"/>
    <w:rsid w:val="008D25D2"/>
    <w:rsid w:val="008D287D"/>
    <w:rsid w:val="008D3FD7"/>
    <w:rsid w:val="008D4F8A"/>
    <w:rsid w:val="008D57F1"/>
    <w:rsid w:val="008D5F35"/>
    <w:rsid w:val="008D6599"/>
    <w:rsid w:val="008D75D6"/>
    <w:rsid w:val="008D7866"/>
    <w:rsid w:val="008D796F"/>
    <w:rsid w:val="008E262F"/>
    <w:rsid w:val="008E2D3E"/>
    <w:rsid w:val="008E3B33"/>
    <w:rsid w:val="008E407E"/>
    <w:rsid w:val="008E4505"/>
    <w:rsid w:val="008E4E60"/>
    <w:rsid w:val="008E6386"/>
    <w:rsid w:val="008E7B37"/>
    <w:rsid w:val="008E7FDE"/>
    <w:rsid w:val="008F0B7B"/>
    <w:rsid w:val="008F3505"/>
    <w:rsid w:val="008F404E"/>
    <w:rsid w:val="008F671A"/>
    <w:rsid w:val="008F7A35"/>
    <w:rsid w:val="009022C6"/>
    <w:rsid w:val="009023E9"/>
    <w:rsid w:val="009025DD"/>
    <w:rsid w:val="00902978"/>
    <w:rsid w:val="00902BF6"/>
    <w:rsid w:val="0090340E"/>
    <w:rsid w:val="0090352E"/>
    <w:rsid w:val="00903C1B"/>
    <w:rsid w:val="00904CC5"/>
    <w:rsid w:val="00904FF4"/>
    <w:rsid w:val="00905970"/>
    <w:rsid w:val="00905DE1"/>
    <w:rsid w:val="00906EB4"/>
    <w:rsid w:val="0091046A"/>
    <w:rsid w:val="0091140A"/>
    <w:rsid w:val="009115ED"/>
    <w:rsid w:val="0091214E"/>
    <w:rsid w:val="0091398A"/>
    <w:rsid w:val="00921FD3"/>
    <w:rsid w:val="009220D7"/>
    <w:rsid w:val="00923324"/>
    <w:rsid w:val="00927131"/>
    <w:rsid w:val="00930039"/>
    <w:rsid w:val="00932441"/>
    <w:rsid w:val="0093323D"/>
    <w:rsid w:val="00933689"/>
    <w:rsid w:val="00934BC6"/>
    <w:rsid w:val="009375E2"/>
    <w:rsid w:val="0094064D"/>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437"/>
    <w:rsid w:val="00960B89"/>
    <w:rsid w:val="00960C28"/>
    <w:rsid w:val="00961EC6"/>
    <w:rsid w:val="00962715"/>
    <w:rsid w:val="00962DB3"/>
    <w:rsid w:val="00966401"/>
    <w:rsid w:val="00966A53"/>
    <w:rsid w:val="009705F9"/>
    <w:rsid w:val="00971766"/>
    <w:rsid w:val="009717C5"/>
    <w:rsid w:val="00974E6B"/>
    <w:rsid w:val="00975767"/>
    <w:rsid w:val="00976536"/>
    <w:rsid w:val="00976765"/>
    <w:rsid w:val="00977CE3"/>
    <w:rsid w:val="009836B4"/>
    <w:rsid w:val="00983DB2"/>
    <w:rsid w:val="009848B8"/>
    <w:rsid w:val="0098497B"/>
    <w:rsid w:val="00985F2E"/>
    <w:rsid w:val="0098628E"/>
    <w:rsid w:val="00986A04"/>
    <w:rsid w:val="00986B43"/>
    <w:rsid w:val="00986D32"/>
    <w:rsid w:val="009875F2"/>
    <w:rsid w:val="00987BD4"/>
    <w:rsid w:val="009926C0"/>
    <w:rsid w:val="0099390C"/>
    <w:rsid w:val="00994637"/>
    <w:rsid w:val="00994AF2"/>
    <w:rsid w:val="00996071"/>
    <w:rsid w:val="009975CB"/>
    <w:rsid w:val="009977D9"/>
    <w:rsid w:val="009A01CB"/>
    <w:rsid w:val="009A1F68"/>
    <w:rsid w:val="009A21CF"/>
    <w:rsid w:val="009A2396"/>
    <w:rsid w:val="009A25C6"/>
    <w:rsid w:val="009A31A2"/>
    <w:rsid w:val="009A3A2C"/>
    <w:rsid w:val="009A46B3"/>
    <w:rsid w:val="009A49C9"/>
    <w:rsid w:val="009B0C2F"/>
    <w:rsid w:val="009B2630"/>
    <w:rsid w:val="009B30B2"/>
    <w:rsid w:val="009B7B13"/>
    <w:rsid w:val="009C0737"/>
    <w:rsid w:val="009C0974"/>
    <w:rsid w:val="009C0B4E"/>
    <w:rsid w:val="009C2448"/>
    <w:rsid w:val="009C2DB2"/>
    <w:rsid w:val="009C2E4D"/>
    <w:rsid w:val="009C3C69"/>
    <w:rsid w:val="009C5843"/>
    <w:rsid w:val="009C5BC0"/>
    <w:rsid w:val="009C6055"/>
    <w:rsid w:val="009C6836"/>
    <w:rsid w:val="009C74BF"/>
    <w:rsid w:val="009D022B"/>
    <w:rsid w:val="009D0CDB"/>
    <w:rsid w:val="009D1277"/>
    <w:rsid w:val="009D1707"/>
    <w:rsid w:val="009D1797"/>
    <w:rsid w:val="009D20C5"/>
    <w:rsid w:val="009D2BD1"/>
    <w:rsid w:val="009D4C21"/>
    <w:rsid w:val="009D7680"/>
    <w:rsid w:val="009E148C"/>
    <w:rsid w:val="009E218E"/>
    <w:rsid w:val="009E2823"/>
    <w:rsid w:val="009E40F1"/>
    <w:rsid w:val="009E4A46"/>
    <w:rsid w:val="009E7376"/>
    <w:rsid w:val="009F2C0F"/>
    <w:rsid w:val="009F2CC3"/>
    <w:rsid w:val="009F3E96"/>
    <w:rsid w:val="009F48F0"/>
    <w:rsid w:val="009F5208"/>
    <w:rsid w:val="009F6057"/>
    <w:rsid w:val="009F655A"/>
    <w:rsid w:val="009F6769"/>
    <w:rsid w:val="00A00CBC"/>
    <w:rsid w:val="00A014FE"/>
    <w:rsid w:val="00A018D0"/>
    <w:rsid w:val="00A02272"/>
    <w:rsid w:val="00A028DB"/>
    <w:rsid w:val="00A0350E"/>
    <w:rsid w:val="00A0356E"/>
    <w:rsid w:val="00A03662"/>
    <w:rsid w:val="00A05561"/>
    <w:rsid w:val="00A05575"/>
    <w:rsid w:val="00A11126"/>
    <w:rsid w:val="00A1127E"/>
    <w:rsid w:val="00A12842"/>
    <w:rsid w:val="00A1373B"/>
    <w:rsid w:val="00A14404"/>
    <w:rsid w:val="00A1575C"/>
    <w:rsid w:val="00A1709C"/>
    <w:rsid w:val="00A171AF"/>
    <w:rsid w:val="00A17317"/>
    <w:rsid w:val="00A20D01"/>
    <w:rsid w:val="00A21F97"/>
    <w:rsid w:val="00A25258"/>
    <w:rsid w:val="00A26365"/>
    <w:rsid w:val="00A263B1"/>
    <w:rsid w:val="00A26E01"/>
    <w:rsid w:val="00A3066F"/>
    <w:rsid w:val="00A31367"/>
    <w:rsid w:val="00A3217B"/>
    <w:rsid w:val="00A32999"/>
    <w:rsid w:val="00A33280"/>
    <w:rsid w:val="00A335C8"/>
    <w:rsid w:val="00A33C67"/>
    <w:rsid w:val="00A3432F"/>
    <w:rsid w:val="00A3469C"/>
    <w:rsid w:val="00A35389"/>
    <w:rsid w:val="00A418BE"/>
    <w:rsid w:val="00A42A13"/>
    <w:rsid w:val="00A43A37"/>
    <w:rsid w:val="00A43F1D"/>
    <w:rsid w:val="00A467A2"/>
    <w:rsid w:val="00A46BC3"/>
    <w:rsid w:val="00A47B2F"/>
    <w:rsid w:val="00A51FED"/>
    <w:rsid w:val="00A52334"/>
    <w:rsid w:val="00A52E35"/>
    <w:rsid w:val="00A5326B"/>
    <w:rsid w:val="00A536E3"/>
    <w:rsid w:val="00A557F7"/>
    <w:rsid w:val="00A5660A"/>
    <w:rsid w:val="00A5765B"/>
    <w:rsid w:val="00A576AA"/>
    <w:rsid w:val="00A577CB"/>
    <w:rsid w:val="00A57A6C"/>
    <w:rsid w:val="00A60EAB"/>
    <w:rsid w:val="00A62741"/>
    <w:rsid w:val="00A6476E"/>
    <w:rsid w:val="00A64AFE"/>
    <w:rsid w:val="00A65014"/>
    <w:rsid w:val="00A65D9C"/>
    <w:rsid w:val="00A666C2"/>
    <w:rsid w:val="00A70A96"/>
    <w:rsid w:val="00A71C54"/>
    <w:rsid w:val="00A73829"/>
    <w:rsid w:val="00A73F88"/>
    <w:rsid w:val="00A74538"/>
    <w:rsid w:val="00A76245"/>
    <w:rsid w:val="00A772C2"/>
    <w:rsid w:val="00A83490"/>
    <w:rsid w:val="00A863D4"/>
    <w:rsid w:val="00A864F9"/>
    <w:rsid w:val="00A871E7"/>
    <w:rsid w:val="00A91604"/>
    <w:rsid w:val="00A9270B"/>
    <w:rsid w:val="00A93F25"/>
    <w:rsid w:val="00A9464A"/>
    <w:rsid w:val="00A96CAA"/>
    <w:rsid w:val="00A97449"/>
    <w:rsid w:val="00A97D7A"/>
    <w:rsid w:val="00A97FAC"/>
    <w:rsid w:val="00AA3051"/>
    <w:rsid w:val="00AA3188"/>
    <w:rsid w:val="00AA39B6"/>
    <w:rsid w:val="00AA3D2E"/>
    <w:rsid w:val="00AA3D85"/>
    <w:rsid w:val="00AA472B"/>
    <w:rsid w:val="00AA528A"/>
    <w:rsid w:val="00AA5847"/>
    <w:rsid w:val="00AA591D"/>
    <w:rsid w:val="00AA5DD6"/>
    <w:rsid w:val="00AB0DE9"/>
    <w:rsid w:val="00AB27C8"/>
    <w:rsid w:val="00AB4332"/>
    <w:rsid w:val="00AB5C1C"/>
    <w:rsid w:val="00AB5CC7"/>
    <w:rsid w:val="00AC1636"/>
    <w:rsid w:val="00AC27E7"/>
    <w:rsid w:val="00AC3EA2"/>
    <w:rsid w:val="00AC3FFC"/>
    <w:rsid w:val="00AC50FE"/>
    <w:rsid w:val="00AC51FC"/>
    <w:rsid w:val="00AC534D"/>
    <w:rsid w:val="00AC5770"/>
    <w:rsid w:val="00AC5909"/>
    <w:rsid w:val="00AC5A0A"/>
    <w:rsid w:val="00AC5EB4"/>
    <w:rsid w:val="00AC68B3"/>
    <w:rsid w:val="00AC6FE1"/>
    <w:rsid w:val="00AD00FE"/>
    <w:rsid w:val="00AD053A"/>
    <w:rsid w:val="00AD1528"/>
    <w:rsid w:val="00AD4014"/>
    <w:rsid w:val="00AD5088"/>
    <w:rsid w:val="00AD5C33"/>
    <w:rsid w:val="00AE0CCA"/>
    <w:rsid w:val="00AE148D"/>
    <w:rsid w:val="00AE1762"/>
    <w:rsid w:val="00AE26FC"/>
    <w:rsid w:val="00AE27E5"/>
    <w:rsid w:val="00AE2B85"/>
    <w:rsid w:val="00AE4676"/>
    <w:rsid w:val="00AE59ED"/>
    <w:rsid w:val="00AE6F5B"/>
    <w:rsid w:val="00AF04DD"/>
    <w:rsid w:val="00AF0C30"/>
    <w:rsid w:val="00AF2FFB"/>
    <w:rsid w:val="00AF3631"/>
    <w:rsid w:val="00AF4800"/>
    <w:rsid w:val="00AF5006"/>
    <w:rsid w:val="00AF58AA"/>
    <w:rsid w:val="00AF6197"/>
    <w:rsid w:val="00AF63CB"/>
    <w:rsid w:val="00AF6950"/>
    <w:rsid w:val="00B00A62"/>
    <w:rsid w:val="00B00BF4"/>
    <w:rsid w:val="00B010F3"/>
    <w:rsid w:val="00B01FC7"/>
    <w:rsid w:val="00B03066"/>
    <w:rsid w:val="00B03162"/>
    <w:rsid w:val="00B04117"/>
    <w:rsid w:val="00B047B4"/>
    <w:rsid w:val="00B05131"/>
    <w:rsid w:val="00B06143"/>
    <w:rsid w:val="00B06322"/>
    <w:rsid w:val="00B07AB1"/>
    <w:rsid w:val="00B10A52"/>
    <w:rsid w:val="00B111D4"/>
    <w:rsid w:val="00B12FE2"/>
    <w:rsid w:val="00B137C4"/>
    <w:rsid w:val="00B15A94"/>
    <w:rsid w:val="00B16033"/>
    <w:rsid w:val="00B17909"/>
    <w:rsid w:val="00B20129"/>
    <w:rsid w:val="00B2026A"/>
    <w:rsid w:val="00B22713"/>
    <w:rsid w:val="00B228A4"/>
    <w:rsid w:val="00B2367D"/>
    <w:rsid w:val="00B26A74"/>
    <w:rsid w:val="00B278C4"/>
    <w:rsid w:val="00B31502"/>
    <w:rsid w:val="00B3159C"/>
    <w:rsid w:val="00B33243"/>
    <w:rsid w:val="00B33F55"/>
    <w:rsid w:val="00B348D5"/>
    <w:rsid w:val="00B350A0"/>
    <w:rsid w:val="00B356D1"/>
    <w:rsid w:val="00B368D2"/>
    <w:rsid w:val="00B401D5"/>
    <w:rsid w:val="00B41FC1"/>
    <w:rsid w:val="00B4315E"/>
    <w:rsid w:val="00B4341D"/>
    <w:rsid w:val="00B4425E"/>
    <w:rsid w:val="00B44BC2"/>
    <w:rsid w:val="00B45449"/>
    <w:rsid w:val="00B45E7A"/>
    <w:rsid w:val="00B4618E"/>
    <w:rsid w:val="00B47CC7"/>
    <w:rsid w:val="00B5081E"/>
    <w:rsid w:val="00B508B5"/>
    <w:rsid w:val="00B509BA"/>
    <w:rsid w:val="00B5113E"/>
    <w:rsid w:val="00B51FD5"/>
    <w:rsid w:val="00B536AF"/>
    <w:rsid w:val="00B53853"/>
    <w:rsid w:val="00B53950"/>
    <w:rsid w:val="00B54101"/>
    <w:rsid w:val="00B54C1B"/>
    <w:rsid w:val="00B55314"/>
    <w:rsid w:val="00B560A2"/>
    <w:rsid w:val="00B57D0E"/>
    <w:rsid w:val="00B616B7"/>
    <w:rsid w:val="00B637B8"/>
    <w:rsid w:val="00B639AD"/>
    <w:rsid w:val="00B64B5F"/>
    <w:rsid w:val="00B64F3D"/>
    <w:rsid w:val="00B66425"/>
    <w:rsid w:val="00B71677"/>
    <w:rsid w:val="00B722B1"/>
    <w:rsid w:val="00B72601"/>
    <w:rsid w:val="00B7439D"/>
    <w:rsid w:val="00B74B83"/>
    <w:rsid w:val="00B75A1B"/>
    <w:rsid w:val="00B7669C"/>
    <w:rsid w:val="00B82D8F"/>
    <w:rsid w:val="00B83D81"/>
    <w:rsid w:val="00B856C9"/>
    <w:rsid w:val="00B8636D"/>
    <w:rsid w:val="00B87178"/>
    <w:rsid w:val="00B90220"/>
    <w:rsid w:val="00B90AD5"/>
    <w:rsid w:val="00B92579"/>
    <w:rsid w:val="00B928DE"/>
    <w:rsid w:val="00B92CA8"/>
    <w:rsid w:val="00B92D0D"/>
    <w:rsid w:val="00B93E20"/>
    <w:rsid w:val="00B941C6"/>
    <w:rsid w:val="00B94F0D"/>
    <w:rsid w:val="00B95746"/>
    <w:rsid w:val="00BA0DE8"/>
    <w:rsid w:val="00BA0FA8"/>
    <w:rsid w:val="00BA1079"/>
    <w:rsid w:val="00BA30B9"/>
    <w:rsid w:val="00BA3E21"/>
    <w:rsid w:val="00BB00A2"/>
    <w:rsid w:val="00BB0EF1"/>
    <w:rsid w:val="00BB1BF7"/>
    <w:rsid w:val="00BB1C56"/>
    <w:rsid w:val="00BB2092"/>
    <w:rsid w:val="00BB29DF"/>
    <w:rsid w:val="00BB2A06"/>
    <w:rsid w:val="00BB4BCB"/>
    <w:rsid w:val="00BB5F09"/>
    <w:rsid w:val="00BB673E"/>
    <w:rsid w:val="00BB701F"/>
    <w:rsid w:val="00BB73D8"/>
    <w:rsid w:val="00BC0AC1"/>
    <w:rsid w:val="00BC0DE9"/>
    <w:rsid w:val="00BC188B"/>
    <w:rsid w:val="00BC19F1"/>
    <w:rsid w:val="00BC1E9F"/>
    <w:rsid w:val="00BC2680"/>
    <w:rsid w:val="00BC3690"/>
    <w:rsid w:val="00BC388E"/>
    <w:rsid w:val="00BC4096"/>
    <w:rsid w:val="00BC48C2"/>
    <w:rsid w:val="00BC6ADB"/>
    <w:rsid w:val="00BC7E60"/>
    <w:rsid w:val="00BD097B"/>
    <w:rsid w:val="00BD0A8A"/>
    <w:rsid w:val="00BD0CA1"/>
    <w:rsid w:val="00BD10B7"/>
    <w:rsid w:val="00BD1E5B"/>
    <w:rsid w:val="00BD255A"/>
    <w:rsid w:val="00BD2A63"/>
    <w:rsid w:val="00BD40ED"/>
    <w:rsid w:val="00BD4B77"/>
    <w:rsid w:val="00BD5B4B"/>
    <w:rsid w:val="00BD5DF4"/>
    <w:rsid w:val="00BD68DD"/>
    <w:rsid w:val="00BD714D"/>
    <w:rsid w:val="00BD73D5"/>
    <w:rsid w:val="00BE02CE"/>
    <w:rsid w:val="00BE099D"/>
    <w:rsid w:val="00BE16A0"/>
    <w:rsid w:val="00BE28F1"/>
    <w:rsid w:val="00BE2D1A"/>
    <w:rsid w:val="00BE3F7B"/>
    <w:rsid w:val="00BE457B"/>
    <w:rsid w:val="00BE4953"/>
    <w:rsid w:val="00BE5909"/>
    <w:rsid w:val="00BE59D6"/>
    <w:rsid w:val="00BE5B90"/>
    <w:rsid w:val="00BF1354"/>
    <w:rsid w:val="00BF18AF"/>
    <w:rsid w:val="00BF1E0C"/>
    <w:rsid w:val="00BF291C"/>
    <w:rsid w:val="00BF6814"/>
    <w:rsid w:val="00BF70EB"/>
    <w:rsid w:val="00BF739F"/>
    <w:rsid w:val="00C00E9B"/>
    <w:rsid w:val="00C0101D"/>
    <w:rsid w:val="00C01330"/>
    <w:rsid w:val="00C02121"/>
    <w:rsid w:val="00C0295A"/>
    <w:rsid w:val="00C044B0"/>
    <w:rsid w:val="00C055F1"/>
    <w:rsid w:val="00C06F7B"/>
    <w:rsid w:val="00C073D0"/>
    <w:rsid w:val="00C1070B"/>
    <w:rsid w:val="00C119F0"/>
    <w:rsid w:val="00C1280B"/>
    <w:rsid w:val="00C12988"/>
    <w:rsid w:val="00C12D0B"/>
    <w:rsid w:val="00C13B43"/>
    <w:rsid w:val="00C1406A"/>
    <w:rsid w:val="00C14126"/>
    <w:rsid w:val="00C14B33"/>
    <w:rsid w:val="00C1506D"/>
    <w:rsid w:val="00C1536D"/>
    <w:rsid w:val="00C176CC"/>
    <w:rsid w:val="00C20DDB"/>
    <w:rsid w:val="00C210D5"/>
    <w:rsid w:val="00C21220"/>
    <w:rsid w:val="00C21265"/>
    <w:rsid w:val="00C2141D"/>
    <w:rsid w:val="00C236C1"/>
    <w:rsid w:val="00C24965"/>
    <w:rsid w:val="00C257AA"/>
    <w:rsid w:val="00C25841"/>
    <w:rsid w:val="00C268CF"/>
    <w:rsid w:val="00C27794"/>
    <w:rsid w:val="00C27EB8"/>
    <w:rsid w:val="00C27FB1"/>
    <w:rsid w:val="00C30767"/>
    <w:rsid w:val="00C307DF"/>
    <w:rsid w:val="00C31BE6"/>
    <w:rsid w:val="00C35A6B"/>
    <w:rsid w:val="00C3653C"/>
    <w:rsid w:val="00C36AA2"/>
    <w:rsid w:val="00C419CD"/>
    <w:rsid w:val="00C4264D"/>
    <w:rsid w:val="00C42DB0"/>
    <w:rsid w:val="00C4448A"/>
    <w:rsid w:val="00C44800"/>
    <w:rsid w:val="00C44868"/>
    <w:rsid w:val="00C4500C"/>
    <w:rsid w:val="00C459A2"/>
    <w:rsid w:val="00C46321"/>
    <w:rsid w:val="00C46401"/>
    <w:rsid w:val="00C47404"/>
    <w:rsid w:val="00C5003B"/>
    <w:rsid w:val="00C502A1"/>
    <w:rsid w:val="00C509DC"/>
    <w:rsid w:val="00C50A8B"/>
    <w:rsid w:val="00C50F1A"/>
    <w:rsid w:val="00C51546"/>
    <w:rsid w:val="00C515B8"/>
    <w:rsid w:val="00C51A2F"/>
    <w:rsid w:val="00C51A49"/>
    <w:rsid w:val="00C52D18"/>
    <w:rsid w:val="00C53B5F"/>
    <w:rsid w:val="00C53C5C"/>
    <w:rsid w:val="00C54D26"/>
    <w:rsid w:val="00C55FB1"/>
    <w:rsid w:val="00C572B1"/>
    <w:rsid w:val="00C60C11"/>
    <w:rsid w:val="00C61A0E"/>
    <w:rsid w:val="00C62AF6"/>
    <w:rsid w:val="00C62FCD"/>
    <w:rsid w:val="00C632F2"/>
    <w:rsid w:val="00C63A52"/>
    <w:rsid w:val="00C647FE"/>
    <w:rsid w:val="00C649CD"/>
    <w:rsid w:val="00C6785F"/>
    <w:rsid w:val="00C67AE8"/>
    <w:rsid w:val="00C67F54"/>
    <w:rsid w:val="00C712CE"/>
    <w:rsid w:val="00C71395"/>
    <w:rsid w:val="00C7154D"/>
    <w:rsid w:val="00C73F46"/>
    <w:rsid w:val="00C75429"/>
    <w:rsid w:val="00C7553E"/>
    <w:rsid w:val="00C75734"/>
    <w:rsid w:val="00C758BA"/>
    <w:rsid w:val="00C75D7A"/>
    <w:rsid w:val="00C76476"/>
    <w:rsid w:val="00C8098C"/>
    <w:rsid w:val="00C81BBC"/>
    <w:rsid w:val="00C8255B"/>
    <w:rsid w:val="00C82AB0"/>
    <w:rsid w:val="00C8438C"/>
    <w:rsid w:val="00C854AC"/>
    <w:rsid w:val="00C858C8"/>
    <w:rsid w:val="00C861AF"/>
    <w:rsid w:val="00C879BF"/>
    <w:rsid w:val="00C90CFD"/>
    <w:rsid w:val="00C90E4B"/>
    <w:rsid w:val="00C919DC"/>
    <w:rsid w:val="00C92151"/>
    <w:rsid w:val="00C93498"/>
    <w:rsid w:val="00C9352E"/>
    <w:rsid w:val="00C939C5"/>
    <w:rsid w:val="00C948CF"/>
    <w:rsid w:val="00C95F05"/>
    <w:rsid w:val="00C97C3D"/>
    <w:rsid w:val="00CA04D2"/>
    <w:rsid w:val="00CA0DAF"/>
    <w:rsid w:val="00CA1B37"/>
    <w:rsid w:val="00CA23DA"/>
    <w:rsid w:val="00CA27C7"/>
    <w:rsid w:val="00CA4083"/>
    <w:rsid w:val="00CA4838"/>
    <w:rsid w:val="00CA48B2"/>
    <w:rsid w:val="00CA5DF7"/>
    <w:rsid w:val="00CA620B"/>
    <w:rsid w:val="00CA6703"/>
    <w:rsid w:val="00CA69D3"/>
    <w:rsid w:val="00CA6D9B"/>
    <w:rsid w:val="00CA73AB"/>
    <w:rsid w:val="00CA74B5"/>
    <w:rsid w:val="00CB0167"/>
    <w:rsid w:val="00CB0225"/>
    <w:rsid w:val="00CB12EB"/>
    <w:rsid w:val="00CB1A3B"/>
    <w:rsid w:val="00CB39CD"/>
    <w:rsid w:val="00CB7B29"/>
    <w:rsid w:val="00CC001B"/>
    <w:rsid w:val="00CC0402"/>
    <w:rsid w:val="00CC2D8D"/>
    <w:rsid w:val="00CC36EE"/>
    <w:rsid w:val="00CC400B"/>
    <w:rsid w:val="00CC574E"/>
    <w:rsid w:val="00CC65A4"/>
    <w:rsid w:val="00CC7A07"/>
    <w:rsid w:val="00CD0960"/>
    <w:rsid w:val="00CD0EE4"/>
    <w:rsid w:val="00CD3499"/>
    <w:rsid w:val="00CD4754"/>
    <w:rsid w:val="00CD496F"/>
    <w:rsid w:val="00CD5761"/>
    <w:rsid w:val="00CD5998"/>
    <w:rsid w:val="00CD5A1B"/>
    <w:rsid w:val="00CD6103"/>
    <w:rsid w:val="00CD6F19"/>
    <w:rsid w:val="00CE00DA"/>
    <w:rsid w:val="00CE1D94"/>
    <w:rsid w:val="00CE23D3"/>
    <w:rsid w:val="00CE6F04"/>
    <w:rsid w:val="00CE7D09"/>
    <w:rsid w:val="00CF00E1"/>
    <w:rsid w:val="00CF0AE8"/>
    <w:rsid w:val="00CF0E12"/>
    <w:rsid w:val="00CF1F17"/>
    <w:rsid w:val="00CF2F5A"/>
    <w:rsid w:val="00CF3377"/>
    <w:rsid w:val="00CF4A4D"/>
    <w:rsid w:val="00CF57AB"/>
    <w:rsid w:val="00CF602F"/>
    <w:rsid w:val="00CF62F1"/>
    <w:rsid w:val="00CF7347"/>
    <w:rsid w:val="00CF7476"/>
    <w:rsid w:val="00CF7777"/>
    <w:rsid w:val="00D015E0"/>
    <w:rsid w:val="00D01829"/>
    <w:rsid w:val="00D03B7F"/>
    <w:rsid w:val="00D05BC4"/>
    <w:rsid w:val="00D06B80"/>
    <w:rsid w:val="00D077D4"/>
    <w:rsid w:val="00D15003"/>
    <w:rsid w:val="00D1583E"/>
    <w:rsid w:val="00D15942"/>
    <w:rsid w:val="00D16E49"/>
    <w:rsid w:val="00D17BCE"/>
    <w:rsid w:val="00D17F6E"/>
    <w:rsid w:val="00D2009A"/>
    <w:rsid w:val="00D20F63"/>
    <w:rsid w:val="00D226CA"/>
    <w:rsid w:val="00D26346"/>
    <w:rsid w:val="00D26EC3"/>
    <w:rsid w:val="00D27532"/>
    <w:rsid w:val="00D3139F"/>
    <w:rsid w:val="00D322E0"/>
    <w:rsid w:val="00D345B1"/>
    <w:rsid w:val="00D347F5"/>
    <w:rsid w:val="00D3533D"/>
    <w:rsid w:val="00D353F2"/>
    <w:rsid w:val="00D3562B"/>
    <w:rsid w:val="00D36669"/>
    <w:rsid w:val="00D37EBA"/>
    <w:rsid w:val="00D4026B"/>
    <w:rsid w:val="00D4203B"/>
    <w:rsid w:val="00D4294E"/>
    <w:rsid w:val="00D42C69"/>
    <w:rsid w:val="00D4391B"/>
    <w:rsid w:val="00D446CA"/>
    <w:rsid w:val="00D468C5"/>
    <w:rsid w:val="00D478FA"/>
    <w:rsid w:val="00D47B63"/>
    <w:rsid w:val="00D47C87"/>
    <w:rsid w:val="00D47D2B"/>
    <w:rsid w:val="00D47D7B"/>
    <w:rsid w:val="00D507EE"/>
    <w:rsid w:val="00D51B8A"/>
    <w:rsid w:val="00D547F4"/>
    <w:rsid w:val="00D55D74"/>
    <w:rsid w:val="00D625DE"/>
    <w:rsid w:val="00D63460"/>
    <w:rsid w:val="00D63866"/>
    <w:rsid w:val="00D64531"/>
    <w:rsid w:val="00D6455C"/>
    <w:rsid w:val="00D65AA1"/>
    <w:rsid w:val="00D65AA6"/>
    <w:rsid w:val="00D65DBB"/>
    <w:rsid w:val="00D701E3"/>
    <w:rsid w:val="00D72E41"/>
    <w:rsid w:val="00D730BD"/>
    <w:rsid w:val="00D73EAC"/>
    <w:rsid w:val="00D74B3A"/>
    <w:rsid w:val="00D74C96"/>
    <w:rsid w:val="00D75939"/>
    <w:rsid w:val="00D75B28"/>
    <w:rsid w:val="00D7629D"/>
    <w:rsid w:val="00D76B30"/>
    <w:rsid w:val="00D76B6C"/>
    <w:rsid w:val="00D77EEC"/>
    <w:rsid w:val="00D81E5A"/>
    <w:rsid w:val="00D83C6E"/>
    <w:rsid w:val="00D845A6"/>
    <w:rsid w:val="00D847B1"/>
    <w:rsid w:val="00D85EDF"/>
    <w:rsid w:val="00D87B14"/>
    <w:rsid w:val="00D87EC4"/>
    <w:rsid w:val="00D87F7A"/>
    <w:rsid w:val="00D9066E"/>
    <w:rsid w:val="00D90E7E"/>
    <w:rsid w:val="00D94463"/>
    <w:rsid w:val="00D94985"/>
    <w:rsid w:val="00D94EC1"/>
    <w:rsid w:val="00D95765"/>
    <w:rsid w:val="00D96F05"/>
    <w:rsid w:val="00D97CB6"/>
    <w:rsid w:val="00DA0CFA"/>
    <w:rsid w:val="00DA1584"/>
    <w:rsid w:val="00DA251A"/>
    <w:rsid w:val="00DA39D5"/>
    <w:rsid w:val="00DA3D60"/>
    <w:rsid w:val="00DA4F02"/>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A89"/>
    <w:rsid w:val="00DB7BED"/>
    <w:rsid w:val="00DC0409"/>
    <w:rsid w:val="00DC1809"/>
    <w:rsid w:val="00DC2ED6"/>
    <w:rsid w:val="00DC6BF8"/>
    <w:rsid w:val="00DC7155"/>
    <w:rsid w:val="00DD0E39"/>
    <w:rsid w:val="00DD167A"/>
    <w:rsid w:val="00DD21BC"/>
    <w:rsid w:val="00DD2A8A"/>
    <w:rsid w:val="00DD3273"/>
    <w:rsid w:val="00DD3473"/>
    <w:rsid w:val="00DD42E2"/>
    <w:rsid w:val="00DD502A"/>
    <w:rsid w:val="00DD73EC"/>
    <w:rsid w:val="00DD74DC"/>
    <w:rsid w:val="00DE0F2C"/>
    <w:rsid w:val="00DE2B25"/>
    <w:rsid w:val="00DE3356"/>
    <w:rsid w:val="00DE37DE"/>
    <w:rsid w:val="00DE446C"/>
    <w:rsid w:val="00DE4BF4"/>
    <w:rsid w:val="00DE5CC1"/>
    <w:rsid w:val="00DE5D89"/>
    <w:rsid w:val="00DE6422"/>
    <w:rsid w:val="00DE67A1"/>
    <w:rsid w:val="00DF074A"/>
    <w:rsid w:val="00DF11CE"/>
    <w:rsid w:val="00DF1F92"/>
    <w:rsid w:val="00DF2D35"/>
    <w:rsid w:val="00DF363C"/>
    <w:rsid w:val="00DF4166"/>
    <w:rsid w:val="00DF569B"/>
    <w:rsid w:val="00DF5838"/>
    <w:rsid w:val="00E00943"/>
    <w:rsid w:val="00E00A62"/>
    <w:rsid w:val="00E00AD1"/>
    <w:rsid w:val="00E01198"/>
    <w:rsid w:val="00E017C2"/>
    <w:rsid w:val="00E01BC7"/>
    <w:rsid w:val="00E024EC"/>
    <w:rsid w:val="00E02A42"/>
    <w:rsid w:val="00E0316D"/>
    <w:rsid w:val="00E03D68"/>
    <w:rsid w:val="00E0560E"/>
    <w:rsid w:val="00E057B1"/>
    <w:rsid w:val="00E05E83"/>
    <w:rsid w:val="00E06E40"/>
    <w:rsid w:val="00E10F1A"/>
    <w:rsid w:val="00E11A9E"/>
    <w:rsid w:val="00E11AA2"/>
    <w:rsid w:val="00E127C4"/>
    <w:rsid w:val="00E1382A"/>
    <w:rsid w:val="00E15B6A"/>
    <w:rsid w:val="00E171AE"/>
    <w:rsid w:val="00E2114A"/>
    <w:rsid w:val="00E237F9"/>
    <w:rsid w:val="00E24A62"/>
    <w:rsid w:val="00E24A63"/>
    <w:rsid w:val="00E24D78"/>
    <w:rsid w:val="00E2573E"/>
    <w:rsid w:val="00E25EDA"/>
    <w:rsid w:val="00E26486"/>
    <w:rsid w:val="00E26BB1"/>
    <w:rsid w:val="00E27110"/>
    <w:rsid w:val="00E271F7"/>
    <w:rsid w:val="00E277F3"/>
    <w:rsid w:val="00E34D43"/>
    <w:rsid w:val="00E34E21"/>
    <w:rsid w:val="00E37B8F"/>
    <w:rsid w:val="00E37E9D"/>
    <w:rsid w:val="00E40B32"/>
    <w:rsid w:val="00E438C2"/>
    <w:rsid w:val="00E44B43"/>
    <w:rsid w:val="00E4798F"/>
    <w:rsid w:val="00E5149D"/>
    <w:rsid w:val="00E51FAD"/>
    <w:rsid w:val="00E52B68"/>
    <w:rsid w:val="00E53E28"/>
    <w:rsid w:val="00E547A0"/>
    <w:rsid w:val="00E55823"/>
    <w:rsid w:val="00E56242"/>
    <w:rsid w:val="00E57A3A"/>
    <w:rsid w:val="00E57D74"/>
    <w:rsid w:val="00E60461"/>
    <w:rsid w:val="00E60601"/>
    <w:rsid w:val="00E606F5"/>
    <w:rsid w:val="00E6255C"/>
    <w:rsid w:val="00E636A5"/>
    <w:rsid w:val="00E6378E"/>
    <w:rsid w:val="00E64945"/>
    <w:rsid w:val="00E705CE"/>
    <w:rsid w:val="00E70F71"/>
    <w:rsid w:val="00E711F1"/>
    <w:rsid w:val="00E71595"/>
    <w:rsid w:val="00E729DC"/>
    <w:rsid w:val="00E744DE"/>
    <w:rsid w:val="00E74632"/>
    <w:rsid w:val="00E7592E"/>
    <w:rsid w:val="00E7598F"/>
    <w:rsid w:val="00E75C0C"/>
    <w:rsid w:val="00E802EC"/>
    <w:rsid w:val="00E81478"/>
    <w:rsid w:val="00E83E1A"/>
    <w:rsid w:val="00E8538B"/>
    <w:rsid w:val="00E86533"/>
    <w:rsid w:val="00E87333"/>
    <w:rsid w:val="00E87F09"/>
    <w:rsid w:val="00E90A4E"/>
    <w:rsid w:val="00E90DA3"/>
    <w:rsid w:val="00E91082"/>
    <w:rsid w:val="00E918FF"/>
    <w:rsid w:val="00E967E6"/>
    <w:rsid w:val="00E97EB0"/>
    <w:rsid w:val="00EA016D"/>
    <w:rsid w:val="00EA0662"/>
    <w:rsid w:val="00EA06E8"/>
    <w:rsid w:val="00EA09DE"/>
    <w:rsid w:val="00EA285A"/>
    <w:rsid w:val="00EA29C1"/>
    <w:rsid w:val="00EA66FB"/>
    <w:rsid w:val="00EA6A90"/>
    <w:rsid w:val="00EB0650"/>
    <w:rsid w:val="00EB25DA"/>
    <w:rsid w:val="00EB3309"/>
    <w:rsid w:val="00EB38D9"/>
    <w:rsid w:val="00EB4DCC"/>
    <w:rsid w:val="00EB5780"/>
    <w:rsid w:val="00EB5E27"/>
    <w:rsid w:val="00EB7AFB"/>
    <w:rsid w:val="00EC2858"/>
    <w:rsid w:val="00EC2C25"/>
    <w:rsid w:val="00EC3122"/>
    <w:rsid w:val="00EC72BA"/>
    <w:rsid w:val="00ED172F"/>
    <w:rsid w:val="00ED2105"/>
    <w:rsid w:val="00ED213C"/>
    <w:rsid w:val="00ED2497"/>
    <w:rsid w:val="00ED2A1C"/>
    <w:rsid w:val="00ED3074"/>
    <w:rsid w:val="00ED3645"/>
    <w:rsid w:val="00ED4E67"/>
    <w:rsid w:val="00ED63F4"/>
    <w:rsid w:val="00ED7301"/>
    <w:rsid w:val="00ED73DD"/>
    <w:rsid w:val="00ED7794"/>
    <w:rsid w:val="00ED7C3B"/>
    <w:rsid w:val="00EE05C6"/>
    <w:rsid w:val="00EE23A3"/>
    <w:rsid w:val="00EE243A"/>
    <w:rsid w:val="00EE4952"/>
    <w:rsid w:val="00EE4F1F"/>
    <w:rsid w:val="00EE5504"/>
    <w:rsid w:val="00EE5807"/>
    <w:rsid w:val="00EE7E04"/>
    <w:rsid w:val="00EF1C2A"/>
    <w:rsid w:val="00EF2D4F"/>
    <w:rsid w:val="00EF3F95"/>
    <w:rsid w:val="00EF66A8"/>
    <w:rsid w:val="00EF7C41"/>
    <w:rsid w:val="00F0029E"/>
    <w:rsid w:val="00F011C1"/>
    <w:rsid w:val="00F01222"/>
    <w:rsid w:val="00F01484"/>
    <w:rsid w:val="00F01D69"/>
    <w:rsid w:val="00F01F24"/>
    <w:rsid w:val="00F03D05"/>
    <w:rsid w:val="00F041C7"/>
    <w:rsid w:val="00F04E1C"/>
    <w:rsid w:val="00F052B8"/>
    <w:rsid w:val="00F05BFC"/>
    <w:rsid w:val="00F103B2"/>
    <w:rsid w:val="00F1205C"/>
    <w:rsid w:val="00F13BCE"/>
    <w:rsid w:val="00F1480A"/>
    <w:rsid w:val="00F16588"/>
    <w:rsid w:val="00F168CE"/>
    <w:rsid w:val="00F205E3"/>
    <w:rsid w:val="00F20EE8"/>
    <w:rsid w:val="00F2157A"/>
    <w:rsid w:val="00F233AF"/>
    <w:rsid w:val="00F245B4"/>
    <w:rsid w:val="00F2599D"/>
    <w:rsid w:val="00F25ACF"/>
    <w:rsid w:val="00F26E39"/>
    <w:rsid w:val="00F27E55"/>
    <w:rsid w:val="00F31DA7"/>
    <w:rsid w:val="00F32962"/>
    <w:rsid w:val="00F32F08"/>
    <w:rsid w:val="00F3338E"/>
    <w:rsid w:val="00F33644"/>
    <w:rsid w:val="00F33FCC"/>
    <w:rsid w:val="00F342B7"/>
    <w:rsid w:val="00F3535B"/>
    <w:rsid w:val="00F35372"/>
    <w:rsid w:val="00F360D9"/>
    <w:rsid w:val="00F361C4"/>
    <w:rsid w:val="00F4026C"/>
    <w:rsid w:val="00F40467"/>
    <w:rsid w:val="00F40A9D"/>
    <w:rsid w:val="00F40F2D"/>
    <w:rsid w:val="00F443F7"/>
    <w:rsid w:val="00F45D10"/>
    <w:rsid w:val="00F462F3"/>
    <w:rsid w:val="00F46C9C"/>
    <w:rsid w:val="00F47BAF"/>
    <w:rsid w:val="00F53490"/>
    <w:rsid w:val="00F5371B"/>
    <w:rsid w:val="00F5504A"/>
    <w:rsid w:val="00F554F6"/>
    <w:rsid w:val="00F57356"/>
    <w:rsid w:val="00F608DA"/>
    <w:rsid w:val="00F60AE2"/>
    <w:rsid w:val="00F61D94"/>
    <w:rsid w:val="00F64287"/>
    <w:rsid w:val="00F65479"/>
    <w:rsid w:val="00F7003A"/>
    <w:rsid w:val="00F7118D"/>
    <w:rsid w:val="00F73405"/>
    <w:rsid w:val="00F7678D"/>
    <w:rsid w:val="00F76C9F"/>
    <w:rsid w:val="00F76DCA"/>
    <w:rsid w:val="00F778DD"/>
    <w:rsid w:val="00F779EA"/>
    <w:rsid w:val="00F816F1"/>
    <w:rsid w:val="00F81B4D"/>
    <w:rsid w:val="00F830A2"/>
    <w:rsid w:val="00F836DA"/>
    <w:rsid w:val="00F83E1C"/>
    <w:rsid w:val="00F85005"/>
    <w:rsid w:val="00F85646"/>
    <w:rsid w:val="00F86450"/>
    <w:rsid w:val="00F909BD"/>
    <w:rsid w:val="00F91570"/>
    <w:rsid w:val="00F94D7E"/>
    <w:rsid w:val="00F95F47"/>
    <w:rsid w:val="00F961C0"/>
    <w:rsid w:val="00F96292"/>
    <w:rsid w:val="00F965BD"/>
    <w:rsid w:val="00F96A5D"/>
    <w:rsid w:val="00FA0FC5"/>
    <w:rsid w:val="00FA1145"/>
    <w:rsid w:val="00FA1921"/>
    <w:rsid w:val="00FA1C4A"/>
    <w:rsid w:val="00FA6308"/>
    <w:rsid w:val="00FA638A"/>
    <w:rsid w:val="00FA705C"/>
    <w:rsid w:val="00FB0145"/>
    <w:rsid w:val="00FB06AC"/>
    <w:rsid w:val="00FB0EA4"/>
    <w:rsid w:val="00FB1BDB"/>
    <w:rsid w:val="00FB1ED5"/>
    <w:rsid w:val="00FB1FCF"/>
    <w:rsid w:val="00FB621E"/>
    <w:rsid w:val="00FB72DE"/>
    <w:rsid w:val="00FB73B9"/>
    <w:rsid w:val="00FC0513"/>
    <w:rsid w:val="00FC0CD2"/>
    <w:rsid w:val="00FC1C18"/>
    <w:rsid w:val="00FC2E02"/>
    <w:rsid w:val="00FC5803"/>
    <w:rsid w:val="00FC6E56"/>
    <w:rsid w:val="00FC743A"/>
    <w:rsid w:val="00FC7661"/>
    <w:rsid w:val="00FC782D"/>
    <w:rsid w:val="00FC792C"/>
    <w:rsid w:val="00FC7D66"/>
    <w:rsid w:val="00FD150A"/>
    <w:rsid w:val="00FD213B"/>
    <w:rsid w:val="00FD2178"/>
    <w:rsid w:val="00FD311C"/>
    <w:rsid w:val="00FD3A1F"/>
    <w:rsid w:val="00FD3B1E"/>
    <w:rsid w:val="00FD474C"/>
    <w:rsid w:val="00FD50E6"/>
    <w:rsid w:val="00FD548B"/>
    <w:rsid w:val="00FD68D3"/>
    <w:rsid w:val="00FD73F9"/>
    <w:rsid w:val="00FE10D9"/>
    <w:rsid w:val="00FE1D04"/>
    <w:rsid w:val="00FE234C"/>
    <w:rsid w:val="00FE3150"/>
    <w:rsid w:val="00FE3CF6"/>
    <w:rsid w:val="00FE66B2"/>
    <w:rsid w:val="00FE6809"/>
    <w:rsid w:val="00FF2D1D"/>
    <w:rsid w:val="00FF2EED"/>
    <w:rsid w:val="00FF315B"/>
    <w:rsid w:val="00FF317E"/>
    <w:rsid w:val="00FF49F1"/>
    <w:rsid w:val="00FF595F"/>
    <w:rsid w:val="00FF693C"/>
    <w:rsid w:val="1B25D71E"/>
    <w:rsid w:val="48B55700"/>
    <w:rsid w:val="54853F7D"/>
    <w:rsid w:val="6C0799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AFB75"/>
  <w15:chartTrackingRefBased/>
  <w15:docId w15:val="{FDC973C5-E5A4-432E-AE5B-A356C157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zh-CN"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qFormat="1"/>
    <w:lsdException w:name="List Number 3" w:qFormat="1"/>
    <w:lsdException w:name="List Number 4" w:semiHidden="1" w:qFormat="1"/>
    <w:lsdException w:name="List Number 5" w:semiHidden="1"/>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8B5615"/>
    <w:rPr>
      <w:color w:val="FF0000"/>
    </w:rPr>
  </w:style>
  <w:style w:type="paragraph" w:styleId="Heading1">
    <w:name w:val="heading 1"/>
    <w:next w:val="BodyText"/>
    <w:link w:val="Heading1Char"/>
    <w:qFormat/>
    <w:rsid w:val="001838AB"/>
    <w:pPr>
      <w:spacing w:before="240" w:line="240" w:lineRule="auto"/>
      <w:outlineLvl w:val="0"/>
    </w:pPr>
    <w:rPr>
      <w:color w:val="201547" w:themeColor="text2"/>
      <w:sz w:val="44"/>
    </w:rPr>
  </w:style>
  <w:style w:type="paragraph" w:styleId="Heading2">
    <w:name w:val="heading 2"/>
    <w:next w:val="BodyText"/>
    <w:link w:val="Heading2Char"/>
    <w:qFormat/>
    <w:rsid w:val="000B6D9E"/>
    <w:pPr>
      <w:spacing w:before="24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line="240" w:lineRule="auto"/>
      <w:outlineLvl w:val="3"/>
    </w:pPr>
    <w:rPr>
      <w:rFonts w:asciiTheme="majorHAnsi" w:eastAsiaTheme="majorEastAsia" w:hAnsiTheme="majorHAnsi" w:cstheme="majorBidi"/>
      <w:b/>
      <w:iCs/>
      <w:color w:val="0072CE" w:themeColor="accent1"/>
    </w:rPr>
  </w:style>
  <w:style w:type="paragraph" w:styleId="Heading5">
    <w:name w:val="heading 5"/>
    <w:next w:val="BodyText"/>
    <w:link w:val="Heading5Char"/>
    <w:qFormat/>
    <w:rsid w:val="001838AB"/>
    <w:pPr>
      <w:keepNext/>
      <w:keepLines/>
      <w:suppressAutoHyphens/>
      <w:spacing w:before="24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line="240" w:lineRule="auto"/>
    </w:pPr>
    <w:rPr>
      <w:rFonts w:ascii="VIC SemiBold" w:eastAsia="Calibri" w:hAnsi="VIC SemiBold" w:cs="Calibri"/>
      <w:b/>
    </w:rPr>
  </w:style>
  <w:style w:type="paragraph" w:styleId="TOC2">
    <w:name w:val="toc 2"/>
    <w:next w:val="BodyText"/>
    <w:uiPriority w:val="39"/>
    <w:rsid w:val="00321B51"/>
    <w:pPr>
      <w:tabs>
        <w:tab w:val="left" w:pos="1134"/>
        <w:tab w:val="right" w:leader="dot" w:pos="10206"/>
      </w:tabs>
      <w:suppressAutoHyphens/>
      <w:spacing w:line="240" w:lineRule="auto"/>
      <w:ind w:left="1134" w:hanging="567"/>
    </w:pPr>
    <w:rPr>
      <w:rFonts w:eastAsia="Calibri" w:cs="Calibri"/>
    </w:rPr>
  </w:style>
  <w:style w:type="paragraph" w:styleId="TOC3">
    <w:name w:val="toc 3"/>
    <w:next w:val="BodyText"/>
    <w:uiPriority w:val="39"/>
    <w:rsid w:val="00321B51"/>
    <w:pPr>
      <w:tabs>
        <w:tab w:val="left" w:pos="1985"/>
        <w:tab w:val="right" w:leader="dot" w:pos="10206"/>
      </w:tabs>
      <w:suppressAutoHyphens/>
      <w:spacing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9115ED"/>
    <w:rPr>
      <w:color w:val="201547" w:themeColor="text2"/>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Strong">
    <w:name w:val="Strong"/>
    <w:aliases w:val="Bold"/>
    <w:basedOn w:val="DefaultParagraphFont"/>
    <w:qFormat/>
    <w:rsid w:val="00D547F4"/>
    <w:rPr>
      <w:rFonts w:ascii="VIC SemiBold" w:hAnsi="VIC SemiBold"/>
      <w:b w:val="0"/>
      <w:bCs/>
      <w:i w:val="0"/>
      <w:color w:val="auto"/>
    </w:rPr>
  </w:style>
  <w:style w:type="paragraph" w:styleId="ListBullet">
    <w:name w:val="List Bullet"/>
    <w:qFormat/>
    <w:rsid w:val="00517E3C"/>
    <w:pPr>
      <w:numPr>
        <w:numId w:val="14"/>
      </w:numPr>
      <w:suppressAutoHyphens/>
      <w:spacing w:line="240" w:lineRule="auto"/>
    </w:pPr>
    <w:rPr>
      <w:rFonts w:eastAsia="Arial" w:cs="Arial"/>
      <w:color w:val="000000" w:themeColor="text1"/>
      <w:lang w:eastAsia="en-US"/>
    </w:rPr>
  </w:style>
  <w:style w:type="paragraph" w:styleId="ListNumber">
    <w:name w:val="List Number"/>
    <w:uiPriority w:val="99"/>
    <w:qFormat/>
    <w:rsid w:val="00953E67"/>
    <w:pPr>
      <w:numPr>
        <w:numId w:val="5"/>
      </w:numPr>
      <w:suppressAutoHyphens/>
      <w:spacing w:line="240" w:lineRule="auto"/>
    </w:pPr>
    <w:rPr>
      <w:color w:val="000000" w:themeColor="text1"/>
    </w:rPr>
  </w:style>
  <w:style w:type="paragraph" w:styleId="FootnoteText">
    <w:name w:val="footnote text"/>
    <w:link w:val="FootnoteTextChar"/>
    <w:uiPriority w:val="99"/>
    <w:rsid w:val="006C1A48"/>
    <w:pPr>
      <w:spacing w:before="60" w:after="60" w:line="240" w:lineRule="auto"/>
    </w:pPr>
    <w:rPr>
      <w:color w:val="000000" w:themeColor="text1"/>
      <w:sz w:val="18"/>
    </w:rPr>
  </w:style>
  <w:style w:type="character" w:customStyle="1" w:styleId="FootnoteTextChar">
    <w:name w:val="Footnote Text Char"/>
    <w:basedOn w:val="DefaultParagraphFont"/>
    <w:link w:val="FootnoteText"/>
    <w:uiPriority w:val="8"/>
    <w:rsid w:val="006C1A48"/>
    <w:rPr>
      <w:color w:val="000000" w:themeColor="text1"/>
      <w:sz w:val="18"/>
      <w:szCs w:val="20"/>
    </w:rPr>
  </w:style>
  <w:style w:type="character" w:styleId="FootnoteReference">
    <w:name w:val="footnote reference"/>
    <w:basedOn w:val="DefaultParagraphFont"/>
    <w:uiPriority w:val="99"/>
    <w:rsid w:val="002839D6"/>
    <w:rPr>
      <w:rFonts w:asciiTheme="minorHAnsi" w:hAnsiTheme="minorHAnsi"/>
      <w:color w:val="000000" w:themeColor="text1"/>
      <w:vertAlign w:val="superscript"/>
    </w:rPr>
  </w:style>
  <w:style w:type="paragraph" w:styleId="BodyText">
    <w:name w:val="Body Text"/>
    <w:link w:val="BodyTextChar"/>
    <w:qFormat/>
    <w:rsid w:val="00367533"/>
    <w:pPr>
      <w:tabs>
        <w:tab w:val="left" w:pos="357"/>
        <w:tab w:val="left" w:pos="714"/>
        <w:tab w:val="left" w:pos="2552"/>
      </w:tabs>
      <w:suppressAutoHyphens/>
      <w:spacing w:line="240" w:lineRule="auto"/>
    </w:pPr>
    <w:rPr>
      <w:color w:val="000000" w:themeColor="text1"/>
    </w:rPr>
  </w:style>
  <w:style w:type="character" w:customStyle="1" w:styleId="BodyTextChar">
    <w:name w:val="Body Text Char"/>
    <w:basedOn w:val="DefaultParagraphFont"/>
    <w:link w:val="BodyText"/>
    <w:rsid w:val="00367533"/>
    <w:rPr>
      <w:color w:val="000000" w:themeColor="text1"/>
    </w:rPr>
  </w:style>
  <w:style w:type="character" w:customStyle="1" w:styleId="Heading2Char">
    <w:name w:val="Heading 2 Char"/>
    <w:basedOn w:val="DefaultParagraphFont"/>
    <w:link w:val="Heading2"/>
    <w:rsid w:val="000B6D9E"/>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741843"/>
    <w:rPr>
      <w:color w:val="000000" w:themeColor="text1"/>
      <w:u w:val="none"/>
    </w:rPr>
  </w:style>
  <w:style w:type="paragraph" w:styleId="ListBullet2">
    <w:name w:val="List Bullet 2"/>
    <w:qFormat/>
    <w:rsid w:val="00953E67"/>
    <w:pPr>
      <w:numPr>
        <w:numId w:val="1"/>
      </w:numPr>
      <w:suppressAutoHyphens/>
      <w:spacing w:line="240" w:lineRule="auto"/>
    </w:pPr>
    <w:rPr>
      <w:rFonts w:eastAsia="Arial" w:cs="ArialMT"/>
      <w:color w:val="000000" w:themeColor="text1"/>
      <w:szCs w:val="24"/>
      <w:lang w:eastAsia="en-US"/>
    </w:rPr>
  </w:style>
  <w:style w:type="paragraph" w:styleId="ListBullet3">
    <w:name w:val="List Bullet 3"/>
    <w:qFormat/>
    <w:rsid w:val="00953E67"/>
    <w:pPr>
      <w:numPr>
        <w:numId w:val="2"/>
      </w:numPr>
      <w:suppressAutoHyphens/>
      <w:spacing w:line="240" w:lineRule="auto"/>
    </w:pPr>
    <w:rPr>
      <w:rFonts w:eastAsia="Arial" w:cs="Times New Roman"/>
      <w:color w:val="000000"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953E67"/>
    <w:pPr>
      <w:numPr>
        <w:numId w:val="4"/>
      </w:numPr>
      <w:suppressAutoHyphens/>
      <w:spacing w:line="240" w:lineRule="auto"/>
      <w:ind w:left="1071" w:hanging="357"/>
    </w:pPr>
    <w:rPr>
      <w:rFonts w:eastAsia="Arial" w:cs="Times New Roman"/>
      <w:color w:val="000000" w:themeColor="text1"/>
      <w:szCs w:val="24"/>
      <w:lang w:eastAsia="en-US"/>
    </w:rPr>
  </w:style>
  <w:style w:type="paragraph" w:styleId="ListNumber2">
    <w:name w:val="List Number 2"/>
    <w:uiPriority w:val="99"/>
    <w:qFormat/>
    <w:rsid w:val="00953E67"/>
    <w:pPr>
      <w:numPr>
        <w:numId w:val="3"/>
      </w:numPr>
      <w:suppressAutoHyphens/>
      <w:spacing w:line="240" w:lineRule="auto"/>
    </w:pPr>
    <w:rPr>
      <w:rFonts w:eastAsia="Arial" w:cs="Times New Roman"/>
      <w:color w:val="000000"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987BD4"/>
    <w:pPr>
      <w:numPr>
        <w:ilvl w:val="1"/>
      </w:numPr>
      <w:suppressAutoHyphens/>
      <w:spacing w:after="0" w:line="240" w:lineRule="auto"/>
    </w:pPr>
    <w:rPr>
      <w:b/>
      <w:color w:val="201547" w:themeColor="text2"/>
      <w:sz w:val="40"/>
      <w:lang w:eastAsia="en-US"/>
    </w:rPr>
  </w:style>
  <w:style w:type="character" w:customStyle="1" w:styleId="SubtitleChar">
    <w:name w:val="Subtitle Char"/>
    <w:basedOn w:val="DefaultParagraphFont"/>
    <w:link w:val="Subtitle"/>
    <w:rsid w:val="00987BD4"/>
    <w:rPr>
      <w:b/>
      <w:color w:val="201547" w:themeColor="text2"/>
      <w:sz w:val="40"/>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2E1FC5"/>
    <w:pPr>
      <w:spacing w:after="200"/>
    </w:pPr>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line="240" w:lineRule="auto"/>
    </w:pPr>
    <w:rPr>
      <w:rFonts w:eastAsia="Calibri" w:cs="Calibri"/>
      <w:color w:val="0072CE" w:themeColor="accent1"/>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0B6D9E"/>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0B6D9E"/>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lang w:eastAsia="en-AU"/>
    </w:r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0B6D9E"/>
    <w:pPr>
      <w:framePr w:h="709" w:hRule="exact" w:wrap="around" w:vAnchor="page" w:hAnchor="page" w:x="568" w:y="15452"/>
      <w:spacing w:after="0" w:line="240" w:lineRule="atLeast"/>
    </w:pPr>
    <w:rPr>
      <w:rFonts w:eastAsia="Times New Roman" w:cs="Times New Roman"/>
      <w:b/>
      <w:color w:val="201547" w:themeColor="text2"/>
      <w:sz w:val="28"/>
      <w:lang w:eastAsia="en-AU"/>
    </w:rPr>
  </w:style>
  <w:style w:type="paragraph" w:styleId="ListNumber4">
    <w:name w:val="List Number 4"/>
    <w:basedOn w:val="Normal"/>
    <w:uiPriority w:val="99"/>
    <w:semiHidden/>
    <w:qFormat/>
    <w:rsid w:val="00F342B7"/>
    <w:pPr>
      <w:numPr>
        <w:numId w:val="10"/>
      </w:numPr>
      <w:contextualSpacing/>
    </w:pPr>
  </w:style>
  <w:style w:type="paragraph" w:customStyle="1" w:styleId="Source">
    <w:name w:val="Source"/>
    <w:basedOn w:val="BodyText"/>
    <w:next w:val="BodyText"/>
    <w:qFormat/>
    <w:rsid w:val="007E063B"/>
    <w:pPr>
      <w:numPr>
        <w:numId w:val="11"/>
      </w:numPr>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uiPriority w:val="99"/>
    <w:semiHidden/>
    <w:unhideWhenUsed/>
    <w:rsid w:val="00B44BC2"/>
    <w:pPr>
      <w:spacing w:before="80"/>
      <w:ind w:left="1418" w:hanging="1418"/>
      <w:contextualSpacing/>
    </w:pPr>
    <w:rPr>
      <w:rFonts w:eastAsiaTheme="minorHAns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354F6D"/>
    <w:pPr>
      <w:spacing w:line="240" w:lineRule="auto"/>
    </w:pPr>
    <w:rPr>
      <w:rFonts w:eastAsiaTheme="minorHAnsi"/>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8" w:space="0" w:color="0072CE" w:themeColor="accent1"/>
          <w:left w:val="nil"/>
          <w:bottom w:val="single" w:sz="18" w:space="0" w:color="0072CE" w:themeColor="accent1"/>
          <w:right w:val="nil"/>
          <w:insideH w:val="nil"/>
          <w:insideV w:val="nil"/>
          <w:tl2br w:val="nil"/>
          <w:tr2bl w:val="nil"/>
        </w:tcBorders>
        <w:shd w:val="clear" w:color="auto" w:fill="FFFFFF" w:themeFill="background1"/>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character" w:styleId="FollowedHyperlink">
    <w:name w:val="FollowedHyperlink"/>
    <w:basedOn w:val="DefaultParagraphFont"/>
    <w:uiPriority w:val="99"/>
    <w:semiHidden/>
    <w:rsid w:val="004F634E"/>
    <w:rPr>
      <w:color w:val="954F72" w:themeColor="followedHyperlink"/>
      <w:u w:val="single"/>
    </w:rPr>
  </w:style>
  <w:style w:type="character" w:styleId="Emphasis">
    <w:name w:val="Emphasis"/>
    <w:basedOn w:val="BodyTextChar"/>
    <w:qFormat/>
    <w:rsid w:val="005E4947"/>
    <w:rPr>
      <w:i w:val="0"/>
      <w:iCs/>
      <w:color w:val="0072CE" w:themeColor="accent1"/>
    </w:rPr>
  </w:style>
  <w:style w:type="paragraph" w:customStyle="1" w:styleId="DPCbody">
    <w:name w:val="DPC body"/>
    <w:qFormat/>
    <w:rsid w:val="0054547D"/>
    <w:pPr>
      <w:spacing w:before="0" w:after="160" w:line="300" w:lineRule="atLeast"/>
    </w:pPr>
    <w:rPr>
      <w:rFonts w:eastAsia="Times" w:cs="Arial"/>
      <w:color w:val="000000" w:themeColor="text1"/>
      <w:sz w:val="22"/>
      <w:szCs w:val="22"/>
      <w:lang w:eastAsia="en-US"/>
    </w:rPr>
  </w:style>
  <w:style w:type="paragraph" w:customStyle="1" w:styleId="DPCbullet1">
    <w:name w:val="DPC bullet 1"/>
    <w:basedOn w:val="DPCbody"/>
    <w:qFormat/>
    <w:rsid w:val="0054547D"/>
    <w:pPr>
      <w:numPr>
        <w:numId w:val="20"/>
      </w:numPr>
      <w:spacing w:after="60"/>
      <w:ind w:left="1004"/>
    </w:pPr>
  </w:style>
  <w:style w:type="paragraph" w:customStyle="1" w:styleId="DPCbullet2">
    <w:name w:val="DPC bullet 2"/>
    <w:basedOn w:val="DPCbody"/>
    <w:uiPriority w:val="2"/>
    <w:qFormat/>
    <w:rsid w:val="0054547D"/>
    <w:pPr>
      <w:numPr>
        <w:ilvl w:val="1"/>
        <w:numId w:val="20"/>
      </w:numPr>
      <w:tabs>
        <w:tab w:val="num" w:pos="170"/>
        <w:tab w:val="num" w:pos="454"/>
      </w:tabs>
      <w:spacing w:after="60"/>
      <w:ind w:left="1135" w:hanging="284"/>
    </w:pPr>
  </w:style>
  <w:style w:type="numbering" w:customStyle="1" w:styleId="ZZBullets">
    <w:name w:val="ZZ Bullets"/>
    <w:rsid w:val="0054547D"/>
    <w:pPr>
      <w:numPr>
        <w:numId w:val="20"/>
      </w:numPr>
    </w:pPr>
  </w:style>
  <w:style w:type="paragraph" w:styleId="ListParagraph">
    <w:name w:val="List Paragraph"/>
    <w:basedOn w:val="Normal"/>
    <w:uiPriority w:val="34"/>
    <w:qFormat/>
    <w:rsid w:val="001D025D"/>
    <w:pPr>
      <w:ind w:left="720"/>
      <w:contextualSpacing/>
    </w:pPr>
  </w:style>
  <w:style w:type="paragraph" w:customStyle="1" w:styleId="DPCtabletext">
    <w:name w:val="DPC table text"/>
    <w:uiPriority w:val="3"/>
    <w:qFormat/>
    <w:rsid w:val="00B2026A"/>
    <w:pPr>
      <w:spacing w:before="60" w:after="40" w:line="240" w:lineRule="auto"/>
    </w:pPr>
    <w:rPr>
      <w:rFonts w:eastAsia="Times New Roman" w:cs="Times New Roman"/>
      <w:color w:val="000000" w:themeColor="text1"/>
      <w:lang w:eastAsia="en-US"/>
    </w:rPr>
  </w:style>
  <w:style w:type="paragraph" w:customStyle="1" w:styleId="DPCtablecaption">
    <w:name w:val="DPC table caption"/>
    <w:next w:val="DPCbody"/>
    <w:uiPriority w:val="3"/>
    <w:qFormat/>
    <w:rsid w:val="00B2026A"/>
    <w:pPr>
      <w:keepNext/>
      <w:keepLines/>
      <w:spacing w:before="240" w:line="270" w:lineRule="exact"/>
    </w:pPr>
    <w:rPr>
      <w:rFonts w:asciiTheme="majorHAnsi" w:eastAsia="Times New Roman" w:hAnsiTheme="majorHAnsi" w:cs="Times New Roman"/>
      <w:b/>
      <w:color w:val="000000" w:themeColor="text1"/>
      <w:sz w:val="22"/>
      <w:szCs w:val="22"/>
      <w:lang w:eastAsia="en-US"/>
    </w:rPr>
  </w:style>
  <w:style w:type="paragraph" w:customStyle="1" w:styleId="DPCtablecolhead">
    <w:name w:val="DPC table col head"/>
    <w:uiPriority w:val="3"/>
    <w:qFormat/>
    <w:rsid w:val="00B2026A"/>
    <w:pPr>
      <w:spacing w:before="80" w:after="60" w:line="240" w:lineRule="auto"/>
    </w:pPr>
    <w:rPr>
      <w:rFonts w:asciiTheme="majorHAnsi" w:eastAsia="Times New Roman" w:hAnsiTheme="majorHAnsi" w:cs="Times New Roman"/>
      <w:b/>
      <w:color w:val="53565A"/>
      <w:lang w:eastAsia="en-US"/>
    </w:rPr>
  </w:style>
  <w:style w:type="paragraph" w:styleId="NoSpacing">
    <w:name w:val="No Spacing"/>
    <w:uiPriority w:val="1"/>
    <w:qFormat/>
    <w:rsid w:val="00B2026A"/>
    <w:pPr>
      <w:spacing w:before="60" w:line="240" w:lineRule="exact"/>
    </w:pPr>
    <w:rPr>
      <w:rFonts w:ascii="Arial" w:eastAsia="Cambria" w:hAnsi="Arial"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5991">
      <w:bodyDiv w:val="1"/>
      <w:marLeft w:val="0"/>
      <w:marRight w:val="0"/>
      <w:marTop w:val="0"/>
      <w:marBottom w:val="0"/>
      <w:divBdr>
        <w:top w:val="none" w:sz="0" w:space="0" w:color="auto"/>
        <w:left w:val="none" w:sz="0" w:space="0" w:color="auto"/>
        <w:bottom w:val="none" w:sz="0" w:space="0" w:color="auto"/>
        <w:right w:val="none" w:sz="0" w:space="0" w:color="auto"/>
      </w:divBdr>
    </w:div>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37203440">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757487769">
      <w:bodyDiv w:val="1"/>
      <w:marLeft w:val="0"/>
      <w:marRight w:val="0"/>
      <w:marTop w:val="0"/>
      <w:marBottom w:val="0"/>
      <w:divBdr>
        <w:top w:val="none" w:sz="0" w:space="0" w:color="auto"/>
        <w:left w:val="none" w:sz="0" w:space="0" w:color="auto"/>
        <w:bottom w:val="none" w:sz="0" w:space="0" w:color="auto"/>
        <w:right w:val="none" w:sz="0" w:space="0" w:color="auto"/>
      </w:divBdr>
    </w:div>
    <w:div w:id="828904424">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89602197">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30013140">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595360293">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996833099">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 w:id="200967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footer" Target="footer1.xml"/><Relationship Id="rId26" Type="http://schemas.openxmlformats.org/officeDocument/2006/relationships/hyperlink" Target="mailto:statutoryappointments@justice.vic.gov.au" TargetMode="External"/><Relationship Id="rId39" Type="http://schemas.openxmlformats.org/officeDocument/2006/relationships/hyperlink" Target="https://www.vic.gov.au/diversity-victorian-government-board-guidelines/about-guide" TargetMode="External"/><Relationship Id="rId21" Type="http://schemas.openxmlformats.org/officeDocument/2006/relationships/hyperlink" Target="mailto:cabinet@education.vic.gov.au" TargetMode="External"/><Relationship Id="rId34" Type="http://schemas.openxmlformats.org/officeDocument/2006/relationships/hyperlink" Target="mailto:info@vpsc.vic.gov.au" TargetMode="External"/><Relationship Id="rId42" Type="http://schemas.openxmlformats.org/officeDocument/2006/relationships/hyperlink" Target="mailto:rdv@rdv.vic.gov.au" TargetMode="External"/><Relationship Id="rId47" Type="http://schemas.openxmlformats.org/officeDocument/2006/relationships/hyperlink" Target="https://www.vic.gov.au/guideline-maintaining-data-about-victorian-entities-and-appointments" TargetMode="External"/><Relationship Id="rId50" Type="http://schemas.openxmlformats.org/officeDocument/2006/relationships/hyperlink" Target="https://www.boards.vic.gov.au/assessing-public-board-performance" TargetMode="External"/><Relationship Id="rId55" Type="http://schemas.openxmlformats.org/officeDocument/2006/relationships/hyperlink" Target="http://www.afsa.gov.au" TargetMode="External"/><Relationship Id="rId63" Type="http://schemas.openxmlformats.org/officeDocument/2006/relationships/hyperlink" Target="https://www.boards.vic.gov.au/integrity-guidance-board-directors" TargetMode="External"/><Relationship Id="rId68" Type="http://schemas.openxmlformats.org/officeDocument/2006/relationships/hyperlink" Target="http://vpsc.vic.gov.au/resources/conflicts-of-interest-and-duty/" TargetMode="External"/><Relationship Id="rId76" Type="http://schemas.openxmlformats.org/officeDocument/2006/relationships/hyperlink" Target="https://www.boards.vic.gov.au/assessing-public-board-performance" TargetMode="Externa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boards.vic.gov.au/integrity-guidance-board-directors"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mailto:CabinetAnd.ParliamentaryServices@dtf.vic.gov.au" TargetMode="External"/><Relationship Id="rId11" Type="http://schemas.openxmlformats.org/officeDocument/2006/relationships/endnotes" Target="endnotes.xml"/><Relationship Id="rId24" Type="http://schemas.openxmlformats.org/officeDocument/2006/relationships/hyperlink" Target="mailto:statutoryappointments@dgs.vic.gov.au" TargetMode="External"/><Relationship Id="rId32" Type="http://schemas.openxmlformats.org/officeDocument/2006/relationships/hyperlink" Target="mailto:diversityonboards@dffh.vic.gov.au" TargetMode="External"/><Relationship Id="rId37" Type="http://schemas.openxmlformats.org/officeDocument/2006/relationships/hyperlink" Target="https://www.vic.gov.au/cabinet-handbook" TargetMode="External"/><Relationship Id="rId40" Type="http://schemas.openxmlformats.org/officeDocument/2006/relationships/hyperlink" Target="https://www.vic.gov.au/guideline-maintaining-data-about-victorian-entities-and-appointments" TargetMode="External"/><Relationship Id="rId45" Type="http://schemas.openxmlformats.org/officeDocument/2006/relationships/hyperlink" Target="mailto:diversityonboards@dffh.vic.gov.au" TargetMode="External"/><Relationship Id="rId53" Type="http://schemas.openxmlformats.org/officeDocument/2006/relationships/hyperlink" Target="https://www.lobbyists.vic.gov.au/code-of-conduct" TargetMode="External"/><Relationship Id="rId58" Type="http://schemas.openxmlformats.org/officeDocument/2006/relationships/hyperlink" Target="https://www.lobbyistsregister.vic.gov.au/lobbyistsregister/documents/Vic_Gov_Professional_Lobbyist_Code_of_Conduct_Nov_2013.pdf" TargetMode="External"/><Relationship Id="rId66" Type="http://schemas.openxmlformats.org/officeDocument/2006/relationships/hyperlink" Target="https://www.vic.gov.au/guideline-maintaining-data-about-victorian-entities-and-appointments" TargetMode="External"/><Relationship Id="rId74" Type="http://schemas.openxmlformats.org/officeDocument/2006/relationships/hyperlink" Target="https://www.vic.gov.au/our-gender-equality-strategy" TargetMode="External"/><Relationship Id="rId79" Type="http://schemas.openxmlformats.org/officeDocument/2006/relationships/hyperlink" Target="https://content.vic.gov.au/sites/default/files/2023-11/Personal-information-and-privacy-consent-form-template.docx" TargetMode="External"/><Relationship Id="rId5" Type="http://schemas.openxmlformats.org/officeDocument/2006/relationships/customXml" Target="../customXml/item5.xml"/><Relationship Id="rId61" Type="http://schemas.openxmlformats.org/officeDocument/2006/relationships/hyperlink" Target="mailto:executivecouncil@dpc.vic.gov.au" TargetMode="External"/><Relationship Id="rId82"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mailto:executivecouncil@dpc.vic.gov.au" TargetMode="External"/><Relationship Id="rId44" Type="http://schemas.openxmlformats.org/officeDocument/2006/relationships/hyperlink" Target="https://www.vic.gov.au/node/24095" TargetMode="External"/><Relationship Id="rId52" Type="http://schemas.openxmlformats.org/officeDocument/2006/relationships/hyperlink" Target="https://www.lobbyists.vic.gov.au/" TargetMode="External"/><Relationship Id="rId60" Type="http://schemas.openxmlformats.org/officeDocument/2006/relationships/hyperlink" Target="https://www.vic.gov.au/remuneration-bands-executives-employed-public-service-bodies" TargetMode="External"/><Relationship Id="rId65" Type="http://schemas.openxmlformats.org/officeDocument/2006/relationships/hyperlink" Target="https://www.boards.vic.gov.au/conflicts-interest-and-duty-board-director" TargetMode="External"/><Relationship Id="rId73" Type="http://schemas.openxmlformats.org/officeDocument/2006/relationships/hyperlink" Target="https://vpsc.vic.gov.au/governance/recruitment-and-appointment-to-the-board-a-governance-officers-toolkit/" TargetMode="External"/><Relationship Id="rId78" Type="http://schemas.openxmlformats.org/officeDocument/2006/relationships/hyperlink" Target="https://content.vic.gov.au/sites/default/files/2023-10/Declaration-of-Private-Interests-Template.docx"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yperlink" Target="mailto:governance@delwp.vic.gov.au" TargetMode="External"/><Relationship Id="rId27" Type="http://schemas.openxmlformats.org/officeDocument/2006/relationships/hyperlink" Target="mailto:publicsectorgovernance@dpc.vic.gov.au" TargetMode="External"/><Relationship Id="rId30" Type="http://schemas.openxmlformats.org/officeDocument/2006/relationships/hyperlink" Target="mailto:publicsectorgovernance@dpc.vic.gov.au" TargetMode="External"/><Relationship Id="rId35" Type="http://schemas.openxmlformats.org/officeDocument/2006/relationships/hyperlink" Target="mailto:publicsectorgovernance@dpc.vic.gov.au" TargetMode="External"/><Relationship Id="rId43" Type="http://schemas.openxmlformats.org/officeDocument/2006/relationships/hyperlink" Target="https://www.vic.gov.au/node/24060/recruitment-process-checklist" TargetMode="External"/><Relationship Id="rId48" Type="http://schemas.openxmlformats.org/officeDocument/2006/relationships/hyperlink" Target="https://www.vic.gov.au/diversity-victorian-government-board-guidelines/about-guide" TargetMode="External"/><Relationship Id="rId56" Type="http://schemas.openxmlformats.org/officeDocument/2006/relationships/hyperlink" Target="https://www.lobbyistsregister.vic.gov.au/lobbyistsregister/main/index.htm" TargetMode="External"/><Relationship Id="rId64" Type="http://schemas.openxmlformats.org/officeDocument/2006/relationships/hyperlink" Target="https://www.boards.vic.gov.au/code-conduct-directors-victorian-public-entities" TargetMode="External"/><Relationship Id="rId69" Type="http://schemas.openxmlformats.org/officeDocument/2006/relationships/hyperlink" Target="http://vpsc.vic.gov.au/resources/directors-code-of-conduct-and-guidance-notes/" TargetMode="External"/><Relationship Id="rId77" Type="http://schemas.openxmlformats.org/officeDocument/2006/relationships/hyperlink" Target="https://www.boards.vic.gov.au/conflicts-interest-and-duty-board-director" TargetMode="External"/><Relationship Id="rId8" Type="http://schemas.openxmlformats.org/officeDocument/2006/relationships/settings" Target="settings.xml"/><Relationship Id="rId51" Type="http://schemas.openxmlformats.org/officeDocument/2006/relationships/hyperlink" Target="http://vpsc.vic.gov.au/resources/conflicts-of-interest-and-duty/" TargetMode="External"/><Relationship Id="rId72" Type="http://schemas.openxmlformats.org/officeDocument/2006/relationships/hyperlink" Target="https://www.boards.vic.gov.au/" TargetMode="External"/><Relationship Id="rId80" Type="http://schemas.openxmlformats.org/officeDocument/2006/relationships/hyperlink" Target="mailto:rdv@rdv.vic.gov.au"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svg"/><Relationship Id="rId25" Type="http://schemas.openxmlformats.org/officeDocument/2006/relationships/hyperlink" Target="mailto:appointments@health.vic.gov.au" TargetMode="External"/><Relationship Id="rId33" Type="http://schemas.openxmlformats.org/officeDocument/2006/relationships/hyperlink" Target="mailto:rdv@rdv.vic.gov.au" TargetMode="External"/><Relationship Id="rId38" Type="http://schemas.openxmlformats.org/officeDocument/2006/relationships/hyperlink" Target="https://www.vic.gov.au/diversity-victorian-government-board-guidelines/template-board-skills-and-diversity-matrix" TargetMode="External"/><Relationship Id="rId46" Type="http://schemas.openxmlformats.org/officeDocument/2006/relationships/hyperlink" Target="https://vpsc.vic.gov.au/contact-us/" TargetMode="External"/><Relationship Id="rId59" Type="http://schemas.openxmlformats.org/officeDocument/2006/relationships/hyperlink" Target="http://www.publicboards.vic.gov.au/" TargetMode="External"/><Relationship Id="rId67" Type="http://schemas.openxmlformats.org/officeDocument/2006/relationships/hyperlink" Target="https://www.vic.gov.au/cabinet-handbook" TargetMode="External"/><Relationship Id="rId20" Type="http://schemas.openxmlformats.org/officeDocument/2006/relationships/hyperlink" Target="mailto:publicsectorgovernance@dpc.vic.gov.au" TargetMode="External"/><Relationship Id="rId41" Type="http://schemas.openxmlformats.org/officeDocument/2006/relationships/hyperlink" Target="mailto:diversityonboards@dffh.vic.gov.au" TargetMode="External"/><Relationship Id="rId54" Type="http://schemas.openxmlformats.org/officeDocument/2006/relationships/hyperlink" Target="http://www.asic.gov.au" TargetMode="External"/><Relationship Id="rId62" Type="http://schemas.openxmlformats.org/officeDocument/2006/relationships/hyperlink" Target="https://vpsc.vic.gov.au/resources/induction-resources-for-board-directors/" TargetMode="External"/><Relationship Id="rId70" Type="http://schemas.openxmlformats.org/officeDocument/2006/relationships/hyperlink" Target="https://www.vic.gov.au/node/24060" TargetMode="External"/><Relationship Id="rId75" Type="http://schemas.openxmlformats.org/officeDocument/2006/relationships/hyperlink" Target="https://www.boards.vic.gov.au/board-director-induction"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ublicsectorgovernance@dpc.vic.gov.au" TargetMode="External"/><Relationship Id="rId23" Type="http://schemas.openxmlformats.org/officeDocument/2006/relationships/hyperlink" Target="mailto:appointments@dffh.vic.gov.au" TargetMode="External"/><Relationship Id="rId28" Type="http://schemas.openxmlformats.org/officeDocument/2006/relationships/hyperlink" Target="mailto:apptsandexco@transport.vic.gov.au" TargetMode="External"/><Relationship Id="rId36" Type="http://schemas.openxmlformats.org/officeDocument/2006/relationships/hyperlink" Target="https://www.vic.gov.au/node/24060" TargetMode="External"/><Relationship Id="rId49" Type="http://schemas.openxmlformats.org/officeDocument/2006/relationships/hyperlink" Target="https://www.vic.gov.au/advertising-government-communications" TargetMode="External"/><Relationship Id="rId57" Type="http://schemas.openxmlformats.org/officeDocument/2006/relationships/hyperlink" Target="https://gads.lobbyistsregister.vic.gov.au/"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p:properties xmlns:p="http://schemas.microsoft.com/office/2006/metadata/properties" xmlns:xsi="http://www.w3.org/2001/XMLSchema-instance" xmlns:pc="http://schemas.microsoft.com/office/infopath/2007/PartnerControls">
  <documentManagement>
    <_activity xmlns="63ab9259-4e55-46df-a5f2-52b7bf9357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962F022EFD804591B1B8D9A7583A28" ma:contentTypeVersion="13" ma:contentTypeDescription="Create a new document." ma:contentTypeScope="" ma:versionID="3a9894036a8ec2779edb861688464820">
  <xsd:schema xmlns:xsd="http://www.w3.org/2001/XMLSchema" xmlns:xs="http://www.w3.org/2001/XMLSchema" xmlns:p="http://schemas.microsoft.com/office/2006/metadata/properties" xmlns:ns3="63ab9259-4e55-46df-a5f2-52b7bf9357ac" xmlns:ns4="6a560102-b659-4f18-964d-415080ba39b3" targetNamespace="http://schemas.microsoft.com/office/2006/metadata/properties" ma:root="true" ma:fieldsID="5f123b68fd6c593554eaac188a7b072e" ns3:_="" ns4:_="">
    <xsd:import namespace="63ab9259-4e55-46df-a5f2-52b7bf9357ac"/>
    <xsd:import namespace="6a560102-b659-4f18-964d-415080ba39b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b9259-4e55-46df-a5f2-52b7bf935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560102-b659-4f18-964d-415080ba39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97A24-D547-426D-8FD0-582A6747EEE7}">
  <ds:schemaRefs>
    <ds:schemaRef ds:uri="http://www.w3.org/2001/XMLSchema"/>
  </ds:schemaRefs>
</ds:datastoreItem>
</file>

<file path=customXml/itemProps2.xml><?xml version="1.0" encoding="utf-8"?>
<ds:datastoreItem xmlns:ds="http://schemas.openxmlformats.org/officeDocument/2006/customXml" ds:itemID="{34452BE1-145B-4560-8065-8406585264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ab9259-4e55-46df-a5f2-52b7bf9357ac"/>
    <ds:schemaRef ds:uri="6a560102-b659-4f18-964d-415080ba39b3"/>
    <ds:schemaRef ds:uri="http://www.w3.org/XML/1998/namespace"/>
    <ds:schemaRef ds:uri="http://purl.org/dc/dcmitype/"/>
  </ds:schemaRefs>
</ds:datastoreItem>
</file>

<file path=customXml/itemProps3.xml><?xml version="1.0" encoding="utf-8"?>
<ds:datastoreItem xmlns:ds="http://schemas.openxmlformats.org/officeDocument/2006/customXml" ds:itemID="{CB8E06D0-2FFA-456D-9EE7-3E2351C85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b9259-4e55-46df-a5f2-52b7bf9357ac"/>
    <ds:schemaRef ds:uri="6a560102-b659-4f18-964d-415080ba3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5.xml><?xml version="1.0" encoding="utf-8"?>
<ds:datastoreItem xmlns:ds="http://schemas.openxmlformats.org/officeDocument/2006/customXml" ds:itemID="{00FEF337-F2A6-4F4A-9497-95B54CF91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49</Pages>
  <Words>14268</Words>
  <Characters>80758</Characters>
  <Application>Microsoft Office Word</Application>
  <DocSecurity>0</DocSecurity>
  <Lines>1794</Lines>
  <Paragraphs>989</Paragraphs>
  <ScaleCrop>false</ScaleCrop>
  <HeadingPairs>
    <vt:vector size="2" baseType="variant">
      <vt:variant>
        <vt:lpstr>Title</vt:lpstr>
      </vt:variant>
      <vt:variant>
        <vt:i4>1</vt:i4>
      </vt:variant>
    </vt:vector>
  </HeadingPairs>
  <TitlesOfParts>
    <vt:vector size="1" baseType="lpstr">
      <vt:lpstr>Appointment and Remuneration Guidelines</vt:lpstr>
    </vt:vector>
  </TitlesOfParts>
  <Company/>
  <LinksUpToDate>false</LinksUpToDate>
  <CharactersWithSpaces>94037</CharactersWithSpaces>
  <SharedDoc>false</SharedDoc>
  <HLinks>
    <vt:vector size="978" baseType="variant">
      <vt:variant>
        <vt:i4>1114142</vt:i4>
      </vt:variant>
      <vt:variant>
        <vt:i4>717</vt:i4>
      </vt:variant>
      <vt:variant>
        <vt:i4>0</vt:i4>
      </vt:variant>
      <vt:variant>
        <vt:i4>5</vt:i4>
      </vt:variant>
      <vt:variant>
        <vt:lpwstr>http://vic.gov.au/dpc</vt:lpwstr>
      </vt:variant>
      <vt:variant>
        <vt:lpwstr/>
      </vt:variant>
      <vt:variant>
        <vt:i4>458786</vt:i4>
      </vt:variant>
      <vt:variant>
        <vt:i4>714</vt:i4>
      </vt:variant>
      <vt:variant>
        <vt:i4>0</vt:i4>
      </vt:variant>
      <vt:variant>
        <vt:i4>5</vt:i4>
      </vt:variant>
      <vt:variant>
        <vt:lpwstr>mailto:rdv@rdv.vic.gov.au</vt:lpwstr>
      </vt:variant>
      <vt:variant>
        <vt:lpwstr/>
      </vt:variant>
      <vt:variant>
        <vt:i4>3932276</vt:i4>
      </vt:variant>
      <vt:variant>
        <vt:i4>711</vt:i4>
      </vt:variant>
      <vt:variant>
        <vt:i4>0</vt:i4>
      </vt:variant>
      <vt:variant>
        <vt:i4>5</vt:i4>
      </vt:variant>
      <vt:variant>
        <vt:lpwstr>https://content.vic.gov.au/sites/default/files/2023-11/Personal-information-and-privacy-consent-form-template.docx</vt:lpwstr>
      </vt:variant>
      <vt:variant>
        <vt:lpwstr/>
      </vt:variant>
      <vt:variant>
        <vt:i4>1310805</vt:i4>
      </vt:variant>
      <vt:variant>
        <vt:i4>708</vt:i4>
      </vt:variant>
      <vt:variant>
        <vt:i4>0</vt:i4>
      </vt:variant>
      <vt:variant>
        <vt:i4>5</vt:i4>
      </vt:variant>
      <vt:variant>
        <vt:lpwstr>https://content.vic.gov.au/sites/default/files/2023-10/Declaration-of-Private-Interests-Template.docx</vt:lpwstr>
      </vt:variant>
      <vt:variant>
        <vt:lpwstr/>
      </vt:variant>
      <vt:variant>
        <vt:i4>5046280</vt:i4>
      </vt:variant>
      <vt:variant>
        <vt:i4>705</vt:i4>
      </vt:variant>
      <vt:variant>
        <vt:i4>0</vt:i4>
      </vt:variant>
      <vt:variant>
        <vt:i4>5</vt:i4>
      </vt:variant>
      <vt:variant>
        <vt:lpwstr>https://www.boards.vic.gov.au/conflicts-interest-and-duty-board-director</vt:lpwstr>
      </vt:variant>
      <vt:variant>
        <vt:lpwstr/>
      </vt:variant>
      <vt:variant>
        <vt:i4>6029312</vt:i4>
      </vt:variant>
      <vt:variant>
        <vt:i4>702</vt:i4>
      </vt:variant>
      <vt:variant>
        <vt:i4>0</vt:i4>
      </vt:variant>
      <vt:variant>
        <vt:i4>5</vt:i4>
      </vt:variant>
      <vt:variant>
        <vt:lpwstr>https://www.boards.vic.gov.au/assessing-public-board-performance</vt:lpwstr>
      </vt:variant>
      <vt:variant>
        <vt:lpwstr/>
      </vt:variant>
      <vt:variant>
        <vt:i4>4128810</vt:i4>
      </vt:variant>
      <vt:variant>
        <vt:i4>699</vt:i4>
      </vt:variant>
      <vt:variant>
        <vt:i4>0</vt:i4>
      </vt:variant>
      <vt:variant>
        <vt:i4>5</vt:i4>
      </vt:variant>
      <vt:variant>
        <vt:lpwstr>https://www.boards.vic.gov.au/board-director-induction</vt:lpwstr>
      </vt:variant>
      <vt:variant>
        <vt:lpwstr/>
      </vt:variant>
      <vt:variant>
        <vt:i4>7667828</vt:i4>
      </vt:variant>
      <vt:variant>
        <vt:i4>696</vt:i4>
      </vt:variant>
      <vt:variant>
        <vt:i4>0</vt:i4>
      </vt:variant>
      <vt:variant>
        <vt:i4>5</vt:i4>
      </vt:variant>
      <vt:variant>
        <vt:lpwstr>https://www.vic.gov.au/our-gender-equality-strategy</vt:lpwstr>
      </vt:variant>
      <vt:variant>
        <vt:lpwstr/>
      </vt:variant>
      <vt:variant>
        <vt:i4>2097203</vt:i4>
      </vt:variant>
      <vt:variant>
        <vt:i4>693</vt:i4>
      </vt:variant>
      <vt:variant>
        <vt:i4>0</vt:i4>
      </vt:variant>
      <vt:variant>
        <vt:i4>5</vt:i4>
      </vt:variant>
      <vt:variant>
        <vt:lpwstr>https://vpsc.vic.gov.au/governance/recruitment-and-appointment-to-the-board-a-governance-officers-toolkit/</vt:lpwstr>
      </vt:variant>
      <vt:variant>
        <vt:lpwstr/>
      </vt:variant>
      <vt:variant>
        <vt:i4>3801187</vt:i4>
      </vt:variant>
      <vt:variant>
        <vt:i4>690</vt:i4>
      </vt:variant>
      <vt:variant>
        <vt:i4>0</vt:i4>
      </vt:variant>
      <vt:variant>
        <vt:i4>5</vt:i4>
      </vt:variant>
      <vt:variant>
        <vt:lpwstr>https://vpsc.vic.gov.au/executive-employment/victorian-public-entity-executive-employment/recruitment-and-appointment-to-the-board/</vt:lpwstr>
      </vt:variant>
      <vt:variant>
        <vt:lpwstr/>
      </vt:variant>
      <vt:variant>
        <vt:i4>7078010</vt:i4>
      </vt:variant>
      <vt:variant>
        <vt:i4>687</vt:i4>
      </vt:variant>
      <vt:variant>
        <vt:i4>0</vt:i4>
      </vt:variant>
      <vt:variant>
        <vt:i4>5</vt:i4>
      </vt:variant>
      <vt:variant>
        <vt:lpwstr>https://www.boards.vic.gov.au/</vt:lpwstr>
      </vt:variant>
      <vt:variant>
        <vt:lpwstr/>
      </vt:variant>
      <vt:variant>
        <vt:i4>5767179</vt:i4>
      </vt:variant>
      <vt:variant>
        <vt:i4>684</vt:i4>
      </vt:variant>
      <vt:variant>
        <vt:i4>0</vt:i4>
      </vt:variant>
      <vt:variant>
        <vt:i4>5</vt:i4>
      </vt:variant>
      <vt:variant>
        <vt:lpwstr>https://www.boards.vic.gov.au/integrity-guidance-board-directors</vt:lpwstr>
      </vt:variant>
      <vt:variant>
        <vt:lpwstr/>
      </vt:variant>
      <vt:variant>
        <vt:i4>1835010</vt:i4>
      </vt:variant>
      <vt:variant>
        <vt:i4>681</vt:i4>
      </vt:variant>
      <vt:variant>
        <vt:i4>0</vt:i4>
      </vt:variant>
      <vt:variant>
        <vt:i4>5</vt:i4>
      </vt:variant>
      <vt:variant>
        <vt:lpwstr>https://www.vic.gov.au/node/24060</vt:lpwstr>
      </vt:variant>
      <vt:variant>
        <vt:lpwstr/>
      </vt:variant>
      <vt:variant>
        <vt:i4>4128888</vt:i4>
      </vt:variant>
      <vt:variant>
        <vt:i4>678</vt:i4>
      </vt:variant>
      <vt:variant>
        <vt:i4>0</vt:i4>
      </vt:variant>
      <vt:variant>
        <vt:i4>5</vt:i4>
      </vt:variant>
      <vt:variant>
        <vt:lpwstr>http://vpsc.vic.gov.au/resources/directors-code-of-conduct-and-guidance-notes/</vt:lpwstr>
      </vt:variant>
      <vt:variant>
        <vt:lpwstr/>
      </vt:variant>
      <vt:variant>
        <vt:i4>262211</vt:i4>
      </vt:variant>
      <vt:variant>
        <vt:i4>675</vt:i4>
      </vt:variant>
      <vt:variant>
        <vt:i4>0</vt:i4>
      </vt:variant>
      <vt:variant>
        <vt:i4>5</vt:i4>
      </vt:variant>
      <vt:variant>
        <vt:lpwstr>http://vpsc.vic.gov.au/resources/conflicts-of-interest-and-duty/</vt:lpwstr>
      </vt:variant>
      <vt:variant>
        <vt:lpwstr/>
      </vt:variant>
      <vt:variant>
        <vt:i4>2818080</vt:i4>
      </vt:variant>
      <vt:variant>
        <vt:i4>672</vt:i4>
      </vt:variant>
      <vt:variant>
        <vt:i4>0</vt:i4>
      </vt:variant>
      <vt:variant>
        <vt:i4>5</vt:i4>
      </vt:variant>
      <vt:variant>
        <vt:lpwstr>https://www.vic.gov.au/cabinet-handbook</vt:lpwstr>
      </vt:variant>
      <vt:variant>
        <vt:lpwstr/>
      </vt:variant>
      <vt:variant>
        <vt:i4>3342454</vt:i4>
      </vt:variant>
      <vt:variant>
        <vt:i4>669</vt:i4>
      </vt:variant>
      <vt:variant>
        <vt:i4>0</vt:i4>
      </vt:variant>
      <vt:variant>
        <vt:i4>5</vt:i4>
      </vt:variant>
      <vt:variant>
        <vt:lpwstr>http://vpsc.vic.gov.au/html-resources/best-practice-recruitment-and-selection-toolkit/</vt:lpwstr>
      </vt:variant>
      <vt:variant>
        <vt:lpwstr/>
      </vt:variant>
      <vt:variant>
        <vt:i4>1376305</vt:i4>
      </vt:variant>
      <vt:variant>
        <vt:i4>666</vt:i4>
      </vt:variant>
      <vt:variant>
        <vt:i4>0</vt:i4>
      </vt:variant>
      <vt:variant>
        <vt:i4>5</vt:i4>
      </vt:variant>
      <vt:variant>
        <vt:lpwstr/>
      </vt:variant>
      <vt:variant>
        <vt:lpwstr>_Personal_Information_and</vt:lpwstr>
      </vt:variant>
      <vt:variant>
        <vt:i4>6946924</vt:i4>
      </vt:variant>
      <vt:variant>
        <vt:i4>663</vt:i4>
      </vt:variant>
      <vt:variant>
        <vt:i4>0</vt:i4>
      </vt:variant>
      <vt:variant>
        <vt:i4>5</vt:i4>
      </vt:variant>
      <vt:variant>
        <vt:lpwstr>https://www.vic.gov.au/guideline-maintaining-data-about-victorian-entities-and-appointments</vt:lpwstr>
      </vt:variant>
      <vt:variant>
        <vt:lpwstr/>
      </vt:variant>
      <vt:variant>
        <vt:i4>5046280</vt:i4>
      </vt:variant>
      <vt:variant>
        <vt:i4>660</vt:i4>
      </vt:variant>
      <vt:variant>
        <vt:i4>0</vt:i4>
      </vt:variant>
      <vt:variant>
        <vt:i4>5</vt:i4>
      </vt:variant>
      <vt:variant>
        <vt:lpwstr>https://www.boards.vic.gov.au/conflicts-interest-and-duty-board-director</vt:lpwstr>
      </vt:variant>
      <vt:variant>
        <vt:lpwstr/>
      </vt:variant>
      <vt:variant>
        <vt:i4>3473515</vt:i4>
      </vt:variant>
      <vt:variant>
        <vt:i4>657</vt:i4>
      </vt:variant>
      <vt:variant>
        <vt:i4>0</vt:i4>
      </vt:variant>
      <vt:variant>
        <vt:i4>5</vt:i4>
      </vt:variant>
      <vt:variant>
        <vt:lpwstr>https://www.boards.vic.gov.au/code-conduct-directors-victorian-public-entities</vt:lpwstr>
      </vt:variant>
      <vt:variant>
        <vt:lpwstr/>
      </vt:variant>
      <vt:variant>
        <vt:i4>5767179</vt:i4>
      </vt:variant>
      <vt:variant>
        <vt:i4>654</vt:i4>
      </vt:variant>
      <vt:variant>
        <vt:i4>0</vt:i4>
      </vt:variant>
      <vt:variant>
        <vt:i4>5</vt:i4>
      </vt:variant>
      <vt:variant>
        <vt:lpwstr>https://www.boards.vic.gov.au/integrity-guidance-board-directors</vt:lpwstr>
      </vt:variant>
      <vt:variant>
        <vt:lpwstr/>
      </vt:variant>
      <vt:variant>
        <vt:i4>3145835</vt:i4>
      </vt:variant>
      <vt:variant>
        <vt:i4>651</vt:i4>
      </vt:variant>
      <vt:variant>
        <vt:i4>0</vt:i4>
      </vt:variant>
      <vt:variant>
        <vt:i4>5</vt:i4>
      </vt:variant>
      <vt:variant>
        <vt:lpwstr>https://vpsc.vic.gov.au/resources/induction-resources-for-board-directors/</vt:lpwstr>
      </vt:variant>
      <vt:variant>
        <vt:lpwstr/>
      </vt:variant>
      <vt:variant>
        <vt:i4>1966120</vt:i4>
      </vt:variant>
      <vt:variant>
        <vt:i4>648</vt:i4>
      </vt:variant>
      <vt:variant>
        <vt:i4>0</vt:i4>
      </vt:variant>
      <vt:variant>
        <vt:i4>5</vt:i4>
      </vt:variant>
      <vt:variant>
        <vt:lpwstr>mailto:executivecouncil@dpc.vic.gov.au</vt:lpwstr>
      </vt:variant>
      <vt:variant>
        <vt:lpwstr/>
      </vt:variant>
      <vt:variant>
        <vt:i4>6553683</vt:i4>
      </vt:variant>
      <vt:variant>
        <vt:i4>645</vt:i4>
      </vt:variant>
      <vt:variant>
        <vt:i4>0</vt:i4>
      </vt:variant>
      <vt:variant>
        <vt:i4>5</vt:i4>
      </vt:variant>
      <vt:variant>
        <vt:lpwstr/>
      </vt:variant>
      <vt:variant>
        <vt:lpwstr>_Remuneration_above_the</vt:lpwstr>
      </vt:variant>
      <vt:variant>
        <vt:i4>6553683</vt:i4>
      </vt:variant>
      <vt:variant>
        <vt:i4>642</vt:i4>
      </vt:variant>
      <vt:variant>
        <vt:i4>0</vt:i4>
      </vt:variant>
      <vt:variant>
        <vt:i4>5</vt:i4>
      </vt:variant>
      <vt:variant>
        <vt:lpwstr/>
      </vt:variant>
      <vt:variant>
        <vt:lpwstr>_Remuneration_above_the</vt:lpwstr>
      </vt:variant>
      <vt:variant>
        <vt:i4>5963899</vt:i4>
      </vt:variant>
      <vt:variant>
        <vt:i4>639</vt:i4>
      </vt:variant>
      <vt:variant>
        <vt:i4>0</vt:i4>
      </vt:variant>
      <vt:variant>
        <vt:i4>5</vt:i4>
      </vt:variant>
      <vt:variant>
        <vt:lpwstr/>
      </vt:variant>
      <vt:variant>
        <vt:lpwstr>_Members_of_Parliament</vt:lpwstr>
      </vt:variant>
      <vt:variant>
        <vt:i4>3473433</vt:i4>
      </vt:variant>
      <vt:variant>
        <vt:i4>636</vt:i4>
      </vt:variant>
      <vt:variant>
        <vt:i4>0</vt:i4>
      </vt:variant>
      <vt:variant>
        <vt:i4>5</vt:i4>
      </vt:variant>
      <vt:variant>
        <vt:lpwstr/>
      </vt:variant>
      <vt:variant>
        <vt:lpwstr>_The_Guidelines_apply</vt:lpwstr>
      </vt:variant>
      <vt:variant>
        <vt:i4>1638471</vt:i4>
      </vt:variant>
      <vt:variant>
        <vt:i4>632</vt:i4>
      </vt:variant>
      <vt:variant>
        <vt:i4>0</vt:i4>
      </vt:variant>
      <vt:variant>
        <vt:i4>5</vt:i4>
      </vt:variant>
      <vt:variant>
        <vt:lpwstr/>
      </vt:variant>
      <vt:variant>
        <vt:lpwstr>_Public_sector_employees_2</vt:lpwstr>
      </vt:variant>
      <vt:variant>
        <vt:i4>3670128</vt:i4>
      </vt:variant>
      <vt:variant>
        <vt:i4>630</vt:i4>
      </vt:variant>
      <vt:variant>
        <vt:i4>0</vt:i4>
      </vt:variant>
      <vt:variant>
        <vt:i4>5</vt:i4>
      </vt:variant>
      <vt:variant>
        <vt:lpwstr/>
      </vt:variant>
      <vt:variant>
        <vt:lpwstr>_When_can_public_1</vt:lpwstr>
      </vt:variant>
      <vt:variant>
        <vt:i4>1638471</vt:i4>
      </vt:variant>
      <vt:variant>
        <vt:i4>627</vt:i4>
      </vt:variant>
      <vt:variant>
        <vt:i4>0</vt:i4>
      </vt:variant>
      <vt:variant>
        <vt:i4>5</vt:i4>
      </vt:variant>
      <vt:variant>
        <vt:lpwstr/>
      </vt:variant>
      <vt:variant>
        <vt:lpwstr>_Public_sector_employees_2</vt:lpwstr>
      </vt:variant>
      <vt:variant>
        <vt:i4>1638471</vt:i4>
      </vt:variant>
      <vt:variant>
        <vt:i4>624</vt:i4>
      </vt:variant>
      <vt:variant>
        <vt:i4>0</vt:i4>
      </vt:variant>
      <vt:variant>
        <vt:i4>5</vt:i4>
      </vt:variant>
      <vt:variant>
        <vt:lpwstr/>
      </vt:variant>
      <vt:variant>
        <vt:lpwstr>_Public_sector_employees_2</vt:lpwstr>
      </vt:variant>
      <vt:variant>
        <vt:i4>3932189</vt:i4>
      </vt:variant>
      <vt:variant>
        <vt:i4>621</vt:i4>
      </vt:variant>
      <vt:variant>
        <vt:i4>0</vt:i4>
      </vt:variant>
      <vt:variant>
        <vt:i4>5</vt:i4>
      </vt:variant>
      <vt:variant>
        <vt:lpwstr/>
      </vt:variant>
      <vt:variant>
        <vt:lpwstr>_Approving_an_appointment</vt:lpwstr>
      </vt:variant>
      <vt:variant>
        <vt:i4>6946851</vt:i4>
      </vt:variant>
      <vt:variant>
        <vt:i4>618</vt:i4>
      </vt:variant>
      <vt:variant>
        <vt:i4>0</vt:i4>
      </vt:variant>
      <vt:variant>
        <vt:i4>5</vt:i4>
      </vt:variant>
      <vt:variant>
        <vt:lpwstr>https://www.vic.gov.au/remuneration-bands-executives-employed-public-service-bodies</vt:lpwstr>
      </vt:variant>
      <vt:variant>
        <vt:lpwstr/>
      </vt:variant>
      <vt:variant>
        <vt:i4>6946849</vt:i4>
      </vt:variant>
      <vt:variant>
        <vt:i4>615</vt:i4>
      </vt:variant>
      <vt:variant>
        <vt:i4>0</vt:i4>
      </vt:variant>
      <vt:variant>
        <vt:i4>5</vt:i4>
      </vt:variant>
      <vt:variant>
        <vt:lpwstr>http://www.publicboards.vic.gov.au/</vt:lpwstr>
      </vt:variant>
      <vt:variant>
        <vt:lpwstr/>
      </vt:variant>
      <vt:variant>
        <vt:i4>3932189</vt:i4>
      </vt:variant>
      <vt:variant>
        <vt:i4>612</vt:i4>
      </vt:variant>
      <vt:variant>
        <vt:i4>0</vt:i4>
      </vt:variant>
      <vt:variant>
        <vt:i4>5</vt:i4>
      </vt:variant>
      <vt:variant>
        <vt:lpwstr/>
      </vt:variant>
      <vt:variant>
        <vt:lpwstr>_Approving_an_appointment</vt:lpwstr>
      </vt:variant>
      <vt:variant>
        <vt:i4>3997807</vt:i4>
      </vt:variant>
      <vt:variant>
        <vt:i4>609</vt:i4>
      </vt:variant>
      <vt:variant>
        <vt:i4>0</vt:i4>
      </vt:variant>
      <vt:variant>
        <vt:i4>5</vt:i4>
      </vt:variant>
      <vt:variant>
        <vt:lpwstr>https://www.vic.gov.au/guidelines-appointment-remuneration</vt:lpwstr>
      </vt:variant>
      <vt:variant>
        <vt:lpwstr/>
      </vt:variant>
      <vt:variant>
        <vt:i4>2293872</vt:i4>
      </vt:variant>
      <vt:variant>
        <vt:i4>606</vt:i4>
      </vt:variant>
      <vt:variant>
        <vt:i4>0</vt:i4>
      </vt:variant>
      <vt:variant>
        <vt:i4>5</vt:i4>
      </vt:variant>
      <vt:variant>
        <vt:lpwstr>https://www.lobbyistsregister.vic.gov.au/lobbyistsregister/documents/Vic_Gov_Professional_Lobbyist_Code_of_Conduct_Nov_2013.pdf</vt:lpwstr>
      </vt:variant>
      <vt:variant>
        <vt:lpwstr/>
      </vt:variant>
      <vt:variant>
        <vt:i4>3407907</vt:i4>
      </vt:variant>
      <vt:variant>
        <vt:i4>603</vt:i4>
      </vt:variant>
      <vt:variant>
        <vt:i4>0</vt:i4>
      </vt:variant>
      <vt:variant>
        <vt:i4>5</vt:i4>
      </vt:variant>
      <vt:variant>
        <vt:lpwstr>https://gads.lobbyistsregister.vic.gov.au/</vt:lpwstr>
      </vt:variant>
      <vt:variant>
        <vt:lpwstr/>
      </vt:variant>
      <vt:variant>
        <vt:i4>65625</vt:i4>
      </vt:variant>
      <vt:variant>
        <vt:i4>600</vt:i4>
      </vt:variant>
      <vt:variant>
        <vt:i4>0</vt:i4>
      </vt:variant>
      <vt:variant>
        <vt:i4>5</vt:i4>
      </vt:variant>
      <vt:variant>
        <vt:lpwstr>https://www.lobbyistsregister.vic.gov.au/lobbyistsregister/main/index.htm</vt:lpwstr>
      </vt:variant>
      <vt:variant>
        <vt:lpwstr/>
      </vt:variant>
      <vt:variant>
        <vt:i4>2293799</vt:i4>
      </vt:variant>
      <vt:variant>
        <vt:i4>597</vt:i4>
      </vt:variant>
      <vt:variant>
        <vt:i4>0</vt:i4>
      </vt:variant>
      <vt:variant>
        <vt:i4>5</vt:i4>
      </vt:variant>
      <vt:variant>
        <vt:lpwstr>http://www.afsa.gov.au/</vt:lpwstr>
      </vt:variant>
      <vt:variant>
        <vt:lpwstr/>
      </vt:variant>
      <vt:variant>
        <vt:i4>3735600</vt:i4>
      </vt:variant>
      <vt:variant>
        <vt:i4>594</vt:i4>
      </vt:variant>
      <vt:variant>
        <vt:i4>0</vt:i4>
      </vt:variant>
      <vt:variant>
        <vt:i4>5</vt:i4>
      </vt:variant>
      <vt:variant>
        <vt:lpwstr>http://www.asic.gov.au/</vt:lpwstr>
      </vt:variant>
      <vt:variant>
        <vt:lpwstr/>
      </vt:variant>
      <vt:variant>
        <vt:i4>4522077</vt:i4>
      </vt:variant>
      <vt:variant>
        <vt:i4>591</vt:i4>
      </vt:variant>
      <vt:variant>
        <vt:i4>0</vt:i4>
      </vt:variant>
      <vt:variant>
        <vt:i4>5</vt:i4>
      </vt:variant>
      <vt:variant>
        <vt:lpwstr>https://www.lobbyists.vic.gov.au/code-of-conduct</vt:lpwstr>
      </vt:variant>
      <vt:variant>
        <vt:lpwstr/>
      </vt:variant>
      <vt:variant>
        <vt:i4>327762</vt:i4>
      </vt:variant>
      <vt:variant>
        <vt:i4>588</vt:i4>
      </vt:variant>
      <vt:variant>
        <vt:i4>0</vt:i4>
      </vt:variant>
      <vt:variant>
        <vt:i4>5</vt:i4>
      </vt:variant>
      <vt:variant>
        <vt:lpwstr>https://www.lobbyists.vic.gov.au/</vt:lpwstr>
      </vt:variant>
      <vt:variant>
        <vt:lpwstr/>
      </vt:variant>
      <vt:variant>
        <vt:i4>1704007</vt:i4>
      </vt:variant>
      <vt:variant>
        <vt:i4>585</vt:i4>
      </vt:variant>
      <vt:variant>
        <vt:i4>0</vt:i4>
      </vt:variant>
      <vt:variant>
        <vt:i4>5</vt:i4>
      </vt:variant>
      <vt:variant>
        <vt:lpwstr/>
      </vt:variant>
      <vt:variant>
        <vt:lpwstr>_Public_sector_employees_1</vt:lpwstr>
      </vt:variant>
      <vt:variant>
        <vt:i4>262211</vt:i4>
      </vt:variant>
      <vt:variant>
        <vt:i4>582</vt:i4>
      </vt:variant>
      <vt:variant>
        <vt:i4>0</vt:i4>
      </vt:variant>
      <vt:variant>
        <vt:i4>5</vt:i4>
      </vt:variant>
      <vt:variant>
        <vt:lpwstr>http://vpsc.vic.gov.au/resources/conflicts-of-interest-and-duty/</vt:lpwstr>
      </vt:variant>
      <vt:variant>
        <vt:lpwstr/>
      </vt:variant>
      <vt:variant>
        <vt:i4>2097179</vt:i4>
      </vt:variant>
      <vt:variant>
        <vt:i4>579</vt:i4>
      </vt:variant>
      <vt:variant>
        <vt:i4>0</vt:i4>
      </vt:variant>
      <vt:variant>
        <vt:i4>5</vt:i4>
      </vt:variant>
      <vt:variant>
        <vt:lpwstr/>
      </vt:variant>
      <vt:variant>
        <vt:lpwstr>_A_robust_recruitment</vt:lpwstr>
      </vt:variant>
      <vt:variant>
        <vt:i4>598104</vt:i4>
      </vt:variant>
      <vt:variant>
        <vt:i4>576</vt:i4>
      </vt:variant>
      <vt:variant>
        <vt:i4>0</vt:i4>
      </vt:variant>
      <vt:variant>
        <vt:i4>5</vt:i4>
      </vt:variant>
      <vt:variant>
        <vt:lpwstr/>
      </vt:variant>
      <vt:variant>
        <vt:lpwstr>_Remuneration_–_other</vt:lpwstr>
      </vt:variant>
      <vt:variant>
        <vt:i4>131127</vt:i4>
      </vt:variant>
      <vt:variant>
        <vt:i4>573</vt:i4>
      </vt:variant>
      <vt:variant>
        <vt:i4>0</vt:i4>
      </vt:variant>
      <vt:variant>
        <vt:i4>5</vt:i4>
      </vt:variant>
      <vt:variant>
        <vt:lpwstr/>
      </vt:variant>
      <vt:variant>
        <vt:lpwstr>_Advertising</vt:lpwstr>
      </vt:variant>
      <vt:variant>
        <vt:i4>6029312</vt:i4>
      </vt:variant>
      <vt:variant>
        <vt:i4>570</vt:i4>
      </vt:variant>
      <vt:variant>
        <vt:i4>0</vt:i4>
      </vt:variant>
      <vt:variant>
        <vt:i4>5</vt:i4>
      </vt:variant>
      <vt:variant>
        <vt:lpwstr>https://www.boards.vic.gov.au/assessing-public-board-performance</vt:lpwstr>
      </vt:variant>
      <vt:variant>
        <vt:lpwstr/>
      </vt:variant>
      <vt:variant>
        <vt:i4>1245262</vt:i4>
      </vt:variant>
      <vt:variant>
        <vt:i4>567</vt:i4>
      </vt:variant>
      <vt:variant>
        <vt:i4>0</vt:i4>
      </vt:variant>
      <vt:variant>
        <vt:i4>5</vt:i4>
      </vt:variant>
      <vt:variant>
        <vt:lpwstr>https://www.vic.gov.au/advertising-government-communications</vt:lpwstr>
      </vt:variant>
      <vt:variant>
        <vt:lpwstr/>
      </vt:variant>
      <vt:variant>
        <vt:i4>3801214</vt:i4>
      </vt:variant>
      <vt:variant>
        <vt:i4>564</vt:i4>
      </vt:variant>
      <vt:variant>
        <vt:i4>0</vt:i4>
      </vt:variant>
      <vt:variant>
        <vt:i4>5</vt:i4>
      </vt:variant>
      <vt:variant>
        <vt:lpwstr>https://www.vic.gov.au/diversity-victorian-government-board-guidelines/about-guide</vt:lpwstr>
      </vt:variant>
      <vt:variant>
        <vt:lpwstr/>
      </vt:variant>
      <vt:variant>
        <vt:i4>6946924</vt:i4>
      </vt:variant>
      <vt:variant>
        <vt:i4>561</vt:i4>
      </vt:variant>
      <vt:variant>
        <vt:i4>0</vt:i4>
      </vt:variant>
      <vt:variant>
        <vt:i4>5</vt:i4>
      </vt:variant>
      <vt:variant>
        <vt:lpwstr>https://www.vic.gov.au/guideline-maintaining-data-about-victorian-entities-and-appointments</vt:lpwstr>
      </vt:variant>
      <vt:variant>
        <vt:lpwstr/>
      </vt:variant>
      <vt:variant>
        <vt:i4>7209077</vt:i4>
      </vt:variant>
      <vt:variant>
        <vt:i4>558</vt:i4>
      </vt:variant>
      <vt:variant>
        <vt:i4>0</vt:i4>
      </vt:variant>
      <vt:variant>
        <vt:i4>5</vt:i4>
      </vt:variant>
      <vt:variant>
        <vt:lpwstr>https://vpsc.vic.gov.au/contact-us/</vt:lpwstr>
      </vt:variant>
      <vt:variant>
        <vt:lpwstr/>
      </vt:variant>
      <vt:variant>
        <vt:i4>5046370</vt:i4>
      </vt:variant>
      <vt:variant>
        <vt:i4>555</vt:i4>
      </vt:variant>
      <vt:variant>
        <vt:i4>0</vt:i4>
      </vt:variant>
      <vt:variant>
        <vt:i4>5</vt:i4>
      </vt:variant>
      <vt:variant>
        <vt:lpwstr>mailto:diversityonboards@dffh.vic.gov.au</vt:lpwstr>
      </vt:variant>
      <vt:variant>
        <vt:lpwstr/>
      </vt:variant>
      <vt:variant>
        <vt:i4>1245186</vt:i4>
      </vt:variant>
      <vt:variant>
        <vt:i4>552</vt:i4>
      </vt:variant>
      <vt:variant>
        <vt:i4>0</vt:i4>
      </vt:variant>
      <vt:variant>
        <vt:i4>5</vt:i4>
      </vt:variant>
      <vt:variant>
        <vt:lpwstr>https://www.vic.gov.au/node/24095</vt:lpwstr>
      </vt:variant>
      <vt:variant>
        <vt:lpwstr/>
      </vt:variant>
      <vt:variant>
        <vt:i4>2228261</vt:i4>
      </vt:variant>
      <vt:variant>
        <vt:i4>549</vt:i4>
      </vt:variant>
      <vt:variant>
        <vt:i4>0</vt:i4>
      </vt:variant>
      <vt:variant>
        <vt:i4>5</vt:i4>
      </vt:variant>
      <vt:variant>
        <vt:lpwstr>https://www.vic.gov.au/node/24060/recruitment-process-checklist</vt:lpwstr>
      </vt:variant>
      <vt:variant>
        <vt:lpwstr>3-consulting-on-diversity</vt:lpwstr>
      </vt:variant>
      <vt:variant>
        <vt:i4>458786</vt:i4>
      </vt:variant>
      <vt:variant>
        <vt:i4>546</vt:i4>
      </vt:variant>
      <vt:variant>
        <vt:i4>0</vt:i4>
      </vt:variant>
      <vt:variant>
        <vt:i4>5</vt:i4>
      </vt:variant>
      <vt:variant>
        <vt:lpwstr>mailto:rdv@rdv.vic.gov.au</vt:lpwstr>
      </vt:variant>
      <vt:variant>
        <vt:lpwstr/>
      </vt:variant>
      <vt:variant>
        <vt:i4>5046370</vt:i4>
      </vt:variant>
      <vt:variant>
        <vt:i4>543</vt:i4>
      </vt:variant>
      <vt:variant>
        <vt:i4>0</vt:i4>
      </vt:variant>
      <vt:variant>
        <vt:i4>5</vt:i4>
      </vt:variant>
      <vt:variant>
        <vt:lpwstr>mailto:diversityonboards@dffh.vic.gov.au</vt:lpwstr>
      </vt:variant>
      <vt:variant>
        <vt:lpwstr/>
      </vt:variant>
      <vt:variant>
        <vt:i4>6946924</vt:i4>
      </vt:variant>
      <vt:variant>
        <vt:i4>540</vt:i4>
      </vt:variant>
      <vt:variant>
        <vt:i4>0</vt:i4>
      </vt:variant>
      <vt:variant>
        <vt:i4>5</vt:i4>
      </vt:variant>
      <vt:variant>
        <vt:lpwstr>https://www.vic.gov.au/guideline-maintaining-data-about-victorian-entities-and-appointments</vt:lpwstr>
      </vt:variant>
      <vt:variant>
        <vt:lpwstr/>
      </vt:variant>
      <vt:variant>
        <vt:i4>3801214</vt:i4>
      </vt:variant>
      <vt:variant>
        <vt:i4>537</vt:i4>
      </vt:variant>
      <vt:variant>
        <vt:i4>0</vt:i4>
      </vt:variant>
      <vt:variant>
        <vt:i4>5</vt:i4>
      </vt:variant>
      <vt:variant>
        <vt:lpwstr>https://www.vic.gov.au/diversity-victorian-government-board-guidelines/about-guide</vt:lpwstr>
      </vt:variant>
      <vt:variant>
        <vt:lpwstr/>
      </vt:variant>
      <vt:variant>
        <vt:i4>4587534</vt:i4>
      </vt:variant>
      <vt:variant>
        <vt:i4>534</vt:i4>
      </vt:variant>
      <vt:variant>
        <vt:i4>0</vt:i4>
      </vt:variant>
      <vt:variant>
        <vt:i4>5</vt:i4>
      </vt:variant>
      <vt:variant>
        <vt:lpwstr>https://www.vic.gov.au/diversity-victorian-government-board-guidelines/template-board-skills-and-diversity-matrix</vt:lpwstr>
      </vt:variant>
      <vt:variant>
        <vt:lpwstr/>
      </vt:variant>
      <vt:variant>
        <vt:i4>2818080</vt:i4>
      </vt:variant>
      <vt:variant>
        <vt:i4>531</vt:i4>
      </vt:variant>
      <vt:variant>
        <vt:i4>0</vt:i4>
      </vt:variant>
      <vt:variant>
        <vt:i4>5</vt:i4>
      </vt:variant>
      <vt:variant>
        <vt:lpwstr>https://www.vic.gov.au/cabinet-handbook</vt:lpwstr>
      </vt:variant>
      <vt:variant>
        <vt:lpwstr/>
      </vt:variant>
      <vt:variant>
        <vt:i4>2097203</vt:i4>
      </vt:variant>
      <vt:variant>
        <vt:i4>528</vt:i4>
      </vt:variant>
      <vt:variant>
        <vt:i4>0</vt:i4>
      </vt:variant>
      <vt:variant>
        <vt:i4>5</vt:i4>
      </vt:variant>
      <vt:variant>
        <vt:lpwstr>https://vpsc.vic.gov.au/governance/recruitment-and-appointment-to-the-board-a-governance-officers-toolkit/</vt:lpwstr>
      </vt:variant>
      <vt:variant>
        <vt:lpwstr/>
      </vt:variant>
      <vt:variant>
        <vt:i4>1835010</vt:i4>
      </vt:variant>
      <vt:variant>
        <vt:i4>525</vt:i4>
      </vt:variant>
      <vt:variant>
        <vt:i4>0</vt:i4>
      </vt:variant>
      <vt:variant>
        <vt:i4>5</vt:i4>
      </vt:variant>
      <vt:variant>
        <vt:lpwstr>https://www.vic.gov.au/node/24060</vt:lpwstr>
      </vt:variant>
      <vt:variant>
        <vt:lpwstr/>
      </vt:variant>
      <vt:variant>
        <vt:i4>4587628</vt:i4>
      </vt:variant>
      <vt:variant>
        <vt:i4>522</vt:i4>
      </vt:variant>
      <vt:variant>
        <vt:i4>0</vt:i4>
      </vt:variant>
      <vt:variant>
        <vt:i4>5</vt:i4>
      </vt:variant>
      <vt:variant>
        <vt:lpwstr/>
      </vt:variant>
      <vt:variant>
        <vt:lpwstr>_The_Guidelines_do</vt:lpwstr>
      </vt:variant>
      <vt:variant>
        <vt:i4>5242994</vt:i4>
      </vt:variant>
      <vt:variant>
        <vt:i4>519</vt:i4>
      </vt:variant>
      <vt:variant>
        <vt:i4>0</vt:i4>
      </vt:variant>
      <vt:variant>
        <vt:i4>5</vt:i4>
      </vt:variant>
      <vt:variant>
        <vt:lpwstr/>
      </vt:variant>
      <vt:variant>
        <vt:lpwstr>_Remuneration_of_single</vt:lpwstr>
      </vt:variant>
      <vt:variant>
        <vt:i4>6946910</vt:i4>
      </vt:variant>
      <vt:variant>
        <vt:i4>516</vt:i4>
      </vt:variant>
      <vt:variant>
        <vt:i4>0</vt:i4>
      </vt:variant>
      <vt:variant>
        <vt:i4>5</vt:i4>
      </vt:variant>
      <vt:variant>
        <vt:lpwstr>mailto:publicsectorgovernance@dpc.vic.gov.au</vt:lpwstr>
      </vt:variant>
      <vt:variant>
        <vt:lpwstr/>
      </vt:variant>
      <vt:variant>
        <vt:i4>5963878</vt:i4>
      </vt:variant>
      <vt:variant>
        <vt:i4>513</vt:i4>
      </vt:variant>
      <vt:variant>
        <vt:i4>0</vt:i4>
      </vt:variant>
      <vt:variant>
        <vt:i4>5</vt:i4>
      </vt:variant>
      <vt:variant>
        <vt:lpwstr>mailto:info@vpsc.vic.gov.au</vt:lpwstr>
      </vt:variant>
      <vt:variant>
        <vt:lpwstr/>
      </vt:variant>
      <vt:variant>
        <vt:i4>458786</vt:i4>
      </vt:variant>
      <vt:variant>
        <vt:i4>510</vt:i4>
      </vt:variant>
      <vt:variant>
        <vt:i4>0</vt:i4>
      </vt:variant>
      <vt:variant>
        <vt:i4>5</vt:i4>
      </vt:variant>
      <vt:variant>
        <vt:lpwstr>mailto:rdv@rdv.vic.gov.au</vt:lpwstr>
      </vt:variant>
      <vt:variant>
        <vt:lpwstr/>
      </vt:variant>
      <vt:variant>
        <vt:i4>5046370</vt:i4>
      </vt:variant>
      <vt:variant>
        <vt:i4>507</vt:i4>
      </vt:variant>
      <vt:variant>
        <vt:i4>0</vt:i4>
      </vt:variant>
      <vt:variant>
        <vt:i4>5</vt:i4>
      </vt:variant>
      <vt:variant>
        <vt:lpwstr>mailto:diversityonboards@dffh.vic.gov.au</vt:lpwstr>
      </vt:variant>
      <vt:variant>
        <vt:lpwstr/>
      </vt:variant>
      <vt:variant>
        <vt:i4>1966120</vt:i4>
      </vt:variant>
      <vt:variant>
        <vt:i4>504</vt:i4>
      </vt:variant>
      <vt:variant>
        <vt:i4>0</vt:i4>
      </vt:variant>
      <vt:variant>
        <vt:i4>5</vt:i4>
      </vt:variant>
      <vt:variant>
        <vt:lpwstr>mailto:executivecouncil@dpc.vic.gov.au</vt:lpwstr>
      </vt:variant>
      <vt:variant>
        <vt:lpwstr/>
      </vt:variant>
      <vt:variant>
        <vt:i4>6946910</vt:i4>
      </vt:variant>
      <vt:variant>
        <vt:i4>501</vt:i4>
      </vt:variant>
      <vt:variant>
        <vt:i4>0</vt:i4>
      </vt:variant>
      <vt:variant>
        <vt:i4>5</vt:i4>
      </vt:variant>
      <vt:variant>
        <vt:lpwstr>mailto:publicsectorgovernance@dpc.vic.gov.au</vt:lpwstr>
      </vt:variant>
      <vt:variant>
        <vt:lpwstr/>
      </vt:variant>
      <vt:variant>
        <vt:i4>5374006</vt:i4>
      </vt:variant>
      <vt:variant>
        <vt:i4>498</vt:i4>
      </vt:variant>
      <vt:variant>
        <vt:i4>0</vt:i4>
      </vt:variant>
      <vt:variant>
        <vt:i4>5</vt:i4>
      </vt:variant>
      <vt:variant>
        <vt:lpwstr>mailto:CabinetAnd.ParliamentaryServices@dtf.vic.gov.au</vt:lpwstr>
      </vt:variant>
      <vt:variant>
        <vt:lpwstr/>
      </vt:variant>
      <vt:variant>
        <vt:i4>7012420</vt:i4>
      </vt:variant>
      <vt:variant>
        <vt:i4>495</vt:i4>
      </vt:variant>
      <vt:variant>
        <vt:i4>0</vt:i4>
      </vt:variant>
      <vt:variant>
        <vt:i4>5</vt:i4>
      </vt:variant>
      <vt:variant>
        <vt:lpwstr>mailto:apptsandexco@transport.vic.gov.au</vt:lpwstr>
      </vt:variant>
      <vt:variant>
        <vt:lpwstr/>
      </vt:variant>
      <vt:variant>
        <vt:i4>6946910</vt:i4>
      </vt:variant>
      <vt:variant>
        <vt:i4>492</vt:i4>
      </vt:variant>
      <vt:variant>
        <vt:i4>0</vt:i4>
      </vt:variant>
      <vt:variant>
        <vt:i4>5</vt:i4>
      </vt:variant>
      <vt:variant>
        <vt:lpwstr>mailto:publicsectorgovernance@dpc.vic.gov.au</vt:lpwstr>
      </vt:variant>
      <vt:variant>
        <vt:lpwstr/>
      </vt:variant>
      <vt:variant>
        <vt:i4>6422619</vt:i4>
      </vt:variant>
      <vt:variant>
        <vt:i4>489</vt:i4>
      </vt:variant>
      <vt:variant>
        <vt:i4>0</vt:i4>
      </vt:variant>
      <vt:variant>
        <vt:i4>5</vt:i4>
      </vt:variant>
      <vt:variant>
        <vt:lpwstr>mailto:statutoryappointments@justice.vic.gov.au</vt:lpwstr>
      </vt:variant>
      <vt:variant>
        <vt:lpwstr/>
      </vt:variant>
      <vt:variant>
        <vt:i4>3866654</vt:i4>
      </vt:variant>
      <vt:variant>
        <vt:i4>486</vt:i4>
      </vt:variant>
      <vt:variant>
        <vt:i4>0</vt:i4>
      </vt:variant>
      <vt:variant>
        <vt:i4>5</vt:i4>
      </vt:variant>
      <vt:variant>
        <vt:lpwstr>mailto:appointments@health.vic.gov.au</vt:lpwstr>
      </vt:variant>
      <vt:variant>
        <vt:lpwstr/>
      </vt:variant>
      <vt:variant>
        <vt:i4>6291550</vt:i4>
      </vt:variant>
      <vt:variant>
        <vt:i4>483</vt:i4>
      </vt:variant>
      <vt:variant>
        <vt:i4>0</vt:i4>
      </vt:variant>
      <vt:variant>
        <vt:i4>5</vt:i4>
      </vt:variant>
      <vt:variant>
        <vt:lpwstr>mailto:statutoryappointments@dgs.vic.gov.au</vt:lpwstr>
      </vt:variant>
      <vt:variant>
        <vt:lpwstr/>
      </vt:variant>
      <vt:variant>
        <vt:i4>5505121</vt:i4>
      </vt:variant>
      <vt:variant>
        <vt:i4>480</vt:i4>
      </vt:variant>
      <vt:variant>
        <vt:i4>0</vt:i4>
      </vt:variant>
      <vt:variant>
        <vt:i4>5</vt:i4>
      </vt:variant>
      <vt:variant>
        <vt:lpwstr>mailto:appointments@dffh.vic.gov.au</vt:lpwstr>
      </vt:variant>
      <vt:variant>
        <vt:lpwstr/>
      </vt:variant>
      <vt:variant>
        <vt:i4>786488</vt:i4>
      </vt:variant>
      <vt:variant>
        <vt:i4>477</vt:i4>
      </vt:variant>
      <vt:variant>
        <vt:i4>0</vt:i4>
      </vt:variant>
      <vt:variant>
        <vt:i4>5</vt:i4>
      </vt:variant>
      <vt:variant>
        <vt:lpwstr>mailto:governance@delwp.vic.gov.au</vt:lpwstr>
      </vt:variant>
      <vt:variant>
        <vt:lpwstr/>
      </vt:variant>
      <vt:variant>
        <vt:i4>6946899</vt:i4>
      </vt:variant>
      <vt:variant>
        <vt:i4>474</vt:i4>
      </vt:variant>
      <vt:variant>
        <vt:i4>0</vt:i4>
      </vt:variant>
      <vt:variant>
        <vt:i4>5</vt:i4>
      </vt:variant>
      <vt:variant>
        <vt:lpwstr>mailto:cabinet@education.vic.gov.au</vt:lpwstr>
      </vt:variant>
      <vt:variant>
        <vt:lpwstr/>
      </vt:variant>
      <vt:variant>
        <vt:i4>6946910</vt:i4>
      </vt:variant>
      <vt:variant>
        <vt:i4>471</vt:i4>
      </vt:variant>
      <vt:variant>
        <vt:i4>0</vt:i4>
      </vt:variant>
      <vt:variant>
        <vt:i4>5</vt:i4>
      </vt:variant>
      <vt:variant>
        <vt:lpwstr>mailto:publicsectorgovernance@dpc.vic.gov.au</vt:lpwstr>
      </vt:variant>
      <vt:variant>
        <vt:lpwstr/>
      </vt:variant>
      <vt:variant>
        <vt:i4>3473433</vt:i4>
      </vt:variant>
      <vt:variant>
        <vt:i4>468</vt:i4>
      </vt:variant>
      <vt:variant>
        <vt:i4>0</vt:i4>
      </vt:variant>
      <vt:variant>
        <vt:i4>5</vt:i4>
      </vt:variant>
      <vt:variant>
        <vt:lpwstr/>
      </vt:variant>
      <vt:variant>
        <vt:lpwstr>_The_Guidelines_apply</vt:lpwstr>
      </vt:variant>
      <vt:variant>
        <vt:i4>1245232</vt:i4>
      </vt:variant>
      <vt:variant>
        <vt:i4>461</vt:i4>
      </vt:variant>
      <vt:variant>
        <vt:i4>0</vt:i4>
      </vt:variant>
      <vt:variant>
        <vt:i4>5</vt:i4>
      </vt:variant>
      <vt:variant>
        <vt:lpwstr/>
      </vt:variant>
      <vt:variant>
        <vt:lpwstr>_Toc176339497</vt:lpwstr>
      </vt:variant>
      <vt:variant>
        <vt:i4>1245232</vt:i4>
      </vt:variant>
      <vt:variant>
        <vt:i4>455</vt:i4>
      </vt:variant>
      <vt:variant>
        <vt:i4>0</vt:i4>
      </vt:variant>
      <vt:variant>
        <vt:i4>5</vt:i4>
      </vt:variant>
      <vt:variant>
        <vt:lpwstr/>
      </vt:variant>
      <vt:variant>
        <vt:lpwstr>_Toc176339496</vt:lpwstr>
      </vt:variant>
      <vt:variant>
        <vt:i4>1245232</vt:i4>
      </vt:variant>
      <vt:variant>
        <vt:i4>449</vt:i4>
      </vt:variant>
      <vt:variant>
        <vt:i4>0</vt:i4>
      </vt:variant>
      <vt:variant>
        <vt:i4>5</vt:i4>
      </vt:variant>
      <vt:variant>
        <vt:lpwstr/>
      </vt:variant>
      <vt:variant>
        <vt:lpwstr>_Toc176339495</vt:lpwstr>
      </vt:variant>
      <vt:variant>
        <vt:i4>1245232</vt:i4>
      </vt:variant>
      <vt:variant>
        <vt:i4>443</vt:i4>
      </vt:variant>
      <vt:variant>
        <vt:i4>0</vt:i4>
      </vt:variant>
      <vt:variant>
        <vt:i4>5</vt:i4>
      </vt:variant>
      <vt:variant>
        <vt:lpwstr/>
      </vt:variant>
      <vt:variant>
        <vt:lpwstr>_Toc176339494</vt:lpwstr>
      </vt:variant>
      <vt:variant>
        <vt:i4>1245232</vt:i4>
      </vt:variant>
      <vt:variant>
        <vt:i4>437</vt:i4>
      </vt:variant>
      <vt:variant>
        <vt:i4>0</vt:i4>
      </vt:variant>
      <vt:variant>
        <vt:i4>5</vt:i4>
      </vt:variant>
      <vt:variant>
        <vt:lpwstr/>
      </vt:variant>
      <vt:variant>
        <vt:lpwstr>_Toc176339493</vt:lpwstr>
      </vt:variant>
      <vt:variant>
        <vt:i4>1245232</vt:i4>
      </vt:variant>
      <vt:variant>
        <vt:i4>431</vt:i4>
      </vt:variant>
      <vt:variant>
        <vt:i4>0</vt:i4>
      </vt:variant>
      <vt:variant>
        <vt:i4>5</vt:i4>
      </vt:variant>
      <vt:variant>
        <vt:lpwstr/>
      </vt:variant>
      <vt:variant>
        <vt:lpwstr>_Toc176339492</vt:lpwstr>
      </vt:variant>
      <vt:variant>
        <vt:i4>1245232</vt:i4>
      </vt:variant>
      <vt:variant>
        <vt:i4>425</vt:i4>
      </vt:variant>
      <vt:variant>
        <vt:i4>0</vt:i4>
      </vt:variant>
      <vt:variant>
        <vt:i4>5</vt:i4>
      </vt:variant>
      <vt:variant>
        <vt:lpwstr/>
      </vt:variant>
      <vt:variant>
        <vt:lpwstr>_Toc176339491</vt:lpwstr>
      </vt:variant>
      <vt:variant>
        <vt:i4>1245232</vt:i4>
      </vt:variant>
      <vt:variant>
        <vt:i4>419</vt:i4>
      </vt:variant>
      <vt:variant>
        <vt:i4>0</vt:i4>
      </vt:variant>
      <vt:variant>
        <vt:i4>5</vt:i4>
      </vt:variant>
      <vt:variant>
        <vt:lpwstr/>
      </vt:variant>
      <vt:variant>
        <vt:lpwstr>_Toc176339490</vt:lpwstr>
      </vt:variant>
      <vt:variant>
        <vt:i4>1179696</vt:i4>
      </vt:variant>
      <vt:variant>
        <vt:i4>413</vt:i4>
      </vt:variant>
      <vt:variant>
        <vt:i4>0</vt:i4>
      </vt:variant>
      <vt:variant>
        <vt:i4>5</vt:i4>
      </vt:variant>
      <vt:variant>
        <vt:lpwstr/>
      </vt:variant>
      <vt:variant>
        <vt:lpwstr>_Toc176339489</vt:lpwstr>
      </vt:variant>
      <vt:variant>
        <vt:i4>1179696</vt:i4>
      </vt:variant>
      <vt:variant>
        <vt:i4>407</vt:i4>
      </vt:variant>
      <vt:variant>
        <vt:i4>0</vt:i4>
      </vt:variant>
      <vt:variant>
        <vt:i4>5</vt:i4>
      </vt:variant>
      <vt:variant>
        <vt:lpwstr/>
      </vt:variant>
      <vt:variant>
        <vt:lpwstr>_Toc176339488</vt:lpwstr>
      </vt:variant>
      <vt:variant>
        <vt:i4>1179696</vt:i4>
      </vt:variant>
      <vt:variant>
        <vt:i4>401</vt:i4>
      </vt:variant>
      <vt:variant>
        <vt:i4>0</vt:i4>
      </vt:variant>
      <vt:variant>
        <vt:i4>5</vt:i4>
      </vt:variant>
      <vt:variant>
        <vt:lpwstr/>
      </vt:variant>
      <vt:variant>
        <vt:lpwstr>_Toc176339487</vt:lpwstr>
      </vt:variant>
      <vt:variant>
        <vt:i4>1179696</vt:i4>
      </vt:variant>
      <vt:variant>
        <vt:i4>395</vt:i4>
      </vt:variant>
      <vt:variant>
        <vt:i4>0</vt:i4>
      </vt:variant>
      <vt:variant>
        <vt:i4>5</vt:i4>
      </vt:variant>
      <vt:variant>
        <vt:lpwstr/>
      </vt:variant>
      <vt:variant>
        <vt:lpwstr>_Toc176339486</vt:lpwstr>
      </vt:variant>
      <vt:variant>
        <vt:i4>1179696</vt:i4>
      </vt:variant>
      <vt:variant>
        <vt:i4>389</vt:i4>
      </vt:variant>
      <vt:variant>
        <vt:i4>0</vt:i4>
      </vt:variant>
      <vt:variant>
        <vt:i4>5</vt:i4>
      </vt:variant>
      <vt:variant>
        <vt:lpwstr/>
      </vt:variant>
      <vt:variant>
        <vt:lpwstr>_Toc176339485</vt:lpwstr>
      </vt:variant>
      <vt:variant>
        <vt:i4>1179696</vt:i4>
      </vt:variant>
      <vt:variant>
        <vt:i4>383</vt:i4>
      </vt:variant>
      <vt:variant>
        <vt:i4>0</vt:i4>
      </vt:variant>
      <vt:variant>
        <vt:i4>5</vt:i4>
      </vt:variant>
      <vt:variant>
        <vt:lpwstr/>
      </vt:variant>
      <vt:variant>
        <vt:lpwstr>_Toc176339484</vt:lpwstr>
      </vt:variant>
      <vt:variant>
        <vt:i4>1179696</vt:i4>
      </vt:variant>
      <vt:variant>
        <vt:i4>377</vt:i4>
      </vt:variant>
      <vt:variant>
        <vt:i4>0</vt:i4>
      </vt:variant>
      <vt:variant>
        <vt:i4>5</vt:i4>
      </vt:variant>
      <vt:variant>
        <vt:lpwstr/>
      </vt:variant>
      <vt:variant>
        <vt:lpwstr>_Toc176339483</vt:lpwstr>
      </vt:variant>
      <vt:variant>
        <vt:i4>1179696</vt:i4>
      </vt:variant>
      <vt:variant>
        <vt:i4>371</vt:i4>
      </vt:variant>
      <vt:variant>
        <vt:i4>0</vt:i4>
      </vt:variant>
      <vt:variant>
        <vt:i4>5</vt:i4>
      </vt:variant>
      <vt:variant>
        <vt:lpwstr/>
      </vt:variant>
      <vt:variant>
        <vt:lpwstr>_Toc176339482</vt:lpwstr>
      </vt:variant>
      <vt:variant>
        <vt:i4>1179696</vt:i4>
      </vt:variant>
      <vt:variant>
        <vt:i4>365</vt:i4>
      </vt:variant>
      <vt:variant>
        <vt:i4>0</vt:i4>
      </vt:variant>
      <vt:variant>
        <vt:i4>5</vt:i4>
      </vt:variant>
      <vt:variant>
        <vt:lpwstr/>
      </vt:variant>
      <vt:variant>
        <vt:lpwstr>_Toc176339481</vt:lpwstr>
      </vt:variant>
      <vt:variant>
        <vt:i4>1179696</vt:i4>
      </vt:variant>
      <vt:variant>
        <vt:i4>359</vt:i4>
      </vt:variant>
      <vt:variant>
        <vt:i4>0</vt:i4>
      </vt:variant>
      <vt:variant>
        <vt:i4>5</vt:i4>
      </vt:variant>
      <vt:variant>
        <vt:lpwstr/>
      </vt:variant>
      <vt:variant>
        <vt:lpwstr>_Toc176339480</vt:lpwstr>
      </vt:variant>
      <vt:variant>
        <vt:i4>1900592</vt:i4>
      </vt:variant>
      <vt:variant>
        <vt:i4>353</vt:i4>
      </vt:variant>
      <vt:variant>
        <vt:i4>0</vt:i4>
      </vt:variant>
      <vt:variant>
        <vt:i4>5</vt:i4>
      </vt:variant>
      <vt:variant>
        <vt:lpwstr/>
      </vt:variant>
      <vt:variant>
        <vt:lpwstr>_Toc176339479</vt:lpwstr>
      </vt:variant>
      <vt:variant>
        <vt:i4>1900592</vt:i4>
      </vt:variant>
      <vt:variant>
        <vt:i4>347</vt:i4>
      </vt:variant>
      <vt:variant>
        <vt:i4>0</vt:i4>
      </vt:variant>
      <vt:variant>
        <vt:i4>5</vt:i4>
      </vt:variant>
      <vt:variant>
        <vt:lpwstr/>
      </vt:variant>
      <vt:variant>
        <vt:lpwstr>_Toc176339478</vt:lpwstr>
      </vt:variant>
      <vt:variant>
        <vt:i4>1900592</vt:i4>
      </vt:variant>
      <vt:variant>
        <vt:i4>341</vt:i4>
      </vt:variant>
      <vt:variant>
        <vt:i4>0</vt:i4>
      </vt:variant>
      <vt:variant>
        <vt:i4>5</vt:i4>
      </vt:variant>
      <vt:variant>
        <vt:lpwstr/>
      </vt:variant>
      <vt:variant>
        <vt:lpwstr>_Toc176339477</vt:lpwstr>
      </vt:variant>
      <vt:variant>
        <vt:i4>1900592</vt:i4>
      </vt:variant>
      <vt:variant>
        <vt:i4>335</vt:i4>
      </vt:variant>
      <vt:variant>
        <vt:i4>0</vt:i4>
      </vt:variant>
      <vt:variant>
        <vt:i4>5</vt:i4>
      </vt:variant>
      <vt:variant>
        <vt:lpwstr/>
      </vt:variant>
      <vt:variant>
        <vt:lpwstr>_Toc176339476</vt:lpwstr>
      </vt:variant>
      <vt:variant>
        <vt:i4>1900592</vt:i4>
      </vt:variant>
      <vt:variant>
        <vt:i4>329</vt:i4>
      </vt:variant>
      <vt:variant>
        <vt:i4>0</vt:i4>
      </vt:variant>
      <vt:variant>
        <vt:i4>5</vt:i4>
      </vt:variant>
      <vt:variant>
        <vt:lpwstr/>
      </vt:variant>
      <vt:variant>
        <vt:lpwstr>_Toc176339475</vt:lpwstr>
      </vt:variant>
      <vt:variant>
        <vt:i4>1900592</vt:i4>
      </vt:variant>
      <vt:variant>
        <vt:i4>323</vt:i4>
      </vt:variant>
      <vt:variant>
        <vt:i4>0</vt:i4>
      </vt:variant>
      <vt:variant>
        <vt:i4>5</vt:i4>
      </vt:variant>
      <vt:variant>
        <vt:lpwstr/>
      </vt:variant>
      <vt:variant>
        <vt:lpwstr>_Toc176339474</vt:lpwstr>
      </vt:variant>
      <vt:variant>
        <vt:i4>1900592</vt:i4>
      </vt:variant>
      <vt:variant>
        <vt:i4>317</vt:i4>
      </vt:variant>
      <vt:variant>
        <vt:i4>0</vt:i4>
      </vt:variant>
      <vt:variant>
        <vt:i4>5</vt:i4>
      </vt:variant>
      <vt:variant>
        <vt:lpwstr/>
      </vt:variant>
      <vt:variant>
        <vt:lpwstr>_Toc176339473</vt:lpwstr>
      </vt:variant>
      <vt:variant>
        <vt:i4>1900592</vt:i4>
      </vt:variant>
      <vt:variant>
        <vt:i4>311</vt:i4>
      </vt:variant>
      <vt:variant>
        <vt:i4>0</vt:i4>
      </vt:variant>
      <vt:variant>
        <vt:i4>5</vt:i4>
      </vt:variant>
      <vt:variant>
        <vt:lpwstr/>
      </vt:variant>
      <vt:variant>
        <vt:lpwstr>_Toc176339472</vt:lpwstr>
      </vt:variant>
      <vt:variant>
        <vt:i4>1900592</vt:i4>
      </vt:variant>
      <vt:variant>
        <vt:i4>305</vt:i4>
      </vt:variant>
      <vt:variant>
        <vt:i4>0</vt:i4>
      </vt:variant>
      <vt:variant>
        <vt:i4>5</vt:i4>
      </vt:variant>
      <vt:variant>
        <vt:lpwstr/>
      </vt:variant>
      <vt:variant>
        <vt:lpwstr>_Toc176339471</vt:lpwstr>
      </vt:variant>
      <vt:variant>
        <vt:i4>1900592</vt:i4>
      </vt:variant>
      <vt:variant>
        <vt:i4>299</vt:i4>
      </vt:variant>
      <vt:variant>
        <vt:i4>0</vt:i4>
      </vt:variant>
      <vt:variant>
        <vt:i4>5</vt:i4>
      </vt:variant>
      <vt:variant>
        <vt:lpwstr/>
      </vt:variant>
      <vt:variant>
        <vt:lpwstr>_Toc176339470</vt:lpwstr>
      </vt:variant>
      <vt:variant>
        <vt:i4>1835056</vt:i4>
      </vt:variant>
      <vt:variant>
        <vt:i4>293</vt:i4>
      </vt:variant>
      <vt:variant>
        <vt:i4>0</vt:i4>
      </vt:variant>
      <vt:variant>
        <vt:i4>5</vt:i4>
      </vt:variant>
      <vt:variant>
        <vt:lpwstr/>
      </vt:variant>
      <vt:variant>
        <vt:lpwstr>_Toc176339469</vt:lpwstr>
      </vt:variant>
      <vt:variant>
        <vt:i4>1835056</vt:i4>
      </vt:variant>
      <vt:variant>
        <vt:i4>287</vt:i4>
      </vt:variant>
      <vt:variant>
        <vt:i4>0</vt:i4>
      </vt:variant>
      <vt:variant>
        <vt:i4>5</vt:i4>
      </vt:variant>
      <vt:variant>
        <vt:lpwstr/>
      </vt:variant>
      <vt:variant>
        <vt:lpwstr>_Toc176339468</vt:lpwstr>
      </vt:variant>
      <vt:variant>
        <vt:i4>1835056</vt:i4>
      </vt:variant>
      <vt:variant>
        <vt:i4>281</vt:i4>
      </vt:variant>
      <vt:variant>
        <vt:i4>0</vt:i4>
      </vt:variant>
      <vt:variant>
        <vt:i4>5</vt:i4>
      </vt:variant>
      <vt:variant>
        <vt:lpwstr/>
      </vt:variant>
      <vt:variant>
        <vt:lpwstr>_Toc176339467</vt:lpwstr>
      </vt:variant>
      <vt:variant>
        <vt:i4>1835056</vt:i4>
      </vt:variant>
      <vt:variant>
        <vt:i4>275</vt:i4>
      </vt:variant>
      <vt:variant>
        <vt:i4>0</vt:i4>
      </vt:variant>
      <vt:variant>
        <vt:i4>5</vt:i4>
      </vt:variant>
      <vt:variant>
        <vt:lpwstr/>
      </vt:variant>
      <vt:variant>
        <vt:lpwstr>_Toc176339466</vt:lpwstr>
      </vt:variant>
      <vt:variant>
        <vt:i4>1835056</vt:i4>
      </vt:variant>
      <vt:variant>
        <vt:i4>269</vt:i4>
      </vt:variant>
      <vt:variant>
        <vt:i4>0</vt:i4>
      </vt:variant>
      <vt:variant>
        <vt:i4>5</vt:i4>
      </vt:variant>
      <vt:variant>
        <vt:lpwstr/>
      </vt:variant>
      <vt:variant>
        <vt:lpwstr>_Toc176339465</vt:lpwstr>
      </vt:variant>
      <vt:variant>
        <vt:i4>1835056</vt:i4>
      </vt:variant>
      <vt:variant>
        <vt:i4>263</vt:i4>
      </vt:variant>
      <vt:variant>
        <vt:i4>0</vt:i4>
      </vt:variant>
      <vt:variant>
        <vt:i4>5</vt:i4>
      </vt:variant>
      <vt:variant>
        <vt:lpwstr/>
      </vt:variant>
      <vt:variant>
        <vt:lpwstr>_Toc176339464</vt:lpwstr>
      </vt:variant>
      <vt:variant>
        <vt:i4>1835056</vt:i4>
      </vt:variant>
      <vt:variant>
        <vt:i4>257</vt:i4>
      </vt:variant>
      <vt:variant>
        <vt:i4>0</vt:i4>
      </vt:variant>
      <vt:variant>
        <vt:i4>5</vt:i4>
      </vt:variant>
      <vt:variant>
        <vt:lpwstr/>
      </vt:variant>
      <vt:variant>
        <vt:lpwstr>_Toc176339463</vt:lpwstr>
      </vt:variant>
      <vt:variant>
        <vt:i4>1835056</vt:i4>
      </vt:variant>
      <vt:variant>
        <vt:i4>251</vt:i4>
      </vt:variant>
      <vt:variant>
        <vt:i4>0</vt:i4>
      </vt:variant>
      <vt:variant>
        <vt:i4>5</vt:i4>
      </vt:variant>
      <vt:variant>
        <vt:lpwstr/>
      </vt:variant>
      <vt:variant>
        <vt:lpwstr>_Toc176339462</vt:lpwstr>
      </vt:variant>
      <vt:variant>
        <vt:i4>1835056</vt:i4>
      </vt:variant>
      <vt:variant>
        <vt:i4>245</vt:i4>
      </vt:variant>
      <vt:variant>
        <vt:i4>0</vt:i4>
      </vt:variant>
      <vt:variant>
        <vt:i4>5</vt:i4>
      </vt:variant>
      <vt:variant>
        <vt:lpwstr/>
      </vt:variant>
      <vt:variant>
        <vt:lpwstr>_Toc176339461</vt:lpwstr>
      </vt:variant>
      <vt:variant>
        <vt:i4>1835056</vt:i4>
      </vt:variant>
      <vt:variant>
        <vt:i4>239</vt:i4>
      </vt:variant>
      <vt:variant>
        <vt:i4>0</vt:i4>
      </vt:variant>
      <vt:variant>
        <vt:i4>5</vt:i4>
      </vt:variant>
      <vt:variant>
        <vt:lpwstr/>
      </vt:variant>
      <vt:variant>
        <vt:lpwstr>_Toc176339460</vt:lpwstr>
      </vt:variant>
      <vt:variant>
        <vt:i4>2031664</vt:i4>
      </vt:variant>
      <vt:variant>
        <vt:i4>233</vt:i4>
      </vt:variant>
      <vt:variant>
        <vt:i4>0</vt:i4>
      </vt:variant>
      <vt:variant>
        <vt:i4>5</vt:i4>
      </vt:variant>
      <vt:variant>
        <vt:lpwstr/>
      </vt:variant>
      <vt:variant>
        <vt:lpwstr>_Toc176339459</vt:lpwstr>
      </vt:variant>
      <vt:variant>
        <vt:i4>2031664</vt:i4>
      </vt:variant>
      <vt:variant>
        <vt:i4>227</vt:i4>
      </vt:variant>
      <vt:variant>
        <vt:i4>0</vt:i4>
      </vt:variant>
      <vt:variant>
        <vt:i4>5</vt:i4>
      </vt:variant>
      <vt:variant>
        <vt:lpwstr/>
      </vt:variant>
      <vt:variant>
        <vt:lpwstr>_Toc176339458</vt:lpwstr>
      </vt:variant>
      <vt:variant>
        <vt:i4>2031664</vt:i4>
      </vt:variant>
      <vt:variant>
        <vt:i4>221</vt:i4>
      </vt:variant>
      <vt:variant>
        <vt:i4>0</vt:i4>
      </vt:variant>
      <vt:variant>
        <vt:i4>5</vt:i4>
      </vt:variant>
      <vt:variant>
        <vt:lpwstr/>
      </vt:variant>
      <vt:variant>
        <vt:lpwstr>_Toc176339457</vt:lpwstr>
      </vt:variant>
      <vt:variant>
        <vt:i4>2031664</vt:i4>
      </vt:variant>
      <vt:variant>
        <vt:i4>215</vt:i4>
      </vt:variant>
      <vt:variant>
        <vt:i4>0</vt:i4>
      </vt:variant>
      <vt:variant>
        <vt:i4>5</vt:i4>
      </vt:variant>
      <vt:variant>
        <vt:lpwstr/>
      </vt:variant>
      <vt:variant>
        <vt:lpwstr>_Toc176339456</vt:lpwstr>
      </vt:variant>
      <vt:variant>
        <vt:i4>2031664</vt:i4>
      </vt:variant>
      <vt:variant>
        <vt:i4>209</vt:i4>
      </vt:variant>
      <vt:variant>
        <vt:i4>0</vt:i4>
      </vt:variant>
      <vt:variant>
        <vt:i4>5</vt:i4>
      </vt:variant>
      <vt:variant>
        <vt:lpwstr/>
      </vt:variant>
      <vt:variant>
        <vt:lpwstr>_Toc176339455</vt:lpwstr>
      </vt:variant>
      <vt:variant>
        <vt:i4>2031664</vt:i4>
      </vt:variant>
      <vt:variant>
        <vt:i4>203</vt:i4>
      </vt:variant>
      <vt:variant>
        <vt:i4>0</vt:i4>
      </vt:variant>
      <vt:variant>
        <vt:i4>5</vt:i4>
      </vt:variant>
      <vt:variant>
        <vt:lpwstr/>
      </vt:variant>
      <vt:variant>
        <vt:lpwstr>_Toc176339454</vt:lpwstr>
      </vt:variant>
      <vt:variant>
        <vt:i4>2031664</vt:i4>
      </vt:variant>
      <vt:variant>
        <vt:i4>197</vt:i4>
      </vt:variant>
      <vt:variant>
        <vt:i4>0</vt:i4>
      </vt:variant>
      <vt:variant>
        <vt:i4>5</vt:i4>
      </vt:variant>
      <vt:variant>
        <vt:lpwstr/>
      </vt:variant>
      <vt:variant>
        <vt:lpwstr>_Toc176339453</vt:lpwstr>
      </vt:variant>
      <vt:variant>
        <vt:i4>2031664</vt:i4>
      </vt:variant>
      <vt:variant>
        <vt:i4>191</vt:i4>
      </vt:variant>
      <vt:variant>
        <vt:i4>0</vt:i4>
      </vt:variant>
      <vt:variant>
        <vt:i4>5</vt:i4>
      </vt:variant>
      <vt:variant>
        <vt:lpwstr/>
      </vt:variant>
      <vt:variant>
        <vt:lpwstr>_Toc176339452</vt:lpwstr>
      </vt:variant>
      <vt:variant>
        <vt:i4>2031664</vt:i4>
      </vt:variant>
      <vt:variant>
        <vt:i4>185</vt:i4>
      </vt:variant>
      <vt:variant>
        <vt:i4>0</vt:i4>
      </vt:variant>
      <vt:variant>
        <vt:i4>5</vt:i4>
      </vt:variant>
      <vt:variant>
        <vt:lpwstr/>
      </vt:variant>
      <vt:variant>
        <vt:lpwstr>_Toc176339451</vt:lpwstr>
      </vt:variant>
      <vt:variant>
        <vt:i4>2031664</vt:i4>
      </vt:variant>
      <vt:variant>
        <vt:i4>179</vt:i4>
      </vt:variant>
      <vt:variant>
        <vt:i4>0</vt:i4>
      </vt:variant>
      <vt:variant>
        <vt:i4>5</vt:i4>
      </vt:variant>
      <vt:variant>
        <vt:lpwstr/>
      </vt:variant>
      <vt:variant>
        <vt:lpwstr>_Toc176339450</vt:lpwstr>
      </vt:variant>
      <vt:variant>
        <vt:i4>1966128</vt:i4>
      </vt:variant>
      <vt:variant>
        <vt:i4>173</vt:i4>
      </vt:variant>
      <vt:variant>
        <vt:i4>0</vt:i4>
      </vt:variant>
      <vt:variant>
        <vt:i4>5</vt:i4>
      </vt:variant>
      <vt:variant>
        <vt:lpwstr/>
      </vt:variant>
      <vt:variant>
        <vt:lpwstr>_Toc176339449</vt:lpwstr>
      </vt:variant>
      <vt:variant>
        <vt:i4>1966128</vt:i4>
      </vt:variant>
      <vt:variant>
        <vt:i4>167</vt:i4>
      </vt:variant>
      <vt:variant>
        <vt:i4>0</vt:i4>
      </vt:variant>
      <vt:variant>
        <vt:i4>5</vt:i4>
      </vt:variant>
      <vt:variant>
        <vt:lpwstr/>
      </vt:variant>
      <vt:variant>
        <vt:lpwstr>_Toc176339448</vt:lpwstr>
      </vt:variant>
      <vt:variant>
        <vt:i4>1966128</vt:i4>
      </vt:variant>
      <vt:variant>
        <vt:i4>161</vt:i4>
      </vt:variant>
      <vt:variant>
        <vt:i4>0</vt:i4>
      </vt:variant>
      <vt:variant>
        <vt:i4>5</vt:i4>
      </vt:variant>
      <vt:variant>
        <vt:lpwstr/>
      </vt:variant>
      <vt:variant>
        <vt:lpwstr>_Toc176339447</vt:lpwstr>
      </vt:variant>
      <vt:variant>
        <vt:i4>1966128</vt:i4>
      </vt:variant>
      <vt:variant>
        <vt:i4>155</vt:i4>
      </vt:variant>
      <vt:variant>
        <vt:i4>0</vt:i4>
      </vt:variant>
      <vt:variant>
        <vt:i4>5</vt:i4>
      </vt:variant>
      <vt:variant>
        <vt:lpwstr/>
      </vt:variant>
      <vt:variant>
        <vt:lpwstr>_Toc176339446</vt:lpwstr>
      </vt:variant>
      <vt:variant>
        <vt:i4>1966128</vt:i4>
      </vt:variant>
      <vt:variant>
        <vt:i4>149</vt:i4>
      </vt:variant>
      <vt:variant>
        <vt:i4>0</vt:i4>
      </vt:variant>
      <vt:variant>
        <vt:i4>5</vt:i4>
      </vt:variant>
      <vt:variant>
        <vt:lpwstr/>
      </vt:variant>
      <vt:variant>
        <vt:lpwstr>_Toc176339445</vt:lpwstr>
      </vt:variant>
      <vt:variant>
        <vt:i4>1966128</vt:i4>
      </vt:variant>
      <vt:variant>
        <vt:i4>143</vt:i4>
      </vt:variant>
      <vt:variant>
        <vt:i4>0</vt:i4>
      </vt:variant>
      <vt:variant>
        <vt:i4>5</vt:i4>
      </vt:variant>
      <vt:variant>
        <vt:lpwstr/>
      </vt:variant>
      <vt:variant>
        <vt:lpwstr>_Toc176339444</vt:lpwstr>
      </vt:variant>
      <vt:variant>
        <vt:i4>1966128</vt:i4>
      </vt:variant>
      <vt:variant>
        <vt:i4>137</vt:i4>
      </vt:variant>
      <vt:variant>
        <vt:i4>0</vt:i4>
      </vt:variant>
      <vt:variant>
        <vt:i4>5</vt:i4>
      </vt:variant>
      <vt:variant>
        <vt:lpwstr/>
      </vt:variant>
      <vt:variant>
        <vt:lpwstr>_Toc176339443</vt:lpwstr>
      </vt:variant>
      <vt:variant>
        <vt:i4>1966128</vt:i4>
      </vt:variant>
      <vt:variant>
        <vt:i4>131</vt:i4>
      </vt:variant>
      <vt:variant>
        <vt:i4>0</vt:i4>
      </vt:variant>
      <vt:variant>
        <vt:i4>5</vt:i4>
      </vt:variant>
      <vt:variant>
        <vt:lpwstr/>
      </vt:variant>
      <vt:variant>
        <vt:lpwstr>_Toc176339442</vt:lpwstr>
      </vt:variant>
      <vt:variant>
        <vt:i4>1966128</vt:i4>
      </vt:variant>
      <vt:variant>
        <vt:i4>125</vt:i4>
      </vt:variant>
      <vt:variant>
        <vt:i4>0</vt:i4>
      </vt:variant>
      <vt:variant>
        <vt:i4>5</vt:i4>
      </vt:variant>
      <vt:variant>
        <vt:lpwstr/>
      </vt:variant>
      <vt:variant>
        <vt:lpwstr>_Toc176339441</vt:lpwstr>
      </vt:variant>
      <vt:variant>
        <vt:i4>1966128</vt:i4>
      </vt:variant>
      <vt:variant>
        <vt:i4>119</vt:i4>
      </vt:variant>
      <vt:variant>
        <vt:i4>0</vt:i4>
      </vt:variant>
      <vt:variant>
        <vt:i4>5</vt:i4>
      </vt:variant>
      <vt:variant>
        <vt:lpwstr/>
      </vt:variant>
      <vt:variant>
        <vt:lpwstr>_Toc176339440</vt:lpwstr>
      </vt:variant>
      <vt:variant>
        <vt:i4>1638448</vt:i4>
      </vt:variant>
      <vt:variant>
        <vt:i4>113</vt:i4>
      </vt:variant>
      <vt:variant>
        <vt:i4>0</vt:i4>
      </vt:variant>
      <vt:variant>
        <vt:i4>5</vt:i4>
      </vt:variant>
      <vt:variant>
        <vt:lpwstr/>
      </vt:variant>
      <vt:variant>
        <vt:lpwstr>_Toc176339439</vt:lpwstr>
      </vt:variant>
      <vt:variant>
        <vt:i4>1638448</vt:i4>
      </vt:variant>
      <vt:variant>
        <vt:i4>107</vt:i4>
      </vt:variant>
      <vt:variant>
        <vt:i4>0</vt:i4>
      </vt:variant>
      <vt:variant>
        <vt:i4>5</vt:i4>
      </vt:variant>
      <vt:variant>
        <vt:lpwstr/>
      </vt:variant>
      <vt:variant>
        <vt:lpwstr>_Toc176339438</vt:lpwstr>
      </vt:variant>
      <vt:variant>
        <vt:i4>1638448</vt:i4>
      </vt:variant>
      <vt:variant>
        <vt:i4>101</vt:i4>
      </vt:variant>
      <vt:variant>
        <vt:i4>0</vt:i4>
      </vt:variant>
      <vt:variant>
        <vt:i4>5</vt:i4>
      </vt:variant>
      <vt:variant>
        <vt:lpwstr/>
      </vt:variant>
      <vt:variant>
        <vt:lpwstr>_Toc176339437</vt:lpwstr>
      </vt:variant>
      <vt:variant>
        <vt:i4>1638448</vt:i4>
      </vt:variant>
      <vt:variant>
        <vt:i4>95</vt:i4>
      </vt:variant>
      <vt:variant>
        <vt:i4>0</vt:i4>
      </vt:variant>
      <vt:variant>
        <vt:i4>5</vt:i4>
      </vt:variant>
      <vt:variant>
        <vt:lpwstr/>
      </vt:variant>
      <vt:variant>
        <vt:lpwstr>_Toc176339436</vt:lpwstr>
      </vt:variant>
      <vt:variant>
        <vt:i4>1638448</vt:i4>
      </vt:variant>
      <vt:variant>
        <vt:i4>89</vt:i4>
      </vt:variant>
      <vt:variant>
        <vt:i4>0</vt:i4>
      </vt:variant>
      <vt:variant>
        <vt:i4>5</vt:i4>
      </vt:variant>
      <vt:variant>
        <vt:lpwstr/>
      </vt:variant>
      <vt:variant>
        <vt:lpwstr>_Toc176339435</vt:lpwstr>
      </vt:variant>
      <vt:variant>
        <vt:i4>1638448</vt:i4>
      </vt:variant>
      <vt:variant>
        <vt:i4>83</vt:i4>
      </vt:variant>
      <vt:variant>
        <vt:i4>0</vt:i4>
      </vt:variant>
      <vt:variant>
        <vt:i4>5</vt:i4>
      </vt:variant>
      <vt:variant>
        <vt:lpwstr/>
      </vt:variant>
      <vt:variant>
        <vt:lpwstr>_Toc176339434</vt:lpwstr>
      </vt:variant>
      <vt:variant>
        <vt:i4>1638448</vt:i4>
      </vt:variant>
      <vt:variant>
        <vt:i4>77</vt:i4>
      </vt:variant>
      <vt:variant>
        <vt:i4>0</vt:i4>
      </vt:variant>
      <vt:variant>
        <vt:i4>5</vt:i4>
      </vt:variant>
      <vt:variant>
        <vt:lpwstr/>
      </vt:variant>
      <vt:variant>
        <vt:lpwstr>_Toc176339433</vt:lpwstr>
      </vt:variant>
      <vt:variant>
        <vt:i4>1638448</vt:i4>
      </vt:variant>
      <vt:variant>
        <vt:i4>71</vt:i4>
      </vt:variant>
      <vt:variant>
        <vt:i4>0</vt:i4>
      </vt:variant>
      <vt:variant>
        <vt:i4>5</vt:i4>
      </vt:variant>
      <vt:variant>
        <vt:lpwstr/>
      </vt:variant>
      <vt:variant>
        <vt:lpwstr>_Toc176339432</vt:lpwstr>
      </vt:variant>
      <vt:variant>
        <vt:i4>1638448</vt:i4>
      </vt:variant>
      <vt:variant>
        <vt:i4>65</vt:i4>
      </vt:variant>
      <vt:variant>
        <vt:i4>0</vt:i4>
      </vt:variant>
      <vt:variant>
        <vt:i4>5</vt:i4>
      </vt:variant>
      <vt:variant>
        <vt:lpwstr/>
      </vt:variant>
      <vt:variant>
        <vt:lpwstr>_Toc176339431</vt:lpwstr>
      </vt:variant>
      <vt:variant>
        <vt:i4>1638448</vt:i4>
      </vt:variant>
      <vt:variant>
        <vt:i4>59</vt:i4>
      </vt:variant>
      <vt:variant>
        <vt:i4>0</vt:i4>
      </vt:variant>
      <vt:variant>
        <vt:i4>5</vt:i4>
      </vt:variant>
      <vt:variant>
        <vt:lpwstr/>
      </vt:variant>
      <vt:variant>
        <vt:lpwstr>_Toc176339430</vt:lpwstr>
      </vt:variant>
      <vt:variant>
        <vt:i4>1572912</vt:i4>
      </vt:variant>
      <vt:variant>
        <vt:i4>53</vt:i4>
      </vt:variant>
      <vt:variant>
        <vt:i4>0</vt:i4>
      </vt:variant>
      <vt:variant>
        <vt:i4>5</vt:i4>
      </vt:variant>
      <vt:variant>
        <vt:lpwstr/>
      </vt:variant>
      <vt:variant>
        <vt:lpwstr>_Toc176339429</vt:lpwstr>
      </vt:variant>
      <vt:variant>
        <vt:i4>1572912</vt:i4>
      </vt:variant>
      <vt:variant>
        <vt:i4>47</vt:i4>
      </vt:variant>
      <vt:variant>
        <vt:i4>0</vt:i4>
      </vt:variant>
      <vt:variant>
        <vt:i4>5</vt:i4>
      </vt:variant>
      <vt:variant>
        <vt:lpwstr/>
      </vt:variant>
      <vt:variant>
        <vt:lpwstr>_Toc176339428</vt:lpwstr>
      </vt:variant>
      <vt:variant>
        <vt:i4>1572912</vt:i4>
      </vt:variant>
      <vt:variant>
        <vt:i4>41</vt:i4>
      </vt:variant>
      <vt:variant>
        <vt:i4>0</vt:i4>
      </vt:variant>
      <vt:variant>
        <vt:i4>5</vt:i4>
      </vt:variant>
      <vt:variant>
        <vt:lpwstr/>
      </vt:variant>
      <vt:variant>
        <vt:lpwstr>_Toc176339427</vt:lpwstr>
      </vt:variant>
      <vt:variant>
        <vt:i4>1572912</vt:i4>
      </vt:variant>
      <vt:variant>
        <vt:i4>35</vt:i4>
      </vt:variant>
      <vt:variant>
        <vt:i4>0</vt:i4>
      </vt:variant>
      <vt:variant>
        <vt:i4>5</vt:i4>
      </vt:variant>
      <vt:variant>
        <vt:lpwstr/>
      </vt:variant>
      <vt:variant>
        <vt:lpwstr>_Toc176339426</vt:lpwstr>
      </vt:variant>
      <vt:variant>
        <vt:i4>1572912</vt:i4>
      </vt:variant>
      <vt:variant>
        <vt:i4>29</vt:i4>
      </vt:variant>
      <vt:variant>
        <vt:i4>0</vt:i4>
      </vt:variant>
      <vt:variant>
        <vt:i4>5</vt:i4>
      </vt:variant>
      <vt:variant>
        <vt:lpwstr/>
      </vt:variant>
      <vt:variant>
        <vt:lpwstr>_Toc176339425</vt:lpwstr>
      </vt:variant>
      <vt:variant>
        <vt:i4>1572912</vt:i4>
      </vt:variant>
      <vt:variant>
        <vt:i4>23</vt:i4>
      </vt:variant>
      <vt:variant>
        <vt:i4>0</vt:i4>
      </vt:variant>
      <vt:variant>
        <vt:i4>5</vt:i4>
      </vt:variant>
      <vt:variant>
        <vt:lpwstr/>
      </vt:variant>
      <vt:variant>
        <vt:lpwstr>_Toc176339424</vt:lpwstr>
      </vt:variant>
      <vt:variant>
        <vt:i4>1572912</vt:i4>
      </vt:variant>
      <vt:variant>
        <vt:i4>17</vt:i4>
      </vt:variant>
      <vt:variant>
        <vt:i4>0</vt:i4>
      </vt:variant>
      <vt:variant>
        <vt:i4>5</vt:i4>
      </vt:variant>
      <vt:variant>
        <vt:lpwstr/>
      </vt:variant>
      <vt:variant>
        <vt:lpwstr>_Toc176339423</vt:lpwstr>
      </vt:variant>
      <vt:variant>
        <vt:i4>1572912</vt:i4>
      </vt:variant>
      <vt:variant>
        <vt:i4>11</vt:i4>
      </vt:variant>
      <vt:variant>
        <vt:i4>0</vt:i4>
      </vt:variant>
      <vt:variant>
        <vt:i4>5</vt:i4>
      </vt:variant>
      <vt:variant>
        <vt:lpwstr/>
      </vt:variant>
      <vt:variant>
        <vt:lpwstr>_Toc176339422</vt:lpwstr>
      </vt:variant>
      <vt:variant>
        <vt:i4>6946910</vt:i4>
      </vt:variant>
      <vt:variant>
        <vt:i4>6</vt:i4>
      </vt:variant>
      <vt:variant>
        <vt:i4>0</vt:i4>
      </vt:variant>
      <vt:variant>
        <vt:i4>5</vt:i4>
      </vt:variant>
      <vt:variant>
        <vt:lpwstr>mailto:publicsectorgovernance@dpc.vic.gov.au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1114142</vt:i4>
      </vt:variant>
      <vt:variant>
        <vt:i4>0</vt:i4>
      </vt:variant>
      <vt:variant>
        <vt:i4>0</vt:i4>
      </vt:variant>
      <vt:variant>
        <vt:i4>5</vt:i4>
      </vt:variant>
      <vt:variant>
        <vt:lpwstr>http://vic.gov.au/dpc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and Remuneration Guidelines</dc:title>
  <dc:subject/>
  <dc:creator>Michael Donaghue-Evans (DPC)</dc:creator>
  <cp:keywords/>
  <dc:description/>
  <cp:lastModifiedBy>Michael Donaghue-Evans (DPC)</cp:lastModifiedBy>
  <cp:revision>4</cp:revision>
  <cp:lastPrinted>2024-08-23T07:50:00Z</cp:lastPrinted>
  <dcterms:created xsi:type="dcterms:W3CDTF">2024-09-12T23:19:00Z</dcterms:created>
  <dcterms:modified xsi:type="dcterms:W3CDTF">2025-10-15T00:02:00Z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0x0101006D962F022EFD804591B1B8D9A7583A28</vt:lpwstr>
  </property>
</Properties>
</file>