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35B1" w14:textId="524F7B4F" w:rsidR="00B758FF" w:rsidRPr="001E3483" w:rsidRDefault="001E3483">
      <w:pPr>
        <w:rPr>
          <w:b/>
          <w:bCs/>
          <w:sz w:val="44"/>
          <w:szCs w:val="44"/>
        </w:rPr>
      </w:pPr>
      <w:r w:rsidRPr="001E3483">
        <w:rPr>
          <w:b/>
          <w:bCs/>
          <w:sz w:val="44"/>
          <w:szCs w:val="44"/>
        </w:rPr>
        <w:t xml:space="preserve">Bespoke Data Sharing Agreements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1"/>
        <w:gridCol w:w="10247"/>
      </w:tblGrid>
      <w:tr w:rsidR="001E3483" w:rsidRPr="001E3483" w14:paraId="4720D252" w14:textId="77777777" w:rsidTr="001E3483">
        <w:trPr>
          <w:tblCellSpacing w:w="15" w:type="dxa"/>
        </w:trPr>
        <w:tc>
          <w:tcPr>
            <w:tcW w:w="0" w:type="auto"/>
            <w:vAlign w:val="center"/>
            <w:hideMark/>
          </w:tcPr>
          <w:p w14:paraId="2288E8A3" w14:textId="77777777" w:rsidR="001E3483" w:rsidRPr="001E3483" w:rsidRDefault="001E3483" w:rsidP="001E3483">
            <w:r w:rsidRPr="001E3483">
              <w:rPr>
                <w:b/>
                <w:bCs/>
              </w:rPr>
              <w:t>Relevant section</w:t>
            </w:r>
          </w:p>
        </w:tc>
        <w:tc>
          <w:tcPr>
            <w:tcW w:w="0" w:type="auto"/>
            <w:vAlign w:val="center"/>
            <w:hideMark/>
          </w:tcPr>
          <w:p w14:paraId="79518323" w14:textId="77777777" w:rsidR="001E3483" w:rsidRPr="001E3483" w:rsidRDefault="001E3483" w:rsidP="001E3483">
            <w:r w:rsidRPr="001E3483">
              <w:rPr>
                <w:b/>
                <w:bCs/>
              </w:rPr>
              <w:t>Considerations / potential amendments</w:t>
            </w:r>
          </w:p>
        </w:tc>
      </w:tr>
      <w:tr w:rsidR="001E3483" w:rsidRPr="001E3483" w14:paraId="55B68194" w14:textId="77777777" w:rsidTr="001E3483">
        <w:trPr>
          <w:tblCellSpacing w:w="15" w:type="dxa"/>
        </w:trPr>
        <w:tc>
          <w:tcPr>
            <w:tcW w:w="0" w:type="auto"/>
            <w:vAlign w:val="center"/>
            <w:hideMark/>
          </w:tcPr>
          <w:p w14:paraId="51317053" w14:textId="77777777" w:rsidR="001E3483" w:rsidRPr="001E3483" w:rsidRDefault="001E3483" w:rsidP="001E3483">
            <w:r w:rsidRPr="001E3483">
              <w:t>General considerations (may impact multiple sections)</w:t>
            </w:r>
          </w:p>
        </w:tc>
        <w:tc>
          <w:tcPr>
            <w:tcW w:w="0" w:type="auto"/>
            <w:vAlign w:val="center"/>
            <w:hideMark/>
          </w:tcPr>
          <w:p w14:paraId="70AF0680" w14:textId="77777777" w:rsidR="001E3483" w:rsidRPr="001E3483" w:rsidRDefault="001E3483" w:rsidP="001E3483">
            <w:r w:rsidRPr="001E3483">
              <w:t>•Changes may depend on the type of agreement e.g., Heads of Agreement (used multiples times with Schedules completed for each data sharing arrangement) or single agreement</w:t>
            </w:r>
          </w:p>
          <w:p w14:paraId="0599615A" w14:textId="77777777" w:rsidR="001E3483" w:rsidRPr="001E3483" w:rsidRDefault="001E3483" w:rsidP="001E3483">
            <w:r w:rsidRPr="001E3483">
              <w:t>•If a Heads of Agreement, a decision will be required on whether there is a ‘lead’ agency i.e., DGS for the DSHA – this will impact several sections / clauses e.g., where the Secretary DGS is referenced</w:t>
            </w:r>
          </w:p>
          <w:p w14:paraId="68386F1E" w14:textId="77777777" w:rsidR="001E3483" w:rsidRPr="001E3483" w:rsidRDefault="001E3483" w:rsidP="001E3483">
            <w:r w:rsidRPr="001E3483">
              <w:t>•Reference to the VPS Data Sharing Policy may not be relevant if the purpose of the agreement is to share data that is not enabled under the VPS Data Sharing Policy e.g., for some regulatory activities such as enforcement, compliance</w:t>
            </w:r>
          </w:p>
          <w:p w14:paraId="580BBF4B" w14:textId="77777777" w:rsidR="001E3483" w:rsidRPr="001E3483" w:rsidRDefault="001E3483" w:rsidP="001E3483">
            <w:r w:rsidRPr="001E3483">
              <w:t>•Where clauses or definitions are removed, it is important to update any references to them throughout the agreement</w:t>
            </w:r>
          </w:p>
        </w:tc>
      </w:tr>
      <w:tr w:rsidR="001E3483" w:rsidRPr="001E3483" w14:paraId="11D94605" w14:textId="77777777" w:rsidTr="001E3483">
        <w:trPr>
          <w:tblCellSpacing w:w="15" w:type="dxa"/>
        </w:trPr>
        <w:tc>
          <w:tcPr>
            <w:tcW w:w="0" w:type="auto"/>
            <w:vAlign w:val="center"/>
            <w:hideMark/>
          </w:tcPr>
          <w:p w14:paraId="5595E2BB" w14:textId="77777777" w:rsidR="001E3483" w:rsidRPr="001E3483" w:rsidRDefault="001E3483" w:rsidP="001E3483">
            <w:r w:rsidRPr="001E3483">
              <w:t>2 – Term and variation</w:t>
            </w:r>
          </w:p>
        </w:tc>
        <w:tc>
          <w:tcPr>
            <w:tcW w:w="0" w:type="auto"/>
            <w:vAlign w:val="center"/>
            <w:hideMark/>
          </w:tcPr>
          <w:p w14:paraId="72280336" w14:textId="77777777" w:rsidR="001E3483" w:rsidRPr="001E3483" w:rsidRDefault="001E3483" w:rsidP="001E3483">
            <w:r w:rsidRPr="001E3483">
              <w:t>•Consider if the agreement is in perpetuity (until terminated by mutual consent) or whether it will be for a specific period</w:t>
            </w:r>
          </w:p>
          <w:p w14:paraId="0410224F" w14:textId="77777777" w:rsidR="001E3483" w:rsidRPr="001E3483" w:rsidRDefault="001E3483" w:rsidP="001E3483">
            <w:r w:rsidRPr="001E3483">
              <w:t>•the term for the DSHA is linked to the VPS Data Sharing Policy which may not be relevant to a bespoke agreement</w:t>
            </w:r>
          </w:p>
          <w:p w14:paraId="7A00F58E" w14:textId="77777777" w:rsidR="001E3483" w:rsidRPr="001E3483" w:rsidRDefault="001E3483" w:rsidP="001E3483">
            <w:r w:rsidRPr="001E3483">
              <w:t>•Consider if there is a ‘lead’ agency who manages administration of the agreement or whether all parties are to be involved in decision-making and administration</w:t>
            </w:r>
          </w:p>
        </w:tc>
      </w:tr>
      <w:tr w:rsidR="001E3483" w:rsidRPr="001E3483" w14:paraId="1E9B815E" w14:textId="77777777" w:rsidTr="001E3483">
        <w:trPr>
          <w:tblCellSpacing w:w="15" w:type="dxa"/>
        </w:trPr>
        <w:tc>
          <w:tcPr>
            <w:tcW w:w="0" w:type="auto"/>
            <w:vAlign w:val="center"/>
            <w:hideMark/>
          </w:tcPr>
          <w:p w14:paraId="575FE3FD" w14:textId="77777777" w:rsidR="001E3483" w:rsidRPr="001E3483" w:rsidRDefault="001E3483" w:rsidP="001E3483">
            <w:r w:rsidRPr="001E3483">
              <w:t>3 – Purpose of this Agreement</w:t>
            </w:r>
          </w:p>
          <w:p w14:paraId="14BA4744" w14:textId="77777777" w:rsidR="001E3483" w:rsidRPr="001E3483" w:rsidRDefault="001E3483" w:rsidP="001E3483">
            <w:r w:rsidRPr="001E3483">
              <w:lastRenderedPageBreak/>
              <w:t>4 – Responsibility to share and principles</w:t>
            </w:r>
          </w:p>
        </w:tc>
        <w:tc>
          <w:tcPr>
            <w:tcW w:w="0" w:type="auto"/>
            <w:vAlign w:val="center"/>
            <w:hideMark/>
          </w:tcPr>
          <w:p w14:paraId="494CB3D3" w14:textId="77777777" w:rsidR="001E3483" w:rsidRPr="001E3483" w:rsidRDefault="001E3483" w:rsidP="001E3483">
            <w:r w:rsidRPr="001E3483">
              <w:lastRenderedPageBreak/>
              <w:t>•Consider if reference to the VPS Data Sharing Policy (and National Data Sharing Principles) is required if the purpose is for sharing data that is not enabled by the policy</w:t>
            </w:r>
          </w:p>
        </w:tc>
      </w:tr>
      <w:tr w:rsidR="001E3483" w:rsidRPr="001E3483" w14:paraId="3A1EFE22" w14:textId="77777777" w:rsidTr="001E3483">
        <w:trPr>
          <w:tblCellSpacing w:w="15" w:type="dxa"/>
        </w:trPr>
        <w:tc>
          <w:tcPr>
            <w:tcW w:w="0" w:type="auto"/>
            <w:vAlign w:val="center"/>
            <w:hideMark/>
          </w:tcPr>
          <w:p w14:paraId="4EBEB336" w14:textId="77777777" w:rsidR="001E3483" w:rsidRPr="001E3483" w:rsidRDefault="001E3483" w:rsidP="001E3483">
            <w:r w:rsidRPr="001E3483">
              <w:t>5 – Status of this Agreement</w:t>
            </w:r>
          </w:p>
        </w:tc>
        <w:tc>
          <w:tcPr>
            <w:tcW w:w="0" w:type="auto"/>
            <w:vAlign w:val="center"/>
            <w:hideMark/>
          </w:tcPr>
          <w:p w14:paraId="04EE0413" w14:textId="77777777" w:rsidR="001E3483" w:rsidRPr="001E3483" w:rsidRDefault="001E3483" w:rsidP="001E3483">
            <w:r w:rsidRPr="001E3483">
              <w:t>•Consider if there is a desire for the agreement to be legally binding – if so, it is recommended that you engage appropriate legal counsel for advice</w:t>
            </w:r>
          </w:p>
        </w:tc>
      </w:tr>
      <w:tr w:rsidR="001E3483" w:rsidRPr="001E3483" w14:paraId="5748B39C" w14:textId="77777777" w:rsidTr="001E3483">
        <w:trPr>
          <w:tblCellSpacing w:w="15" w:type="dxa"/>
        </w:trPr>
        <w:tc>
          <w:tcPr>
            <w:tcW w:w="0" w:type="auto"/>
            <w:vAlign w:val="center"/>
            <w:hideMark/>
          </w:tcPr>
          <w:p w14:paraId="52081ECA" w14:textId="77777777" w:rsidR="001E3483" w:rsidRPr="001E3483" w:rsidRDefault="001E3483" w:rsidP="001E3483">
            <w:r w:rsidRPr="001E3483">
              <w:t>6 – Addition of new Parties to this Agreement</w:t>
            </w:r>
          </w:p>
        </w:tc>
        <w:tc>
          <w:tcPr>
            <w:tcW w:w="0" w:type="auto"/>
            <w:vAlign w:val="center"/>
            <w:hideMark/>
          </w:tcPr>
          <w:p w14:paraId="1C920D51" w14:textId="77777777" w:rsidR="001E3483" w:rsidRPr="001E3483" w:rsidRDefault="001E3483" w:rsidP="001E3483">
            <w:r w:rsidRPr="001E3483">
              <w:t>•Dependent on the type of agreement e.g.:</w:t>
            </w:r>
          </w:p>
          <w:p w14:paraId="2A159F6A" w14:textId="77777777" w:rsidR="001E3483" w:rsidRPr="001E3483" w:rsidRDefault="001E3483" w:rsidP="001E3483">
            <w:r w:rsidRPr="001E3483">
              <w:t>•whether there will be a ‘lead’ agency with decision-making authority under a Heads of Agreement</w:t>
            </w:r>
          </w:p>
          <w:p w14:paraId="1A9167D2" w14:textId="77777777" w:rsidR="001E3483" w:rsidRPr="001E3483" w:rsidRDefault="001E3483" w:rsidP="001E3483">
            <w:r w:rsidRPr="001E3483">
              <w:t>•whether the agreement is a single agreement requiring the agreement of all parties to any new parties</w:t>
            </w:r>
          </w:p>
        </w:tc>
      </w:tr>
      <w:tr w:rsidR="001E3483" w:rsidRPr="001E3483" w14:paraId="29B1EB7F" w14:textId="77777777" w:rsidTr="001E3483">
        <w:trPr>
          <w:tblCellSpacing w:w="15" w:type="dxa"/>
        </w:trPr>
        <w:tc>
          <w:tcPr>
            <w:tcW w:w="0" w:type="auto"/>
            <w:vAlign w:val="center"/>
            <w:hideMark/>
          </w:tcPr>
          <w:p w14:paraId="1B1F5D16" w14:textId="77777777" w:rsidR="001E3483" w:rsidRPr="001E3483" w:rsidRDefault="001E3483" w:rsidP="001E3483">
            <w:r w:rsidRPr="001E3483">
              <w:t>7 – Conflict between this Agreement and a Data Sharing Schedule</w:t>
            </w:r>
          </w:p>
        </w:tc>
        <w:tc>
          <w:tcPr>
            <w:tcW w:w="0" w:type="auto"/>
            <w:vAlign w:val="center"/>
            <w:hideMark/>
          </w:tcPr>
          <w:p w14:paraId="1D42E0AC" w14:textId="77777777" w:rsidR="001E3483" w:rsidRPr="001E3483" w:rsidRDefault="001E3483" w:rsidP="001E3483">
            <w:r w:rsidRPr="001E3483">
              <w:t>•Dependent on the type of agreement and whether there are multiple schedules outlining specific data sharing agreements</w:t>
            </w:r>
          </w:p>
        </w:tc>
      </w:tr>
      <w:tr w:rsidR="001E3483" w:rsidRPr="001E3483" w14:paraId="4A71FCDA" w14:textId="77777777" w:rsidTr="001E3483">
        <w:trPr>
          <w:tblCellSpacing w:w="15" w:type="dxa"/>
        </w:trPr>
        <w:tc>
          <w:tcPr>
            <w:tcW w:w="0" w:type="auto"/>
            <w:vAlign w:val="center"/>
            <w:hideMark/>
          </w:tcPr>
          <w:p w14:paraId="29A425C7" w14:textId="77777777" w:rsidR="001E3483" w:rsidRPr="001E3483" w:rsidRDefault="001E3483" w:rsidP="001E3483">
            <w:r w:rsidRPr="001E3483">
              <w:rPr>
                <w:b/>
                <w:bCs/>
              </w:rPr>
              <w:t>8 – Purposes for Shared Data</w:t>
            </w:r>
          </w:p>
        </w:tc>
        <w:tc>
          <w:tcPr>
            <w:tcW w:w="0" w:type="auto"/>
            <w:vAlign w:val="center"/>
            <w:hideMark/>
          </w:tcPr>
          <w:p w14:paraId="194A1771" w14:textId="77777777" w:rsidR="001E3483" w:rsidRPr="001E3483" w:rsidRDefault="001E3483" w:rsidP="001E3483">
            <w:r w:rsidRPr="001E3483">
              <w:t>•</w:t>
            </w:r>
            <w:r w:rsidRPr="001E3483">
              <w:rPr>
                <w:b/>
                <w:bCs/>
              </w:rPr>
              <w:t>Consider if reference to the VPS Data Sharing Policy is required if the purpose is for sharing data that is not enabled by the policy</w:t>
            </w:r>
          </w:p>
        </w:tc>
      </w:tr>
      <w:tr w:rsidR="001E3483" w:rsidRPr="001E3483" w14:paraId="61798E2C" w14:textId="77777777" w:rsidTr="001E3483">
        <w:trPr>
          <w:tblCellSpacing w:w="15" w:type="dxa"/>
        </w:trPr>
        <w:tc>
          <w:tcPr>
            <w:tcW w:w="0" w:type="auto"/>
            <w:vAlign w:val="center"/>
            <w:hideMark/>
          </w:tcPr>
          <w:p w14:paraId="11FE16E2" w14:textId="77777777" w:rsidR="001E3483" w:rsidRPr="001E3483" w:rsidRDefault="001E3483" w:rsidP="001E3483">
            <w:r w:rsidRPr="001E3483">
              <w:t>9 – Term and provision of Shared Data</w:t>
            </w:r>
          </w:p>
          <w:p w14:paraId="5BC08DDA" w14:textId="77777777" w:rsidR="001E3483" w:rsidRPr="001E3483" w:rsidRDefault="001E3483" w:rsidP="001E3483">
            <w:r w:rsidRPr="001E3483">
              <w:t>10 – Use and confidentiality of Shared Data</w:t>
            </w:r>
          </w:p>
          <w:p w14:paraId="050ED56A" w14:textId="77777777" w:rsidR="001E3483" w:rsidRPr="001E3483" w:rsidRDefault="001E3483" w:rsidP="001E3483">
            <w:r w:rsidRPr="001E3483">
              <w:t>11 – Rights in relation to Shared Data and Intellectual Property</w:t>
            </w:r>
          </w:p>
          <w:p w14:paraId="251E0898" w14:textId="77777777" w:rsidR="001E3483" w:rsidRPr="001E3483" w:rsidRDefault="001E3483" w:rsidP="001E3483">
            <w:r w:rsidRPr="001E3483">
              <w:lastRenderedPageBreak/>
              <w:t>12 – Handling and security of Shared Data</w:t>
            </w:r>
          </w:p>
        </w:tc>
        <w:tc>
          <w:tcPr>
            <w:tcW w:w="0" w:type="auto"/>
            <w:vAlign w:val="center"/>
            <w:hideMark/>
          </w:tcPr>
          <w:p w14:paraId="0C3C74D5" w14:textId="77777777" w:rsidR="001E3483" w:rsidRPr="001E3483" w:rsidRDefault="001E3483" w:rsidP="001E3483">
            <w:r w:rsidRPr="001E3483">
              <w:lastRenderedPageBreak/>
              <w:t>•Unlikely to require changes</w:t>
            </w:r>
          </w:p>
          <w:p w14:paraId="065AB90B" w14:textId="77777777" w:rsidR="001E3483" w:rsidRPr="001E3483" w:rsidRDefault="001E3483" w:rsidP="001E3483">
            <w:r w:rsidRPr="001E3483">
              <w:t>•some sections are based on requirements for VPS agencies</w:t>
            </w:r>
          </w:p>
        </w:tc>
      </w:tr>
      <w:tr w:rsidR="001E3483" w:rsidRPr="001E3483" w14:paraId="4D2AAB66" w14:textId="77777777" w:rsidTr="001E3483">
        <w:trPr>
          <w:tblCellSpacing w:w="15" w:type="dxa"/>
        </w:trPr>
        <w:tc>
          <w:tcPr>
            <w:tcW w:w="0" w:type="auto"/>
            <w:vAlign w:val="center"/>
            <w:hideMark/>
          </w:tcPr>
          <w:p w14:paraId="0F500A26" w14:textId="77777777" w:rsidR="001E3483" w:rsidRPr="001E3483" w:rsidRDefault="001E3483" w:rsidP="001E3483">
            <w:r w:rsidRPr="001E3483">
              <w:t>13 – Retention and destruction of Shared Data</w:t>
            </w:r>
          </w:p>
        </w:tc>
        <w:tc>
          <w:tcPr>
            <w:tcW w:w="0" w:type="auto"/>
            <w:vAlign w:val="center"/>
            <w:hideMark/>
          </w:tcPr>
          <w:p w14:paraId="0CA21752" w14:textId="77777777" w:rsidR="001E3483" w:rsidRPr="001E3483" w:rsidRDefault="001E3483" w:rsidP="001E3483">
            <w:r w:rsidRPr="001E3483">
              <w:t>•Dependent on the type of agreement:</w:t>
            </w:r>
          </w:p>
          <w:p w14:paraId="41654B27" w14:textId="77777777" w:rsidR="001E3483" w:rsidRPr="001E3483" w:rsidRDefault="001E3483" w:rsidP="001E3483">
            <w:r w:rsidRPr="001E3483">
              <w:t>•consider whether the details that will be outlined in the schedule are / will be sufficient</w:t>
            </w:r>
          </w:p>
          <w:p w14:paraId="6600F101" w14:textId="77777777" w:rsidR="001E3483" w:rsidRPr="001E3483" w:rsidRDefault="001E3483" w:rsidP="001E3483">
            <w:r w:rsidRPr="001E3483">
              <w:t>•may require advice e.g., if an agreement with the details to be written into the clauses rather than the schedule</w:t>
            </w:r>
          </w:p>
        </w:tc>
      </w:tr>
      <w:tr w:rsidR="001E3483" w:rsidRPr="001E3483" w14:paraId="1950DF55" w14:textId="77777777" w:rsidTr="001E3483">
        <w:trPr>
          <w:tblCellSpacing w:w="15" w:type="dxa"/>
        </w:trPr>
        <w:tc>
          <w:tcPr>
            <w:tcW w:w="0" w:type="auto"/>
            <w:vAlign w:val="center"/>
            <w:hideMark/>
          </w:tcPr>
          <w:p w14:paraId="78FE4171" w14:textId="77777777" w:rsidR="001E3483" w:rsidRPr="001E3483" w:rsidRDefault="001E3483" w:rsidP="001E3483">
            <w:r w:rsidRPr="001E3483">
              <w:t>14 – Party Representatives</w:t>
            </w:r>
          </w:p>
        </w:tc>
        <w:tc>
          <w:tcPr>
            <w:tcW w:w="0" w:type="auto"/>
            <w:vAlign w:val="center"/>
            <w:hideMark/>
          </w:tcPr>
          <w:p w14:paraId="4D2180A4" w14:textId="77777777" w:rsidR="001E3483" w:rsidRPr="001E3483" w:rsidRDefault="001E3483" w:rsidP="001E3483">
            <w:r w:rsidRPr="001E3483">
              <w:t>•Unlikely to require changes</w:t>
            </w:r>
          </w:p>
        </w:tc>
      </w:tr>
      <w:tr w:rsidR="001E3483" w:rsidRPr="001E3483" w14:paraId="67AE06AE" w14:textId="77777777" w:rsidTr="001E3483">
        <w:trPr>
          <w:tblCellSpacing w:w="15" w:type="dxa"/>
        </w:trPr>
        <w:tc>
          <w:tcPr>
            <w:tcW w:w="0" w:type="auto"/>
            <w:vAlign w:val="center"/>
            <w:hideMark/>
          </w:tcPr>
          <w:p w14:paraId="4E948BDB" w14:textId="77777777" w:rsidR="001E3483" w:rsidRPr="001E3483" w:rsidRDefault="001E3483" w:rsidP="001E3483">
            <w:r w:rsidRPr="001E3483">
              <w:t>General</w:t>
            </w:r>
          </w:p>
        </w:tc>
        <w:tc>
          <w:tcPr>
            <w:tcW w:w="0" w:type="auto"/>
            <w:vAlign w:val="center"/>
            <w:hideMark/>
          </w:tcPr>
          <w:p w14:paraId="33C63171" w14:textId="77777777" w:rsidR="001E3483" w:rsidRPr="001E3483" w:rsidRDefault="001E3483" w:rsidP="001E3483">
            <w:r w:rsidRPr="001E3483">
              <w:t>•Dependent on the type of agreement e.g.:</w:t>
            </w:r>
          </w:p>
          <w:p w14:paraId="55639092" w14:textId="77777777" w:rsidR="001E3483" w:rsidRPr="001E3483" w:rsidRDefault="001E3483" w:rsidP="001E3483">
            <w:r w:rsidRPr="001E3483">
              <w:t>•counterpart clause likely to remain under a Heads of Agreement</w:t>
            </w:r>
          </w:p>
        </w:tc>
      </w:tr>
      <w:tr w:rsidR="001E3483" w:rsidRPr="001E3483" w14:paraId="3D3C9ABA" w14:textId="77777777" w:rsidTr="001E3483">
        <w:trPr>
          <w:tblCellSpacing w:w="15" w:type="dxa"/>
        </w:trPr>
        <w:tc>
          <w:tcPr>
            <w:tcW w:w="0" w:type="auto"/>
            <w:vAlign w:val="center"/>
            <w:hideMark/>
          </w:tcPr>
          <w:p w14:paraId="1A4332A8" w14:textId="77777777" w:rsidR="001E3483" w:rsidRPr="001E3483" w:rsidRDefault="001E3483" w:rsidP="001E3483">
            <w:r w:rsidRPr="001E3483">
              <w:t>15 – Entire Agreement</w:t>
            </w:r>
          </w:p>
        </w:tc>
        <w:tc>
          <w:tcPr>
            <w:tcW w:w="0" w:type="auto"/>
            <w:vAlign w:val="center"/>
            <w:hideMark/>
          </w:tcPr>
          <w:p w14:paraId="1EFB0AA9" w14:textId="77777777" w:rsidR="001E3483" w:rsidRPr="001E3483" w:rsidRDefault="001E3483" w:rsidP="001E3483">
            <w:r w:rsidRPr="001E3483">
              <w:t>•Dependent on the type of agreement e.g.:</w:t>
            </w:r>
          </w:p>
          <w:p w14:paraId="1FD4AEA4" w14:textId="77777777" w:rsidR="001E3483" w:rsidRPr="001E3483" w:rsidRDefault="001E3483" w:rsidP="001E3483">
            <w:r w:rsidRPr="001E3483">
              <w:t>•the DSHA reference may be updated to the name of another Heads of Agreement if this is relevant</w:t>
            </w:r>
          </w:p>
        </w:tc>
      </w:tr>
    </w:tbl>
    <w:p w14:paraId="2FC38A91" w14:textId="77777777" w:rsidR="001E3483" w:rsidRPr="001E3483" w:rsidRDefault="001E3483"/>
    <w:sectPr w:rsidR="001E3483" w:rsidRPr="001E3483" w:rsidSect="001E3483">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3231" w14:textId="77777777" w:rsidR="001E3483" w:rsidRDefault="001E3483" w:rsidP="001E3483">
      <w:pPr>
        <w:spacing w:after="0" w:line="240" w:lineRule="auto"/>
      </w:pPr>
      <w:r>
        <w:separator/>
      </w:r>
    </w:p>
  </w:endnote>
  <w:endnote w:type="continuationSeparator" w:id="0">
    <w:p w14:paraId="21CA0C54" w14:textId="77777777" w:rsidR="001E3483" w:rsidRDefault="001E3483" w:rsidP="001E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9D82" w14:textId="5D9362FF" w:rsidR="001E3483" w:rsidRDefault="001E3483">
    <w:pPr>
      <w:pStyle w:val="Footer"/>
    </w:pPr>
    <w:r>
      <w:rPr>
        <w:noProof/>
      </w:rPr>
      <mc:AlternateContent>
        <mc:Choice Requires="wps">
          <w:drawing>
            <wp:anchor distT="0" distB="0" distL="0" distR="0" simplePos="0" relativeHeight="251659264" behindDoc="0" locked="0" layoutInCell="1" allowOverlap="1" wp14:anchorId="7A49B3B0" wp14:editId="077AC53F">
              <wp:simplePos x="635" y="635"/>
              <wp:positionH relativeFrom="page">
                <wp:align>left</wp:align>
              </wp:positionH>
              <wp:positionV relativeFrom="page">
                <wp:align>bottom</wp:align>
              </wp:positionV>
              <wp:extent cx="759460" cy="387985"/>
              <wp:effectExtent l="0" t="0" r="2540" b="0"/>
              <wp:wrapNone/>
              <wp:docPr id="33263287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87985"/>
                      </a:xfrm>
                      <a:prstGeom prst="rect">
                        <a:avLst/>
                      </a:prstGeom>
                      <a:noFill/>
                      <a:ln>
                        <a:noFill/>
                      </a:ln>
                    </wps:spPr>
                    <wps:txbx>
                      <w:txbxContent>
                        <w:p w14:paraId="170848DF" w14:textId="33E05673" w:rsidR="001E3483" w:rsidRPr="001E3483" w:rsidRDefault="001E3483" w:rsidP="001E3483">
                          <w:pPr>
                            <w:spacing w:after="0"/>
                            <w:rPr>
                              <w:rFonts w:ascii="Calibri" w:eastAsia="Calibri" w:hAnsi="Calibri" w:cs="Calibri"/>
                              <w:noProof/>
                              <w:color w:val="000000"/>
                              <w:sz w:val="22"/>
                              <w:szCs w:val="22"/>
                            </w:rPr>
                          </w:pPr>
                          <w:r w:rsidRPr="001E3483">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49B3B0" id="_x0000_t202" coordsize="21600,21600" o:spt="202" path="m,l,21600r21600,l21600,xe">
              <v:stroke joinstyle="miter"/>
              <v:path gradientshapeok="t" o:connecttype="rect"/>
            </v:shapetype>
            <v:shape id="Text Box 2" o:spid="_x0000_s1026" type="#_x0000_t202" alt="OFFICIAL" style="position:absolute;margin-left:0;margin-top:0;width:59.8pt;height:30.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" filled="f" stroked="f">
              <v:fill o:detectmouseclick="t"/>
              <v:textbox style="mso-fit-shape-to-text:t" inset="20pt,0,0,15pt">
                <w:txbxContent>
                  <w:p w14:paraId="170848DF" w14:textId="33E05673" w:rsidR="001E3483" w:rsidRPr="001E3483" w:rsidRDefault="001E3483" w:rsidP="001E3483">
                    <w:pPr>
                      <w:spacing w:after="0"/>
                      <w:rPr>
                        <w:rFonts w:ascii="Calibri" w:eastAsia="Calibri" w:hAnsi="Calibri" w:cs="Calibri"/>
                        <w:noProof/>
                        <w:color w:val="000000"/>
                        <w:sz w:val="22"/>
                        <w:szCs w:val="22"/>
                      </w:rPr>
                    </w:pPr>
                    <w:r w:rsidRPr="001E3483">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5C6C" w14:textId="3BAF274D" w:rsidR="001E3483" w:rsidRDefault="001E3483">
    <w:pPr>
      <w:pStyle w:val="Footer"/>
    </w:pPr>
    <w:r>
      <w:rPr>
        <w:noProof/>
      </w:rPr>
      <mc:AlternateContent>
        <mc:Choice Requires="wps">
          <w:drawing>
            <wp:anchor distT="0" distB="0" distL="0" distR="0" simplePos="0" relativeHeight="251660288" behindDoc="0" locked="0" layoutInCell="1" allowOverlap="1" wp14:anchorId="498378EF" wp14:editId="2916C85B">
              <wp:simplePos x="914400" y="6924675"/>
              <wp:positionH relativeFrom="page">
                <wp:align>left</wp:align>
              </wp:positionH>
              <wp:positionV relativeFrom="page">
                <wp:align>bottom</wp:align>
              </wp:positionV>
              <wp:extent cx="759460" cy="387985"/>
              <wp:effectExtent l="0" t="0" r="2540" b="0"/>
              <wp:wrapNone/>
              <wp:docPr id="191227874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87985"/>
                      </a:xfrm>
                      <a:prstGeom prst="rect">
                        <a:avLst/>
                      </a:prstGeom>
                      <a:noFill/>
                      <a:ln>
                        <a:noFill/>
                      </a:ln>
                    </wps:spPr>
                    <wps:txbx>
                      <w:txbxContent>
                        <w:p w14:paraId="3FB60A75" w14:textId="45BBEEC3" w:rsidR="001E3483" w:rsidRPr="001E3483" w:rsidRDefault="001E3483" w:rsidP="001E3483">
                          <w:pPr>
                            <w:spacing w:after="0"/>
                            <w:rPr>
                              <w:rFonts w:ascii="Calibri" w:eastAsia="Calibri" w:hAnsi="Calibri" w:cs="Calibri"/>
                              <w:noProof/>
                              <w:color w:val="000000"/>
                              <w:sz w:val="22"/>
                              <w:szCs w:val="22"/>
                            </w:rPr>
                          </w:pPr>
                          <w:r w:rsidRPr="001E3483">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8378EF" id="_x0000_t202" coordsize="21600,21600" o:spt="202" path="m,l,21600r21600,l21600,xe">
              <v:stroke joinstyle="miter"/>
              <v:path gradientshapeok="t" o:connecttype="rect"/>
            </v:shapetype>
            <v:shape id="Text Box 3" o:spid="_x0000_s1027" type="#_x0000_t202" alt="OFFICIAL" style="position:absolute;margin-left:0;margin-top:0;width:59.8pt;height:30.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" filled="f" stroked="f">
              <v:fill o:detectmouseclick="t"/>
              <v:textbox style="mso-fit-shape-to-text:t" inset="20pt,0,0,15pt">
                <w:txbxContent>
                  <w:p w14:paraId="3FB60A75" w14:textId="45BBEEC3" w:rsidR="001E3483" w:rsidRPr="001E3483" w:rsidRDefault="001E3483" w:rsidP="001E3483">
                    <w:pPr>
                      <w:spacing w:after="0"/>
                      <w:rPr>
                        <w:rFonts w:ascii="Calibri" w:eastAsia="Calibri" w:hAnsi="Calibri" w:cs="Calibri"/>
                        <w:noProof/>
                        <w:color w:val="000000"/>
                        <w:sz w:val="22"/>
                        <w:szCs w:val="22"/>
                      </w:rPr>
                    </w:pPr>
                    <w:r w:rsidRPr="001E3483">
                      <w:rPr>
                        <w:rFonts w:ascii="Calibri" w:eastAsia="Calibri" w:hAnsi="Calibri" w:cs="Calibri"/>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DD67" w14:textId="2BB21978" w:rsidR="001E3483" w:rsidRDefault="001E3483">
    <w:pPr>
      <w:pStyle w:val="Footer"/>
    </w:pPr>
    <w:r>
      <w:rPr>
        <w:noProof/>
      </w:rPr>
      <mc:AlternateContent>
        <mc:Choice Requires="wps">
          <w:drawing>
            <wp:anchor distT="0" distB="0" distL="0" distR="0" simplePos="0" relativeHeight="251658240" behindDoc="0" locked="0" layoutInCell="1" allowOverlap="1" wp14:anchorId="6A87DE84" wp14:editId="6AD9670C">
              <wp:simplePos x="635" y="635"/>
              <wp:positionH relativeFrom="page">
                <wp:align>left</wp:align>
              </wp:positionH>
              <wp:positionV relativeFrom="page">
                <wp:align>bottom</wp:align>
              </wp:positionV>
              <wp:extent cx="759460" cy="387985"/>
              <wp:effectExtent l="0" t="0" r="2540" b="0"/>
              <wp:wrapNone/>
              <wp:docPr id="23890107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87985"/>
                      </a:xfrm>
                      <a:prstGeom prst="rect">
                        <a:avLst/>
                      </a:prstGeom>
                      <a:noFill/>
                      <a:ln>
                        <a:noFill/>
                      </a:ln>
                    </wps:spPr>
                    <wps:txbx>
                      <w:txbxContent>
                        <w:p w14:paraId="7B12B7AD" w14:textId="181D5865" w:rsidR="001E3483" w:rsidRPr="001E3483" w:rsidRDefault="001E3483" w:rsidP="001E3483">
                          <w:pPr>
                            <w:spacing w:after="0"/>
                            <w:rPr>
                              <w:rFonts w:ascii="Calibri" w:eastAsia="Calibri" w:hAnsi="Calibri" w:cs="Calibri"/>
                              <w:noProof/>
                              <w:color w:val="000000"/>
                              <w:sz w:val="22"/>
                              <w:szCs w:val="22"/>
                            </w:rPr>
                          </w:pPr>
                          <w:r w:rsidRPr="001E3483">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87DE84" id="_x0000_t202" coordsize="21600,21600" o:spt="202" path="m,l,21600r21600,l21600,xe">
              <v:stroke joinstyle="miter"/>
              <v:path gradientshapeok="t" o:connecttype="rect"/>
            </v:shapetype>
            <v:shape id="Text Box 1" o:spid="_x0000_s1028" type="#_x0000_t202" alt="OFFICIAL" style="position:absolute;margin-left:0;margin-top:0;width:59.8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" filled="f" stroked="f">
              <v:fill o:detectmouseclick="t"/>
              <v:textbox style="mso-fit-shape-to-text:t" inset="20pt,0,0,15pt">
                <w:txbxContent>
                  <w:p w14:paraId="7B12B7AD" w14:textId="181D5865" w:rsidR="001E3483" w:rsidRPr="001E3483" w:rsidRDefault="001E3483" w:rsidP="001E3483">
                    <w:pPr>
                      <w:spacing w:after="0"/>
                      <w:rPr>
                        <w:rFonts w:ascii="Calibri" w:eastAsia="Calibri" w:hAnsi="Calibri" w:cs="Calibri"/>
                        <w:noProof/>
                        <w:color w:val="000000"/>
                        <w:sz w:val="22"/>
                        <w:szCs w:val="22"/>
                      </w:rPr>
                    </w:pPr>
                    <w:r w:rsidRPr="001E3483">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B4768" w14:textId="77777777" w:rsidR="001E3483" w:rsidRDefault="001E3483" w:rsidP="001E3483">
      <w:pPr>
        <w:spacing w:after="0" w:line="240" w:lineRule="auto"/>
      </w:pPr>
      <w:r>
        <w:separator/>
      </w:r>
    </w:p>
  </w:footnote>
  <w:footnote w:type="continuationSeparator" w:id="0">
    <w:p w14:paraId="38DB422E" w14:textId="77777777" w:rsidR="001E3483" w:rsidRDefault="001E3483" w:rsidP="001E3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2877" w14:textId="77777777" w:rsidR="00D03130" w:rsidRDefault="00D0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442E" w14:textId="77777777" w:rsidR="00D03130" w:rsidRDefault="00D0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D954" w14:textId="77777777" w:rsidR="00D03130" w:rsidRDefault="00D03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83"/>
    <w:rsid w:val="001E3483"/>
    <w:rsid w:val="007710F0"/>
    <w:rsid w:val="00A24271"/>
    <w:rsid w:val="00B758FF"/>
    <w:rsid w:val="00D03130"/>
    <w:rsid w:val="00EF6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24D8C"/>
  <w15:chartTrackingRefBased/>
  <w15:docId w15:val="{F7B533BD-7FA4-4469-9EBA-7C9AC6C5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483"/>
    <w:rPr>
      <w:rFonts w:eastAsiaTheme="majorEastAsia" w:cstheme="majorBidi"/>
      <w:color w:val="272727" w:themeColor="text1" w:themeTint="D8"/>
    </w:rPr>
  </w:style>
  <w:style w:type="paragraph" w:styleId="Title">
    <w:name w:val="Title"/>
    <w:basedOn w:val="Normal"/>
    <w:next w:val="Normal"/>
    <w:link w:val="TitleChar"/>
    <w:uiPriority w:val="10"/>
    <w:qFormat/>
    <w:rsid w:val="001E3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483"/>
    <w:pPr>
      <w:spacing w:before="160"/>
      <w:jc w:val="center"/>
    </w:pPr>
    <w:rPr>
      <w:i/>
      <w:iCs/>
      <w:color w:val="404040" w:themeColor="text1" w:themeTint="BF"/>
    </w:rPr>
  </w:style>
  <w:style w:type="character" w:customStyle="1" w:styleId="QuoteChar">
    <w:name w:val="Quote Char"/>
    <w:basedOn w:val="DefaultParagraphFont"/>
    <w:link w:val="Quote"/>
    <w:uiPriority w:val="29"/>
    <w:rsid w:val="001E3483"/>
    <w:rPr>
      <w:i/>
      <w:iCs/>
      <w:color w:val="404040" w:themeColor="text1" w:themeTint="BF"/>
    </w:rPr>
  </w:style>
  <w:style w:type="paragraph" w:styleId="ListParagraph">
    <w:name w:val="List Paragraph"/>
    <w:basedOn w:val="Normal"/>
    <w:uiPriority w:val="34"/>
    <w:qFormat/>
    <w:rsid w:val="001E3483"/>
    <w:pPr>
      <w:ind w:left="720"/>
      <w:contextualSpacing/>
    </w:pPr>
  </w:style>
  <w:style w:type="character" w:styleId="IntenseEmphasis">
    <w:name w:val="Intense Emphasis"/>
    <w:basedOn w:val="DefaultParagraphFont"/>
    <w:uiPriority w:val="21"/>
    <w:qFormat/>
    <w:rsid w:val="001E3483"/>
    <w:rPr>
      <w:i/>
      <w:iCs/>
      <w:color w:val="0F4761" w:themeColor="accent1" w:themeShade="BF"/>
    </w:rPr>
  </w:style>
  <w:style w:type="paragraph" w:styleId="IntenseQuote">
    <w:name w:val="Intense Quote"/>
    <w:basedOn w:val="Normal"/>
    <w:next w:val="Normal"/>
    <w:link w:val="IntenseQuoteChar"/>
    <w:uiPriority w:val="30"/>
    <w:qFormat/>
    <w:rsid w:val="001E3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483"/>
    <w:rPr>
      <w:i/>
      <w:iCs/>
      <w:color w:val="0F4761" w:themeColor="accent1" w:themeShade="BF"/>
    </w:rPr>
  </w:style>
  <w:style w:type="character" w:styleId="IntenseReference">
    <w:name w:val="Intense Reference"/>
    <w:basedOn w:val="DefaultParagraphFont"/>
    <w:uiPriority w:val="32"/>
    <w:qFormat/>
    <w:rsid w:val="001E3483"/>
    <w:rPr>
      <w:b/>
      <w:bCs/>
      <w:smallCaps/>
      <w:color w:val="0F4761" w:themeColor="accent1" w:themeShade="BF"/>
      <w:spacing w:val="5"/>
    </w:rPr>
  </w:style>
  <w:style w:type="paragraph" w:styleId="Footer">
    <w:name w:val="footer"/>
    <w:basedOn w:val="Normal"/>
    <w:link w:val="FooterChar"/>
    <w:uiPriority w:val="99"/>
    <w:unhideWhenUsed/>
    <w:rsid w:val="001E3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483"/>
  </w:style>
  <w:style w:type="paragraph" w:styleId="Header">
    <w:name w:val="header"/>
    <w:basedOn w:val="Normal"/>
    <w:link w:val="HeaderChar"/>
    <w:uiPriority w:val="99"/>
    <w:unhideWhenUsed/>
    <w:rsid w:val="00D0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0022">
      <w:bodyDiv w:val="1"/>
      <w:marLeft w:val="0"/>
      <w:marRight w:val="0"/>
      <w:marTop w:val="0"/>
      <w:marBottom w:val="0"/>
      <w:divBdr>
        <w:top w:val="none" w:sz="0" w:space="0" w:color="auto"/>
        <w:left w:val="none" w:sz="0" w:space="0" w:color="auto"/>
        <w:bottom w:val="none" w:sz="0" w:space="0" w:color="auto"/>
        <w:right w:val="none" w:sz="0" w:space="0" w:color="auto"/>
      </w:divBdr>
      <w:divsChild>
        <w:div w:id="1360013738">
          <w:marLeft w:val="0"/>
          <w:marRight w:val="0"/>
          <w:marTop w:val="0"/>
          <w:marBottom w:val="0"/>
          <w:divBdr>
            <w:top w:val="none" w:sz="0" w:space="0" w:color="auto"/>
            <w:left w:val="none" w:sz="0" w:space="0" w:color="auto"/>
            <w:bottom w:val="none" w:sz="0" w:space="0" w:color="auto"/>
            <w:right w:val="none" w:sz="0" w:space="0" w:color="auto"/>
          </w:divBdr>
        </w:div>
        <w:div w:id="2004701916">
          <w:marLeft w:val="0"/>
          <w:marRight w:val="0"/>
          <w:marTop w:val="0"/>
          <w:marBottom w:val="0"/>
          <w:divBdr>
            <w:top w:val="none" w:sz="0" w:space="0" w:color="auto"/>
            <w:left w:val="none" w:sz="0" w:space="0" w:color="auto"/>
            <w:bottom w:val="none" w:sz="0" w:space="0" w:color="auto"/>
            <w:right w:val="none" w:sz="0" w:space="0" w:color="auto"/>
          </w:divBdr>
        </w:div>
        <w:div w:id="1422530790">
          <w:marLeft w:val="0"/>
          <w:marRight w:val="0"/>
          <w:marTop w:val="0"/>
          <w:marBottom w:val="0"/>
          <w:divBdr>
            <w:top w:val="none" w:sz="0" w:space="0" w:color="auto"/>
            <w:left w:val="none" w:sz="0" w:space="0" w:color="auto"/>
            <w:bottom w:val="none" w:sz="0" w:space="0" w:color="auto"/>
            <w:right w:val="none" w:sz="0" w:space="0" w:color="auto"/>
          </w:divBdr>
        </w:div>
        <w:div w:id="1066688811">
          <w:marLeft w:val="0"/>
          <w:marRight w:val="0"/>
          <w:marTop w:val="0"/>
          <w:marBottom w:val="0"/>
          <w:divBdr>
            <w:top w:val="none" w:sz="0" w:space="0" w:color="auto"/>
            <w:left w:val="none" w:sz="0" w:space="0" w:color="auto"/>
            <w:bottom w:val="none" w:sz="0" w:space="0" w:color="auto"/>
            <w:right w:val="none" w:sz="0" w:space="0" w:color="auto"/>
          </w:divBdr>
        </w:div>
        <w:div w:id="1202088503">
          <w:marLeft w:val="0"/>
          <w:marRight w:val="0"/>
          <w:marTop w:val="0"/>
          <w:marBottom w:val="0"/>
          <w:divBdr>
            <w:top w:val="none" w:sz="0" w:space="0" w:color="auto"/>
            <w:left w:val="none" w:sz="0" w:space="0" w:color="auto"/>
            <w:bottom w:val="none" w:sz="0" w:space="0" w:color="auto"/>
            <w:right w:val="none" w:sz="0" w:space="0" w:color="auto"/>
          </w:divBdr>
        </w:div>
        <w:div w:id="1569075670">
          <w:marLeft w:val="0"/>
          <w:marRight w:val="0"/>
          <w:marTop w:val="0"/>
          <w:marBottom w:val="0"/>
          <w:divBdr>
            <w:top w:val="none" w:sz="0" w:space="0" w:color="auto"/>
            <w:left w:val="none" w:sz="0" w:space="0" w:color="auto"/>
            <w:bottom w:val="none" w:sz="0" w:space="0" w:color="auto"/>
            <w:right w:val="none" w:sz="0" w:space="0" w:color="auto"/>
          </w:divBdr>
        </w:div>
        <w:div w:id="1791435434">
          <w:marLeft w:val="0"/>
          <w:marRight w:val="0"/>
          <w:marTop w:val="0"/>
          <w:marBottom w:val="0"/>
          <w:divBdr>
            <w:top w:val="none" w:sz="0" w:space="0" w:color="auto"/>
            <w:left w:val="none" w:sz="0" w:space="0" w:color="auto"/>
            <w:bottom w:val="none" w:sz="0" w:space="0" w:color="auto"/>
            <w:right w:val="none" w:sz="0" w:space="0" w:color="auto"/>
          </w:divBdr>
        </w:div>
        <w:div w:id="1556507028">
          <w:marLeft w:val="0"/>
          <w:marRight w:val="0"/>
          <w:marTop w:val="0"/>
          <w:marBottom w:val="0"/>
          <w:divBdr>
            <w:top w:val="none" w:sz="0" w:space="0" w:color="auto"/>
            <w:left w:val="none" w:sz="0" w:space="0" w:color="auto"/>
            <w:bottom w:val="none" w:sz="0" w:space="0" w:color="auto"/>
            <w:right w:val="none" w:sz="0" w:space="0" w:color="auto"/>
          </w:divBdr>
        </w:div>
        <w:div w:id="1891771704">
          <w:marLeft w:val="0"/>
          <w:marRight w:val="0"/>
          <w:marTop w:val="0"/>
          <w:marBottom w:val="0"/>
          <w:divBdr>
            <w:top w:val="none" w:sz="0" w:space="0" w:color="auto"/>
            <w:left w:val="none" w:sz="0" w:space="0" w:color="auto"/>
            <w:bottom w:val="none" w:sz="0" w:space="0" w:color="auto"/>
            <w:right w:val="none" w:sz="0" w:space="0" w:color="auto"/>
          </w:divBdr>
        </w:div>
        <w:div w:id="1540043141">
          <w:marLeft w:val="0"/>
          <w:marRight w:val="0"/>
          <w:marTop w:val="0"/>
          <w:marBottom w:val="0"/>
          <w:divBdr>
            <w:top w:val="none" w:sz="0" w:space="0" w:color="auto"/>
            <w:left w:val="none" w:sz="0" w:space="0" w:color="auto"/>
            <w:bottom w:val="none" w:sz="0" w:space="0" w:color="auto"/>
            <w:right w:val="none" w:sz="0" w:space="0" w:color="auto"/>
          </w:divBdr>
        </w:div>
        <w:div w:id="1297680215">
          <w:marLeft w:val="0"/>
          <w:marRight w:val="0"/>
          <w:marTop w:val="0"/>
          <w:marBottom w:val="0"/>
          <w:divBdr>
            <w:top w:val="none" w:sz="0" w:space="0" w:color="auto"/>
            <w:left w:val="none" w:sz="0" w:space="0" w:color="auto"/>
            <w:bottom w:val="none" w:sz="0" w:space="0" w:color="auto"/>
            <w:right w:val="none" w:sz="0" w:space="0" w:color="auto"/>
          </w:divBdr>
        </w:div>
        <w:div w:id="724376164">
          <w:marLeft w:val="0"/>
          <w:marRight w:val="0"/>
          <w:marTop w:val="0"/>
          <w:marBottom w:val="0"/>
          <w:divBdr>
            <w:top w:val="none" w:sz="0" w:space="0" w:color="auto"/>
            <w:left w:val="none" w:sz="0" w:space="0" w:color="auto"/>
            <w:bottom w:val="none" w:sz="0" w:space="0" w:color="auto"/>
            <w:right w:val="none" w:sz="0" w:space="0" w:color="auto"/>
          </w:divBdr>
        </w:div>
        <w:div w:id="28730224">
          <w:marLeft w:val="0"/>
          <w:marRight w:val="0"/>
          <w:marTop w:val="0"/>
          <w:marBottom w:val="0"/>
          <w:divBdr>
            <w:top w:val="none" w:sz="0" w:space="0" w:color="auto"/>
            <w:left w:val="none" w:sz="0" w:space="0" w:color="auto"/>
            <w:bottom w:val="none" w:sz="0" w:space="0" w:color="auto"/>
            <w:right w:val="none" w:sz="0" w:space="0" w:color="auto"/>
          </w:divBdr>
        </w:div>
        <w:div w:id="1403143615">
          <w:marLeft w:val="0"/>
          <w:marRight w:val="0"/>
          <w:marTop w:val="0"/>
          <w:marBottom w:val="0"/>
          <w:divBdr>
            <w:top w:val="none" w:sz="0" w:space="0" w:color="auto"/>
            <w:left w:val="none" w:sz="0" w:space="0" w:color="auto"/>
            <w:bottom w:val="none" w:sz="0" w:space="0" w:color="auto"/>
            <w:right w:val="none" w:sz="0" w:space="0" w:color="auto"/>
          </w:divBdr>
        </w:div>
        <w:div w:id="1298296990">
          <w:marLeft w:val="0"/>
          <w:marRight w:val="0"/>
          <w:marTop w:val="0"/>
          <w:marBottom w:val="0"/>
          <w:divBdr>
            <w:top w:val="none" w:sz="0" w:space="0" w:color="auto"/>
            <w:left w:val="none" w:sz="0" w:space="0" w:color="auto"/>
            <w:bottom w:val="none" w:sz="0" w:space="0" w:color="auto"/>
            <w:right w:val="none" w:sz="0" w:space="0" w:color="auto"/>
          </w:divBdr>
        </w:div>
        <w:div w:id="143085476">
          <w:marLeft w:val="0"/>
          <w:marRight w:val="0"/>
          <w:marTop w:val="0"/>
          <w:marBottom w:val="0"/>
          <w:divBdr>
            <w:top w:val="none" w:sz="0" w:space="0" w:color="auto"/>
            <w:left w:val="none" w:sz="0" w:space="0" w:color="auto"/>
            <w:bottom w:val="none" w:sz="0" w:space="0" w:color="auto"/>
            <w:right w:val="none" w:sz="0" w:space="0" w:color="auto"/>
          </w:divBdr>
        </w:div>
        <w:div w:id="1478492168">
          <w:marLeft w:val="0"/>
          <w:marRight w:val="0"/>
          <w:marTop w:val="0"/>
          <w:marBottom w:val="0"/>
          <w:divBdr>
            <w:top w:val="none" w:sz="0" w:space="0" w:color="auto"/>
            <w:left w:val="none" w:sz="0" w:space="0" w:color="auto"/>
            <w:bottom w:val="none" w:sz="0" w:space="0" w:color="auto"/>
            <w:right w:val="none" w:sz="0" w:space="0" w:color="auto"/>
          </w:divBdr>
        </w:div>
        <w:div w:id="718283345">
          <w:marLeft w:val="0"/>
          <w:marRight w:val="0"/>
          <w:marTop w:val="0"/>
          <w:marBottom w:val="0"/>
          <w:divBdr>
            <w:top w:val="none" w:sz="0" w:space="0" w:color="auto"/>
            <w:left w:val="none" w:sz="0" w:space="0" w:color="auto"/>
            <w:bottom w:val="none" w:sz="0" w:space="0" w:color="auto"/>
            <w:right w:val="none" w:sz="0" w:space="0" w:color="auto"/>
          </w:divBdr>
        </w:div>
        <w:div w:id="160512242">
          <w:marLeft w:val="0"/>
          <w:marRight w:val="0"/>
          <w:marTop w:val="0"/>
          <w:marBottom w:val="0"/>
          <w:divBdr>
            <w:top w:val="none" w:sz="0" w:space="0" w:color="auto"/>
            <w:left w:val="none" w:sz="0" w:space="0" w:color="auto"/>
            <w:bottom w:val="none" w:sz="0" w:space="0" w:color="auto"/>
            <w:right w:val="none" w:sz="0" w:space="0" w:color="auto"/>
          </w:divBdr>
        </w:div>
        <w:div w:id="762804445">
          <w:marLeft w:val="0"/>
          <w:marRight w:val="0"/>
          <w:marTop w:val="0"/>
          <w:marBottom w:val="0"/>
          <w:divBdr>
            <w:top w:val="none" w:sz="0" w:space="0" w:color="auto"/>
            <w:left w:val="none" w:sz="0" w:space="0" w:color="auto"/>
            <w:bottom w:val="none" w:sz="0" w:space="0" w:color="auto"/>
            <w:right w:val="none" w:sz="0" w:space="0" w:color="auto"/>
          </w:divBdr>
        </w:div>
        <w:div w:id="1504662858">
          <w:marLeft w:val="0"/>
          <w:marRight w:val="0"/>
          <w:marTop w:val="0"/>
          <w:marBottom w:val="0"/>
          <w:divBdr>
            <w:top w:val="none" w:sz="0" w:space="0" w:color="auto"/>
            <w:left w:val="none" w:sz="0" w:space="0" w:color="auto"/>
            <w:bottom w:val="none" w:sz="0" w:space="0" w:color="auto"/>
            <w:right w:val="none" w:sz="0" w:space="0" w:color="auto"/>
          </w:divBdr>
        </w:div>
        <w:div w:id="363597461">
          <w:marLeft w:val="0"/>
          <w:marRight w:val="0"/>
          <w:marTop w:val="0"/>
          <w:marBottom w:val="0"/>
          <w:divBdr>
            <w:top w:val="none" w:sz="0" w:space="0" w:color="auto"/>
            <w:left w:val="none" w:sz="0" w:space="0" w:color="auto"/>
            <w:bottom w:val="none" w:sz="0" w:space="0" w:color="auto"/>
            <w:right w:val="none" w:sz="0" w:space="0" w:color="auto"/>
          </w:divBdr>
        </w:div>
        <w:div w:id="2088308091">
          <w:marLeft w:val="0"/>
          <w:marRight w:val="0"/>
          <w:marTop w:val="0"/>
          <w:marBottom w:val="0"/>
          <w:divBdr>
            <w:top w:val="none" w:sz="0" w:space="0" w:color="auto"/>
            <w:left w:val="none" w:sz="0" w:space="0" w:color="auto"/>
            <w:bottom w:val="none" w:sz="0" w:space="0" w:color="auto"/>
            <w:right w:val="none" w:sz="0" w:space="0" w:color="auto"/>
          </w:divBdr>
        </w:div>
        <w:div w:id="573124921">
          <w:marLeft w:val="0"/>
          <w:marRight w:val="0"/>
          <w:marTop w:val="0"/>
          <w:marBottom w:val="0"/>
          <w:divBdr>
            <w:top w:val="none" w:sz="0" w:space="0" w:color="auto"/>
            <w:left w:val="none" w:sz="0" w:space="0" w:color="auto"/>
            <w:bottom w:val="none" w:sz="0" w:space="0" w:color="auto"/>
            <w:right w:val="none" w:sz="0" w:space="0" w:color="auto"/>
          </w:divBdr>
        </w:div>
      </w:divsChild>
    </w:div>
    <w:div w:id="516389389">
      <w:bodyDiv w:val="1"/>
      <w:marLeft w:val="0"/>
      <w:marRight w:val="0"/>
      <w:marTop w:val="0"/>
      <w:marBottom w:val="0"/>
      <w:divBdr>
        <w:top w:val="none" w:sz="0" w:space="0" w:color="auto"/>
        <w:left w:val="none" w:sz="0" w:space="0" w:color="auto"/>
        <w:bottom w:val="none" w:sz="0" w:space="0" w:color="auto"/>
        <w:right w:val="none" w:sz="0" w:space="0" w:color="auto"/>
      </w:divBdr>
      <w:divsChild>
        <w:div w:id="412163651">
          <w:marLeft w:val="0"/>
          <w:marRight w:val="0"/>
          <w:marTop w:val="0"/>
          <w:marBottom w:val="0"/>
          <w:divBdr>
            <w:top w:val="none" w:sz="0" w:space="0" w:color="auto"/>
            <w:left w:val="none" w:sz="0" w:space="0" w:color="auto"/>
            <w:bottom w:val="none" w:sz="0" w:space="0" w:color="auto"/>
            <w:right w:val="none" w:sz="0" w:space="0" w:color="auto"/>
          </w:divBdr>
        </w:div>
        <w:div w:id="187376399">
          <w:marLeft w:val="0"/>
          <w:marRight w:val="0"/>
          <w:marTop w:val="0"/>
          <w:marBottom w:val="0"/>
          <w:divBdr>
            <w:top w:val="none" w:sz="0" w:space="0" w:color="auto"/>
            <w:left w:val="none" w:sz="0" w:space="0" w:color="auto"/>
            <w:bottom w:val="none" w:sz="0" w:space="0" w:color="auto"/>
            <w:right w:val="none" w:sz="0" w:space="0" w:color="auto"/>
          </w:divBdr>
        </w:div>
        <w:div w:id="417407653">
          <w:marLeft w:val="0"/>
          <w:marRight w:val="0"/>
          <w:marTop w:val="0"/>
          <w:marBottom w:val="0"/>
          <w:divBdr>
            <w:top w:val="none" w:sz="0" w:space="0" w:color="auto"/>
            <w:left w:val="none" w:sz="0" w:space="0" w:color="auto"/>
            <w:bottom w:val="none" w:sz="0" w:space="0" w:color="auto"/>
            <w:right w:val="none" w:sz="0" w:space="0" w:color="auto"/>
          </w:divBdr>
        </w:div>
        <w:div w:id="874856032">
          <w:marLeft w:val="0"/>
          <w:marRight w:val="0"/>
          <w:marTop w:val="0"/>
          <w:marBottom w:val="0"/>
          <w:divBdr>
            <w:top w:val="none" w:sz="0" w:space="0" w:color="auto"/>
            <w:left w:val="none" w:sz="0" w:space="0" w:color="auto"/>
            <w:bottom w:val="none" w:sz="0" w:space="0" w:color="auto"/>
            <w:right w:val="none" w:sz="0" w:space="0" w:color="auto"/>
          </w:divBdr>
        </w:div>
        <w:div w:id="349528016">
          <w:marLeft w:val="0"/>
          <w:marRight w:val="0"/>
          <w:marTop w:val="0"/>
          <w:marBottom w:val="0"/>
          <w:divBdr>
            <w:top w:val="none" w:sz="0" w:space="0" w:color="auto"/>
            <w:left w:val="none" w:sz="0" w:space="0" w:color="auto"/>
            <w:bottom w:val="none" w:sz="0" w:space="0" w:color="auto"/>
            <w:right w:val="none" w:sz="0" w:space="0" w:color="auto"/>
          </w:divBdr>
        </w:div>
        <w:div w:id="1262690415">
          <w:marLeft w:val="0"/>
          <w:marRight w:val="0"/>
          <w:marTop w:val="0"/>
          <w:marBottom w:val="0"/>
          <w:divBdr>
            <w:top w:val="none" w:sz="0" w:space="0" w:color="auto"/>
            <w:left w:val="none" w:sz="0" w:space="0" w:color="auto"/>
            <w:bottom w:val="none" w:sz="0" w:space="0" w:color="auto"/>
            <w:right w:val="none" w:sz="0" w:space="0" w:color="auto"/>
          </w:divBdr>
        </w:div>
        <w:div w:id="1432319215">
          <w:marLeft w:val="0"/>
          <w:marRight w:val="0"/>
          <w:marTop w:val="0"/>
          <w:marBottom w:val="0"/>
          <w:divBdr>
            <w:top w:val="none" w:sz="0" w:space="0" w:color="auto"/>
            <w:left w:val="none" w:sz="0" w:space="0" w:color="auto"/>
            <w:bottom w:val="none" w:sz="0" w:space="0" w:color="auto"/>
            <w:right w:val="none" w:sz="0" w:space="0" w:color="auto"/>
          </w:divBdr>
        </w:div>
        <w:div w:id="563032945">
          <w:marLeft w:val="0"/>
          <w:marRight w:val="0"/>
          <w:marTop w:val="0"/>
          <w:marBottom w:val="0"/>
          <w:divBdr>
            <w:top w:val="none" w:sz="0" w:space="0" w:color="auto"/>
            <w:left w:val="none" w:sz="0" w:space="0" w:color="auto"/>
            <w:bottom w:val="none" w:sz="0" w:space="0" w:color="auto"/>
            <w:right w:val="none" w:sz="0" w:space="0" w:color="auto"/>
          </w:divBdr>
        </w:div>
        <w:div w:id="118231436">
          <w:marLeft w:val="0"/>
          <w:marRight w:val="0"/>
          <w:marTop w:val="0"/>
          <w:marBottom w:val="0"/>
          <w:divBdr>
            <w:top w:val="none" w:sz="0" w:space="0" w:color="auto"/>
            <w:left w:val="none" w:sz="0" w:space="0" w:color="auto"/>
            <w:bottom w:val="none" w:sz="0" w:space="0" w:color="auto"/>
            <w:right w:val="none" w:sz="0" w:space="0" w:color="auto"/>
          </w:divBdr>
        </w:div>
        <w:div w:id="993144970">
          <w:marLeft w:val="0"/>
          <w:marRight w:val="0"/>
          <w:marTop w:val="0"/>
          <w:marBottom w:val="0"/>
          <w:divBdr>
            <w:top w:val="none" w:sz="0" w:space="0" w:color="auto"/>
            <w:left w:val="none" w:sz="0" w:space="0" w:color="auto"/>
            <w:bottom w:val="none" w:sz="0" w:space="0" w:color="auto"/>
            <w:right w:val="none" w:sz="0" w:space="0" w:color="auto"/>
          </w:divBdr>
        </w:div>
        <w:div w:id="1129477051">
          <w:marLeft w:val="0"/>
          <w:marRight w:val="0"/>
          <w:marTop w:val="0"/>
          <w:marBottom w:val="0"/>
          <w:divBdr>
            <w:top w:val="none" w:sz="0" w:space="0" w:color="auto"/>
            <w:left w:val="none" w:sz="0" w:space="0" w:color="auto"/>
            <w:bottom w:val="none" w:sz="0" w:space="0" w:color="auto"/>
            <w:right w:val="none" w:sz="0" w:space="0" w:color="auto"/>
          </w:divBdr>
        </w:div>
        <w:div w:id="2076201047">
          <w:marLeft w:val="0"/>
          <w:marRight w:val="0"/>
          <w:marTop w:val="0"/>
          <w:marBottom w:val="0"/>
          <w:divBdr>
            <w:top w:val="none" w:sz="0" w:space="0" w:color="auto"/>
            <w:left w:val="none" w:sz="0" w:space="0" w:color="auto"/>
            <w:bottom w:val="none" w:sz="0" w:space="0" w:color="auto"/>
            <w:right w:val="none" w:sz="0" w:space="0" w:color="auto"/>
          </w:divBdr>
        </w:div>
        <w:div w:id="1075474090">
          <w:marLeft w:val="0"/>
          <w:marRight w:val="0"/>
          <w:marTop w:val="0"/>
          <w:marBottom w:val="0"/>
          <w:divBdr>
            <w:top w:val="none" w:sz="0" w:space="0" w:color="auto"/>
            <w:left w:val="none" w:sz="0" w:space="0" w:color="auto"/>
            <w:bottom w:val="none" w:sz="0" w:space="0" w:color="auto"/>
            <w:right w:val="none" w:sz="0" w:space="0" w:color="auto"/>
          </w:divBdr>
        </w:div>
        <w:div w:id="97334479">
          <w:marLeft w:val="0"/>
          <w:marRight w:val="0"/>
          <w:marTop w:val="0"/>
          <w:marBottom w:val="0"/>
          <w:divBdr>
            <w:top w:val="none" w:sz="0" w:space="0" w:color="auto"/>
            <w:left w:val="none" w:sz="0" w:space="0" w:color="auto"/>
            <w:bottom w:val="none" w:sz="0" w:space="0" w:color="auto"/>
            <w:right w:val="none" w:sz="0" w:space="0" w:color="auto"/>
          </w:divBdr>
        </w:div>
        <w:div w:id="2126347772">
          <w:marLeft w:val="0"/>
          <w:marRight w:val="0"/>
          <w:marTop w:val="0"/>
          <w:marBottom w:val="0"/>
          <w:divBdr>
            <w:top w:val="none" w:sz="0" w:space="0" w:color="auto"/>
            <w:left w:val="none" w:sz="0" w:space="0" w:color="auto"/>
            <w:bottom w:val="none" w:sz="0" w:space="0" w:color="auto"/>
            <w:right w:val="none" w:sz="0" w:space="0" w:color="auto"/>
          </w:divBdr>
        </w:div>
        <w:div w:id="1217664755">
          <w:marLeft w:val="0"/>
          <w:marRight w:val="0"/>
          <w:marTop w:val="0"/>
          <w:marBottom w:val="0"/>
          <w:divBdr>
            <w:top w:val="none" w:sz="0" w:space="0" w:color="auto"/>
            <w:left w:val="none" w:sz="0" w:space="0" w:color="auto"/>
            <w:bottom w:val="none" w:sz="0" w:space="0" w:color="auto"/>
            <w:right w:val="none" w:sz="0" w:space="0" w:color="auto"/>
          </w:divBdr>
        </w:div>
        <w:div w:id="1992636569">
          <w:marLeft w:val="0"/>
          <w:marRight w:val="0"/>
          <w:marTop w:val="0"/>
          <w:marBottom w:val="0"/>
          <w:divBdr>
            <w:top w:val="none" w:sz="0" w:space="0" w:color="auto"/>
            <w:left w:val="none" w:sz="0" w:space="0" w:color="auto"/>
            <w:bottom w:val="none" w:sz="0" w:space="0" w:color="auto"/>
            <w:right w:val="none" w:sz="0" w:space="0" w:color="auto"/>
          </w:divBdr>
        </w:div>
        <w:div w:id="1752583642">
          <w:marLeft w:val="0"/>
          <w:marRight w:val="0"/>
          <w:marTop w:val="0"/>
          <w:marBottom w:val="0"/>
          <w:divBdr>
            <w:top w:val="none" w:sz="0" w:space="0" w:color="auto"/>
            <w:left w:val="none" w:sz="0" w:space="0" w:color="auto"/>
            <w:bottom w:val="none" w:sz="0" w:space="0" w:color="auto"/>
            <w:right w:val="none" w:sz="0" w:space="0" w:color="auto"/>
          </w:divBdr>
        </w:div>
        <w:div w:id="914238344">
          <w:marLeft w:val="0"/>
          <w:marRight w:val="0"/>
          <w:marTop w:val="0"/>
          <w:marBottom w:val="0"/>
          <w:divBdr>
            <w:top w:val="none" w:sz="0" w:space="0" w:color="auto"/>
            <w:left w:val="none" w:sz="0" w:space="0" w:color="auto"/>
            <w:bottom w:val="none" w:sz="0" w:space="0" w:color="auto"/>
            <w:right w:val="none" w:sz="0" w:space="0" w:color="auto"/>
          </w:divBdr>
        </w:div>
        <w:div w:id="664405134">
          <w:marLeft w:val="0"/>
          <w:marRight w:val="0"/>
          <w:marTop w:val="0"/>
          <w:marBottom w:val="0"/>
          <w:divBdr>
            <w:top w:val="none" w:sz="0" w:space="0" w:color="auto"/>
            <w:left w:val="none" w:sz="0" w:space="0" w:color="auto"/>
            <w:bottom w:val="none" w:sz="0" w:space="0" w:color="auto"/>
            <w:right w:val="none" w:sz="0" w:space="0" w:color="auto"/>
          </w:divBdr>
        </w:div>
        <w:div w:id="1343240628">
          <w:marLeft w:val="0"/>
          <w:marRight w:val="0"/>
          <w:marTop w:val="0"/>
          <w:marBottom w:val="0"/>
          <w:divBdr>
            <w:top w:val="none" w:sz="0" w:space="0" w:color="auto"/>
            <w:left w:val="none" w:sz="0" w:space="0" w:color="auto"/>
            <w:bottom w:val="none" w:sz="0" w:space="0" w:color="auto"/>
            <w:right w:val="none" w:sz="0" w:space="0" w:color="auto"/>
          </w:divBdr>
        </w:div>
        <w:div w:id="991174771">
          <w:marLeft w:val="0"/>
          <w:marRight w:val="0"/>
          <w:marTop w:val="0"/>
          <w:marBottom w:val="0"/>
          <w:divBdr>
            <w:top w:val="none" w:sz="0" w:space="0" w:color="auto"/>
            <w:left w:val="none" w:sz="0" w:space="0" w:color="auto"/>
            <w:bottom w:val="none" w:sz="0" w:space="0" w:color="auto"/>
            <w:right w:val="none" w:sz="0" w:space="0" w:color="auto"/>
          </w:divBdr>
        </w:div>
        <w:div w:id="1869290598">
          <w:marLeft w:val="0"/>
          <w:marRight w:val="0"/>
          <w:marTop w:val="0"/>
          <w:marBottom w:val="0"/>
          <w:divBdr>
            <w:top w:val="none" w:sz="0" w:space="0" w:color="auto"/>
            <w:left w:val="none" w:sz="0" w:space="0" w:color="auto"/>
            <w:bottom w:val="none" w:sz="0" w:space="0" w:color="auto"/>
            <w:right w:val="none" w:sz="0" w:space="0" w:color="auto"/>
          </w:divBdr>
        </w:div>
        <w:div w:id="38475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379F6FB-DEDD-494A-8628-E0E785E6C3C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535</Words>
  <Characters>2731</Characters>
  <Application>Microsoft Office Word</Application>
  <DocSecurity>0</DocSecurity>
  <Lines>109</Lines>
  <Paragraphs>51</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 Sidhu (DTF)</dc:creator>
  <cp:keywords/>
  <dc:description/>
  <cp:lastModifiedBy>Nav Sidhu (DTF)</cp:lastModifiedBy>
  <cp:revision>5</cp:revision>
  <dcterms:created xsi:type="dcterms:W3CDTF">2025-11-23T22:24:00Z</dcterms:created>
  <dcterms:modified xsi:type="dcterms:W3CDTF">2025-11-23T22:26:00Z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e3d5751,13d3932e,71fb0edd</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2025-11-23T22:25:41Z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ff0ce95c-ec69-4196-8ea2-4cd88c6ee20a</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