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800D5" w14:textId="77777777" w:rsidR="00DD3AD0" w:rsidRPr="00DD3AD0" w:rsidRDefault="00DD3AD0" w:rsidP="00DD3AD0">
      <w:pPr>
        <w:pStyle w:val="Title"/>
        <w:spacing w:after="600"/>
        <w:rPr>
          <w:lang w:val="en-US"/>
        </w:rPr>
      </w:pPr>
      <w:r w:rsidRPr="00DD3AD0">
        <w:rPr>
          <w:lang w:val="en-US"/>
        </w:rPr>
        <w:t>Victoria’s Bushfire Management Snapshot</w:t>
      </w:r>
    </w:p>
    <w:p w14:paraId="6D249A95" w14:textId="77777777" w:rsidR="00DD3AD0" w:rsidRPr="00DD3AD0" w:rsidRDefault="00DD3AD0" w:rsidP="00511322">
      <w:pPr>
        <w:pStyle w:val="Subtitle"/>
        <w:spacing w:after="0"/>
        <w:rPr>
          <w:lang w:val="en-US"/>
        </w:rPr>
      </w:pPr>
      <w:r w:rsidRPr="00DD3AD0">
        <w:rPr>
          <w:lang w:val="en-US"/>
        </w:rPr>
        <w:t>An overview of activities delivered in 2024-25</w:t>
      </w:r>
    </w:p>
    <w:p w14:paraId="29C81D14" w14:textId="304B309A" w:rsidR="007968FE" w:rsidRDefault="00DD3AD0" w:rsidP="00511322">
      <w:pPr>
        <w:pStyle w:val="Subtitle"/>
        <w:spacing w:after="600"/>
        <w:rPr>
          <w:lang w:val="en-US"/>
        </w:rPr>
      </w:pPr>
      <w:r w:rsidRPr="00DD3AD0">
        <w:rPr>
          <w:lang w:val="en-US"/>
        </w:rPr>
        <w:t>A broad range of actions that deliver on Victoria’s Bushfire Management Strategy</w:t>
      </w:r>
    </w:p>
    <w:p w14:paraId="20504891" w14:textId="216C46BB" w:rsidR="00DD3AD0" w:rsidRPr="00DD3AD0" w:rsidRDefault="00DD3AD0" w:rsidP="00DD3AD0">
      <w:pPr>
        <w:pStyle w:val="BodyText"/>
      </w:pPr>
      <w:r w:rsidRPr="00DD3AD0">
        <w:t>This Snapshot primarily provides information from Forest Fire Management Victoria (FFMVic), the Country Fire Authority (CFA) and Fire Rescue Victoria (FRV), however many other agencies also contribute to bushfire management across Victoria.</w:t>
      </w:r>
    </w:p>
    <w:p w14:paraId="7D1044F4" w14:textId="77777777" w:rsidR="00A51AD4" w:rsidRDefault="00A51AD4" w:rsidP="00DD3AD0">
      <w:pPr>
        <w:pStyle w:val="TOAHeading"/>
        <w:pageBreakBefore/>
      </w:pPr>
      <w:r>
        <w:lastRenderedPageBreak/>
        <w:t>Table of Contents</w:t>
      </w:r>
    </w:p>
    <w:p w14:paraId="1FAFA5B5" w14:textId="227514DB"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r>
        <w:rPr>
          <w:rFonts w:cstheme="majorHAnsi"/>
          <w:sz w:val="28"/>
        </w:rPr>
        <w:fldChar w:fldCharType="begin"/>
      </w:r>
      <w:r>
        <w:rPr>
          <w:rFonts w:cstheme="majorHAnsi"/>
          <w:sz w:val="28"/>
        </w:rPr>
        <w:instrText xml:space="preserve"> TOC \o "1-2" \h \z \u </w:instrText>
      </w:r>
      <w:r>
        <w:rPr>
          <w:rFonts w:cstheme="majorHAnsi"/>
          <w:sz w:val="28"/>
        </w:rPr>
        <w:fldChar w:fldCharType="separate"/>
      </w:r>
      <w:hyperlink w:anchor="_Toc215566503" w:history="1">
        <w:r w:rsidRPr="00AE3CAF">
          <w:rPr>
            <w:rStyle w:val="Hyperlink"/>
            <w:noProof/>
          </w:rPr>
          <w:t>People and community safety</w:t>
        </w:r>
        <w:r>
          <w:rPr>
            <w:noProof/>
            <w:webHidden/>
          </w:rPr>
          <w:tab/>
        </w:r>
        <w:r>
          <w:rPr>
            <w:noProof/>
            <w:webHidden/>
          </w:rPr>
          <w:fldChar w:fldCharType="begin"/>
        </w:r>
        <w:r>
          <w:rPr>
            <w:noProof/>
            <w:webHidden/>
          </w:rPr>
          <w:instrText xml:space="preserve"> PAGEREF _Toc215566503 \h </w:instrText>
        </w:r>
        <w:r>
          <w:rPr>
            <w:noProof/>
            <w:webHidden/>
          </w:rPr>
        </w:r>
        <w:r>
          <w:rPr>
            <w:noProof/>
            <w:webHidden/>
          </w:rPr>
          <w:fldChar w:fldCharType="separate"/>
        </w:r>
        <w:r w:rsidR="00716480">
          <w:rPr>
            <w:noProof/>
            <w:webHidden/>
          </w:rPr>
          <w:t>3</w:t>
        </w:r>
        <w:r>
          <w:rPr>
            <w:noProof/>
            <w:webHidden/>
          </w:rPr>
          <w:fldChar w:fldCharType="end"/>
        </w:r>
      </w:hyperlink>
    </w:p>
    <w:p w14:paraId="3074D491" w14:textId="29A6A62C"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04" w:history="1">
        <w:r w:rsidRPr="00AE3CAF">
          <w:rPr>
            <w:rStyle w:val="Hyperlink"/>
            <w:noProof/>
          </w:rPr>
          <w:t>Prevention and mitigation</w:t>
        </w:r>
        <w:r>
          <w:rPr>
            <w:noProof/>
            <w:webHidden/>
          </w:rPr>
          <w:tab/>
        </w:r>
        <w:r>
          <w:rPr>
            <w:noProof/>
            <w:webHidden/>
          </w:rPr>
          <w:fldChar w:fldCharType="begin"/>
        </w:r>
        <w:r>
          <w:rPr>
            <w:noProof/>
            <w:webHidden/>
          </w:rPr>
          <w:instrText xml:space="preserve"> PAGEREF _Toc215566504 \h </w:instrText>
        </w:r>
        <w:r>
          <w:rPr>
            <w:noProof/>
            <w:webHidden/>
          </w:rPr>
        </w:r>
        <w:r>
          <w:rPr>
            <w:noProof/>
            <w:webHidden/>
          </w:rPr>
          <w:fldChar w:fldCharType="separate"/>
        </w:r>
        <w:r w:rsidR="00716480">
          <w:rPr>
            <w:noProof/>
            <w:webHidden/>
          </w:rPr>
          <w:t>3</w:t>
        </w:r>
        <w:r>
          <w:rPr>
            <w:noProof/>
            <w:webHidden/>
          </w:rPr>
          <w:fldChar w:fldCharType="end"/>
        </w:r>
      </w:hyperlink>
    </w:p>
    <w:p w14:paraId="0D0B80EA" w14:textId="66556DC5"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05" w:history="1">
        <w:r w:rsidRPr="00AE3CAF">
          <w:rPr>
            <w:rStyle w:val="Hyperlink"/>
            <w:noProof/>
          </w:rPr>
          <w:t>Response</w:t>
        </w:r>
        <w:r>
          <w:rPr>
            <w:noProof/>
            <w:webHidden/>
          </w:rPr>
          <w:tab/>
        </w:r>
        <w:r>
          <w:rPr>
            <w:noProof/>
            <w:webHidden/>
          </w:rPr>
          <w:fldChar w:fldCharType="begin"/>
        </w:r>
        <w:r>
          <w:rPr>
            <w:noProof/>
            <w:webHidden/>
          </w:rPr>
          <w:instrText xml:space="preserve"> PAGEREF _Toc215566505 \h </w:instrText>
        </w:r>
        <w:r>
          <w:rPr>
            <w:noProof/>
            <w:webHidden/>
          </w:rPr>
        </w:r>
        <w:r>
          <w:rPr>
            <w:noProof/>
            <w:webHidden/>
          </w:rPr>
          <w:fldChar w:fldCharType="separate"/>
        </w:r>
        <w:r w:rsidR="00716480">
          <w:rPr>
            <w:noProof/>
            <w:webHidden/>
          </w:rPr>
          <w:t>4</w:t>
        </w:r>
        <w:r>
          <w:rPr>
            <w:noProof/>
            <w:webHidden/>
          </w:rPr>
          <w:fldChar w:fldCharType="end"/>
        </w:r>
      </w:hyperlink>
    </w:p>
    <w:p w14:paraId="0D5D5A5E" w14:textId="033D2767"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06" w:history="1">
        <w:r w:rsidRPr="00AE3CAF">
          <w:rPr>
            <w:rStyle w:val="Hyperlink"/>
            <w:noProof/>
          </w:rPr>
          <w:t>Fuel management</w:t>
        </w:r>
        <w:r>
          <w:rPr>
            <w:noProof/>
            <w:webHidden/>
          </w:rPr>
          <w:tab/>
        </w:r>
        <w:r>
          <w:rPr>
            <w:noProof/>
            <w:webHidden/>
          </w:rPr>
          <w:fldChar w:fldCharType="begin"/>
        </w:r>
        <w:r>
          <w:rPr>
            <w:noProof/>
            <w:webHidden/>
          </w:rPr>
          <w:instrText xml:space="preserve"> PAGEREF _Toc215566506 \h </w:instrText>
        </w:r>
        <w:r>
          <w:rPr>
            <w:noProof/>
            <w:webHidden/>
          </w:rPr>
        </w:r>
        <w:r>
          <w:rPr>
            <w:noProof/>
            <w:webHidden/>
          </w:rPr>
          <w:fldChar w:fldCharType="separate"/>
        </w:r>
        <w:r w:rsidR="00716480">
          <w:rPr>
            <w:noProof/>
            <w:webHidden/>
          </w:rPr>
          <w:t>4</w:t>
        </w:r>
        <w:r>
          <w:rPr>
            <w:noProof/>
            <w:webHidden/>
          </w:rPr>
          <w:fldChar w:fldCharType="end"/>
        </w:r>
      </w:hyperlink>
    </w:p>
    <w:p w14:paraId="516074F4" w14:textId="6B4D9B59"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hyperlink w:anchor="_Toc215566507" w:history="1">
        <w:r w:rsidRPr="00AE3CAF">
          <w:rPr>
            <w:rStyle w:val="Hyperlink"/>
            <w:noProof/>
          </w:rPr>
          <w:t>Aboriginal self-determination in cultural fire and bushfire management</w:t>
        </w:r>
        <w:r>
          <w:rPr>
            <w:noProof/>
            <w:webHidden/>
          </w:rPr>
          <w:tab/>
        </w:r>
        <w:r>
          <w:rPr>
            <w:noProof/>
            <w:webHidden/>
          </w:rPr>
          <w:fldChar w:fldCharType="begin"/>
        </w:r>
        <w:r>
          <w:rPr>
            <w:noProof/>
            <w:webHidden/>
          </w:rPr>
          <w:instrText xml:space="preserve"> PAGEREF _Toc215566507 \h </w:instrText>
        </w:r>
        <w:r>
          <w:rPr>
            <w:noProof/>
            <w:webHidden/>
          </w:rPr>
        </w:r>
        <w:r>
          <w:rPr>
            <w:noProof/>
            <w:webHidden/>
          </w:rPr>
          <w:fldChar w:fldCharType="separate"/>
        </w:r>
        <w:r w:rsidR="00716480">
          <w:rPr>
            <w:noProof/>
            <w:webHidden/>
          </w:rPr>
          <w:t>6</w:t>
        </w:r>
        <w:r>
          <w:rPr>
            <w:noProof/>
            <w:webHidden/>
          </w:rPr>
          <w:fldChar w:fldCharType="end"/>
        </w:r>
      </w:hyperlink>
    </w:p>
    <w:p w14:paraId="7C73A64E" w14:textId="07FD622F"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08" w:history="1">
        <w:r w:rsidRPr="00AE3CAF">
          <w:rPr>
            <w:rStyle w:val="Hyperlink"/>
            <w:noProof/>
          </w:rPr>
          <w:t>Cultural burns</w:t>
        </w:r>
        <w:r>
          <w:rPr>
            <w:noProof/>
            <w:webHidden/>
          </w:rPr>
          <w:tab/>
        </w:r>
        <w:r>
          <w:rPr>
            <w:noProof/>
            <w:webHidden/>
          </w:rPr>
          <w:fldChar w:fldCharType="begin"/>
        </w:r>
        <w:r>
          <w:rPr>
            <w:noProof/>
            <w:webHidden/>
          </w:rPr>
          <w:instrText xml:space="preserve"> PAGEREF _Toc215566508 \h </w:instrText>
        </w:r>
        <w:r>
          <w:rPr>
            <w:noProof/>
            <w:webHidden/>
          </w:rPr>
        </w:r>
        <w:r>
          <w:rPr>
            <w:noProof/>
            <w:webHidden/>
          </w:rPr>
          <w:fldChar w:fldCharType="separate"/>
        </w:r>
        <w:r w:rsidR="00716480">
          <w:rPr>
            <w:noProof/>
            <w:webHidden/>
          </w:rPr>
          <w:t>6</w:t>
        </w:r>
        <w:r>
          <w:rPr>
            <w:noProof/>
            <w:webHidden/>
          </w:rPr>
          <w:fldChar w:fldCharType="end"/>
        </w:r>
      </w:hyperlink>
    </w:p>
    <w:p w14:paraId="7BBFED3A" w14:textId="567477E2"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hyperlink w:anchor="_Toc215566509" w:history="1">
        <w:r w:rsidRPr="00AE3CAF">
          <w:rPr>
            <w:rStyle w:val="Hyperlink"/>
            <w:noProof/>
          </w:rPr>
          <w:t>Ecosystem resilience and nature conservation</w:t>
        </w:r>
        <w:r>
          <w:rPr>
            <w:noProof/>
            <w:webHidden/>
          </w:rPr>
          <w:tab/>
        </w:r>
        <w:r>
          <w:rPr>
            <w:noProof/>
            <w:webHidden/>
          </w:rPr>
          <w:fldChar w:fldCharType="begin"/>
        </w:r>
        <w:r>
          <w:rPr>
            <w:noProof/>
            <w:webHidden/>
          </w:rPr>
          <w:instrText xml:space="preserve"> PAGEREF _Toc215566509 \h </w:instrText>
        </w:r>
        <w:r>
          <w:rPr>
            <w:noProof/>
            <w:webHidden/>
          </w:rPr>
        </w:r>
        <w:r>
          <w:rPr>
            <w:noProof/>
            <w:webHidden/>
          </w:rPr>
          <w:fldChar w:fldCharType="separate"/>
        </w:r>
        <w:r w:rsidR="00716480">
          <w:rPr>
            <w:noProof/>
            <w:webHidden/>
          </w:rPr>
          <w:t>7</w:t>
        </w:r>
        <w:r>
          <w:rPr>
            <w:noProof/>
            <w:webHidden/>
          </w:rPr>
          <w:fldChar w:fldCharType="end"/>
        </w:r>
      </w:hyperlink>
    </w:p>
    <w:p w14:paraId="0CFCC3AF" w14:textId="11C22C2A"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10" w:history="1">
        <w:r w:rsidRPr="00AE3CAF">
          <w:rPr>
            <w:rStyle w:val="Hyperlink"/>
            <w:noProof/>
          </w:rPr>
          <w:t>Ecosystem resilience</w:t>
        </w:r>
        <w:r>
          <w:rPr>
            <w:noProof/>
            <w:webHidden/>
          </w:rPr>
          <w:tab/>
        </w:r>
        <w:r>
          <w:rPr>
            <w:noProof/>
            <w:webHidden/>
          </w:rPr>
          <w:fldChar w:fldCharType="begin"/>
        </w:r>
        <w:r>
          <w:rPr>
            <w:noProof/>
            <w:webHidden/>
          </w:rPr>
          <w:instrText xml:space="preserve"> PAGEREF _Toc215566510 \h </w:instrText>
        </w:r>
        <w:r>
          <w:rPr>
            <w:noProof/>
            <w:webHidden/>
          </w:rPr>
        </w:r>
        <w:r>
          <w:rPr>
            <w:noProof/>
            <w:webHidden/>
          </w:rPr>
          <w:fldChar w:fldCharType="separate"/>
        </w:r>
        <w:r w:rsidR="00716480">
          <w:rPr>
            <w:noProof/>
            <w:webHidden/>
          </w:rPr>
          <w:t>7</w:t>
        </w:r>
        <w:r>
          <w:rPr>
            <w:noProof/>
            <w:webHidden/>
          </w:rPr>
          <w:fldChar w:fldCharType="end"/>
        </w:r>
      </w:hyperlink>
    </w:p>
    <w:p w14:paraId="57EBBC8E" w14:textId="637FE6C9"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hyperlink w:anchor="_Toc215566511" w:history="1">
        <w:r w:rsidRPr="00AE3CAF">
          <w:rPr>
            <w:rStyle w:val="Hyperlink"/>
            <w:noProof/>
          </w:rPr>
          <w:t>Seasonal Bushfire Outlook</w:t>
        </w:r>
        <w:r>
          <w:rPr>
            <w:noProof/>
            <w:webHidden/>
          </w:rPr>
          <w:tab/>
        </w:r>
        <w:r>
          <w:rPr>
            <w:noProof/>
            <w:webHidden/>
          </w:rPr>
          <w:fldChar w:fldCharType="begin"/>
        </w:r>
        <w:r>
          <w:rPr>
            <w:noProof/>
            <w:webHidden/>
          </w:rPr>
          <w:instrText xml:space="preserve"> PAGEREF _Toc215566511 \h </w:instrText>
        </w:r>
        <w:r>
          <w:rPr>
            <w:noProof/>
            <w:webHidden/>
          </w:rPr>
        </w:r>
        <w:r>
          <w:rPr>
            <w:noProof/>
            <w:webHidden/>
          </w:rPr>
          <w:fldChar w:fldCharType="separate"/>
        </w:r>
        <w:r w:rsidR="00716480">
          <w:rPr>
            <w:noProof/>
            <w:webHidden/>
          </w:rPr>
          <w:t>8</w:t>
        </w:r>
        <w:r>
          <w:rPr>
            <w:noProof/>
            <w:webHidden/>
          </w:rPr>
          <w:fldChar w:fldCharType="end"/>
        </w:r>
      </w:hyperlink>
    </w:p>
    <w:p w14:paraId="09AD8555" w14:textId="02E73FAC"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hyperlink w:anchor="_Toc215566512" w:history="1">
        <w:r w:rsidRPr="00AE3CAF">
          <w:rPr>
            <w:rStyle w:val="Hyperlink"/>
            <w:noProof/>
          </w:rPr>
          <w:t>Enhanced capability and capacity</w:t>
        </w:r>
        <w:r>
          <w:rPr>
            <w:noProof/>
            <w:webHidden/>
          </w:rPr>
          <w:tab/>
        </w:r>
        <w:r>
          <w:rPr>
            <w:noProof/>
            <w:webHidden/>
          </w:rPr>
          <w:fldChar w:fldCharType="begin"/>
        </w:r>
        <w:r>
          <w:rPr>
            <w:noProof/>
            <w:webHidden/>
          </w:rPr>
          <w:instrText xml:space="preserve"> PAGEREF _Toc215566512 \h </w:instrText>
        </w:r>
        <w:r>
          <w:rPr>
            <w:noProof/>
            <w:webHidden/>
          </w:rPr>
        </w:r>
        <w:r>
          <w:rPr>
            <w:noProof/>
            <w:webHidden/>
          </w:rPr>
          <w:fldChar w:fldCharType="separate"/>
        </w:r>
        <w:r w:rsidR="00716480">
          <w:rPr>
            <w:noProof/>
            <w:webHidden/>
          </w:rPr>
          <w:t>8</w:t>
        </w:r>
        <w:r>
          <w:rPr>
            <w:noProof/>
            <w:webHidden/>
          </w:rPr>
          <w:fldChar w:fldCharType="end"/>
        </w:r>
      </w:hyperlink>
    </w:p>
    <w:p w14:paraId="60E0B703" w14:textId="30DEB36A"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13" w:history="1">
        <w:r w:rsidRPr="00AE3CAF">
          <w:rPr>
            <w:rStyle w:val="Hyperlink"/>
            <w:noProof/>
          </w:rPr>
          <w:t>How we’ve prepared for summer 2025-26</w:t>
        </w:r>
        <w:r>
          <w:rPr>
            <w:noProof/>
            <w:webHidden/>
          </w:rPr>
          <w:tab/>
        </w:r>
        <w:r>
          <w:rPr>
            <w:noProof/>
            <w:webHidden/>
          </w:rPr>
          <w:fldChar w:fldCharType="begin"/>
        </w:r>
        <w:r>
          <w:rPr>
            <w:noProof/>
            <w:webHidden/>
          </w:rPr>
          <w:instrText xml:space="preserve"> PAGEREF _Toc215566513 \h </w:instrText>
        </w:r>
        <w:r>
          <w:rPr>
            <w:noProof/>
            <w:webHidden/>
          </w:rPr>
        </w:r>
        <w:r>
          <w:rPr>
            <w:noProof/>
            <w:webHidden/>
          </w:rPr>
          <w:fldChar w:fldCharType="separate"/>
        </w:r>
        <w:r w:rsidR="00716480">
          <w:rPr>
            <w:noProof/>
            <w:webHidden/>
          </w:rPr>
          <w:t>8</w:t>
        </w:r>
        <w:r>
          <w:rPr>
            <w:noProof/>
            <w:webHidden/>
          </w:rPr>
          <w:fldChar w:fldCharType="end"/>
        </w:r>
      </w:hyperlink>
    </w:p>
    <w:p w14:paraId="27D9E394" w14:textId="0A2430AB"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hyperlink w:anchor="_Toc215566514" w:history="1">
        <w:r w:rsidRPr="00AE3CAF">
          <w:rPr>
            <w:rStyle w:val="Hyperlink"/>
            <w:noProof/>
          </w:rPr>
          <w:t>Five things you can do to reduce bushfire risk</w:t>
        </w:r>
        <w:r>
          <w:rPr>
            <w:noProof/>
            <w:webHidden/>
          </w:rPr>
          <w:tab/>
        </w:r>
        <w:r>
          <w:rPr>
            <w:noProof/>
            <w:webHidden/>
          </w:rPr>
          <w:fldChar w:fldCharType="begin"/>
        </w:r>
        <w:r>
          <w:rPr>
            <w:noProof/>
            <w:webHidden/>
          </w:rPr>
          <w:instrText xml:space="preserve"> PAGEREF _Toc215566514 \h </w:instrText>
        </w:r>
        <w:r>
          <w:rPr>
            <w:noProof/>
            <w:webHidden/>
          </w:rPr>
        </w:r>
        <w:r>
          <w:rPr>
            <w:noProof/>
            <w:webHidden/>
          </w:rPr>
          <w:fldChar w:fldCharType="separate"/>
        </w:r>
        <w:r w:rsidR="00716480">
          <w:rPr>
            <w:noProof/>
            <w:webHidden/>
          </w:rPr>
          <w:t>9</w:t>
        </w:r>
        <w:r>
          <w:rPr>
            <w:noProof/>
            <w:webHidden/>
          </w:rPr>
          <w:fldChar w:fldCharType="end"/>
        </w:r>
      </w:hyperlink>
    </w:p>
    <w:p w14:paraId="6CFC7769" w14:textId="279A467A"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hyperlink w:anchor="_Toc215566515" w:history="1">
        <w:r w:rsidRPr="00AE3CAF">
          <w:rPr>
            <w:rStyle w:val="Hyperlink"/>
            <w:noProof/>
          </w:rPr>
          <w:t>Victoria’s Bushfire Management Snapshot</w:t>
        </w:r>
        <w:r>
          <w:rPr>
            <w:noProof/>
            <w:webHidden/>
          </w:rPr>
          <w:tab/>
        </w:r>
        <w:r>
          <w:rPr>
            <w:noProof/>
            <w:webHidden/>
          </w:rPr>
          <w:fldChar w:fldCharType="begin"/>
        </w:r>
        <w:r>
          <w:rPr>
            <w:noProof/>
            <w:webHidden/>
          </w:rPr>
          <w:instrText xml:space="preserve"> PAGEREF _Toc215566515 \h </w:instrText>
        </w:r>
        <w:r>
          <w:rPr>
            <w:noProof/>
            <w:webHidden/>
          </w:rPr>
        </w:r>
        <w:r>
          <w:rPr>
            <w:noProof/>
            <w:webHidden/>
          </w:rPr>
          <w:fldChar w:fldCharType="separate"/>
        </w:r>
        <w:r w:rsidR="00716480">
          <w:rPr>
            <w:noProof/>
            <w:webHidden/>
          </w:rPr>
          <w:t>10</w:t>
        </w:r>
        <w:r>
          <w:rPr>
            <w:noProof/>
            <w:webHidden/>
          </w:rPr>
          <w:fldChar w:fldCharType="end"/>
        </w:r>
      </w:hyperlink>
    </w:p>
    <w:p w14:paraId="2C7DDE66" w14:textId="4B90CE53"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hyperlink w:anchor="_Toc215566516" w:history="1">
        <w:r w:rsidRPr="00AE3CAF">
          <w:rPr>
            <w:rStyle w:val="Hyperlink"/>
            <w:noProof/>
          </w:rPr>
          <w:t>How we manage bushfire risk</w:t>
        </w:r>
        <w:r>
          <w:rPr>
            <w:noProof/>
            <w:webHidden/>
          </w:rPr>
          <w:tab/>
        </w:r>
        <w:r>
          <w:rPr>
            <w:noProof/>
            <w:webHidden/>
          </w:rPr>
          <w:fldChar w:fldCharType="begin"/>
        </w:r>
        <w:r>
          <w:rPr>
            <w:noProof/>
            <w:webHidden/>
          </w:rPr>
          <w:instrText xml:space="preserve"> PAGEREF _Toc215566516 \h </w:instrText>
        </w:r>
        <w:r>
          <w:rPr>
            <w:noProof/>
            <w:webHidden/>
          </w:rPr>
        </w:r>
        <w:r>
          <w:rPr>
            <w:noProof/>
            <w:webHidden/>
          </w:rPr>
          <w:fldChar w:fldCharType="separate"/>
        </w:r>
        <w:r w:rsidR="00716480">
          <w:rPr>
            <w:noProof/>
            <w:webHidden/>
          </w:rPr>
          <w:t>12</w:t>
        </w:r>
        <w:r>
          <w:rPr>
            <w:noProof/>
            <w:webHidden/>
          </w:rPr>
          <w:fldChar w:fldCharType="end"/>
        </w:r>
      </w:hyperlink>
    </w:p>
    <w:p w14:paraId="73C9AE11" w14:textId="257E483D"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hyperlink w:anchor="_Toc215566517" w:history="1">
        <w:r w:rsidRPr="00AE3CAF">
          <w:rPr>
            <w:rStyle w:val="Hyperlink"/>
            <w:noProof/>
          </w:rPr>
          <w:t>We all have a role to play managing bushfire risk</w:t>
        </w:r>
        <w:r>
          <w:rPr>
            <w:noProof/>
            <w:webHidden/>
          </w:rPr>
          <w:tab/>
        </w:r>
        <w:r>
          <w:rPr>
            <w:noProof/>
            <w:webHidden/>
          </w:rPr>
          <w:fldChar w:fldCharType="begin"/>
        </w:r>
        <w:r>
          <w:rPr>
            <w:noProof/>
            <w:webHidden/>
          </w:rPr>
          <w:instrText xml:space="preserve"> PAGEREF _Toc215566517 \h </w:instrText>
        </w:r>
        <w:r>
          <w:rPr>
            <w:noProof/>
            <w:webHidden/>
          </w:rPr>
        </w:r>
        <w:r>
          <w:rPr>
            <w:noProof/>
            <w:webHidden/>
          </w:rPr>
          <w:fldChar w:fldCharType="separate"/>
        </w:r>
        <w:r w:rsidR="00716480">
          <w:rPr>
            <w:noProof/>
            <w:webHidden/>
          </w:rPr>
          <w:t>14</w:t>
        </w:r>
        <w:r>
          <w:rPr>
            <w:noProof/>
            <w:webHidden/>
          </w:rPr>
          <w:fldChar w:fldCharType="end"/>
        </w:r>
      </w:hyperlink>
    </w:p>
    <w:p w14:paraId="1B27B92A" w14:textId="141BD894"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18" w:history="1">
        <w:r w:rsidRPr="00AE3CAF">
          <w:rPr>
            <w:rStyle w:val="Hyperlink"/>
            <w:noProof/>
          </w:rPr>
          <w:t>Prevention and mitigation</w:t>
        </w:r>
        <w:r>
          <w:rPr>
            <w:noProof/>
            <w:webHidden/>
          </w:rPr>
          <w:tab/>
        </w:r>
        <w:r>
          <w:rPr>
            <w:noProof/>
            <w:webHidden/>
          </w:rPr>
          <w:fldChar w:fldCharType="begin"/>
        </w:r>
        <w:r>
          <w:rPr>
            <w:noProof/>
            <w:webHidden/>
          </w:rPr>
          <w:instrText xml:space="preserve"> PAGEREF _Toc215566518 \h </w:instrText>
        </w:r>
        <w:r>
          <w:rPr>
            <w:noProof/>
            <w:webHidden/>
          </w:rPr>
        </w:r>
        <w:r>
          <w:rPr>
            <w:noProof/>
            <w:webHidden/>
          </w:rPr>
          <w:fldChar w:fldCharType="separate"/>
        </w:r>
        <w:r w:rsidR="00716480">
          <w:rPr>
            <w:noProof/>
            <w:webHidden/>
          </w:rPr>
          <w:t>14</w:t>
        </w:r>
        <w:r>
          <w:rPr>
            <w:noProof/>
            <w:webHidden/>
          </w:rPr>
          <w:fldChar w:fldCharType="end"/>
        </w:r>
      </w:hyperlink>
    </w:p>
    <w:p w14:paraId="5DF744D1" w14:textId="25F22063"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19" w:history="1">
        <w:r w:rsidRPr="00AE3CAF">
          <w:rPr>
            <w:rStyle w:val="Hyperlink"/>
            <w:noProof/>
          </w:rPr>
          <w:t>Fuel management</w:t>
        </w:r>
        <w:r>
          <w:rPr>
            <w:noProof/>
            <w:webHidden/>
          </w:rPr>
          <w:tab/>
        </w:r>
        <w:r>
          <w:rPr>
            <w:noProof/>
            <w:webHidden/>
          </w:rPr>
          <w:fldChar w:fldCharType="begin"/>
        </w:r>
        <w:r>
          <w:rPr>
            <w:noProof/>
            <w:webHidden/>
          </w:rPr>
          <w:instrText xml:space="preserve"> PAGEREF _Toc215566519 \h </w:instrText>
        </w:r>
        <w:r>
          <w:rPr>
            <w:noProof/>
            <w:webHidden/>
          </w:rPr>
        </w:r>
        <w:r>
          <w:rPr>
            <w:noProof/>
            <w:webHidden/>
          </w:rPr>
          <w:fldChar w:fldCharType="separate"/>
        </w:r>
        <w:r w:rsidR="00716480">
          <w:rPr>
            <w:noProof/>
            <w:webHidden/>
          </w:rPr>
          <w:t>14</w:t>
        </w:r>
        <w:r>
          <w:rPr>
            <w:noProof/>
            <w:webHidden/>
          </w:rPr>
          <w:fldChar w:fldCharType="end"/>
        </w:r>
      </w:hyperlink>
    </w:p>
    <w:p w14:paraId="7217E77B" w14:textId="7752242B"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20" w:history="1">
        <w:r w:rsidRPr="00AE3CAF">
          <w:rPr>
            <w:rStyle w:val="Hyperlink"/>
            <w:noProof/>
          </w:rPr>
          <w:t>Bushfire preparedness and response</w:t>
        </w:r>
        <w:r>
          <w:rPr>
            <w:noProof/>
            <w:webHidden/>
          </w:rPr>
          <w:tab/>
        </w:r>
        <w:r>
          <w:rPr>
            <w:noProof/>
            <w:webHidden/>
          </w:rPr>
          <w:fldChar w:fldCharType="begin"/>
        </w:r>
        <w:r>
          <w:rPr>
            <w:noProof/>
            <w:webHidden/>
          </w:rPr>
          <w:instrText xml:space="preserve"> PAGEREF _Toc215566520 \h </w:instrText>
        </w:r>
        <w:r>
          <w:rPr>
            <w:noProof/>
            <w:webHidden/>
          </w:rPr>
        </w:r>
        <w:r>
          <w:rPr>
            <w:noProof/>
            <w:webHidden/>
          </w:rPr>
          <w:fldChar w:fldCharType="separate"/>
        </w:r>
        <w:r w:rsidR="00716480">
          <w:rPr>
            <w:noProof/>
            <w:webHidden/>
          </w:rPr>
          <w:t>15</w:t>
        </w:r>
        <w:r>
          <w:rPr>
            <w:noProof/>
            <w:webHidden/>
          </w:rPr>
          <w:fldChar w:fldCharType="end"/>
        </w:r>
      </w:hyperlink>
    </w:p>
    <w:p w14:paraId="1A18468F" w14:textId="025A1552"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21" w:history="1">
        <w:r w:rsidRPr="00AE3CAF">
          <w:rPr>
            <w:rStyle w:val="Hyperlink"/>
            <w:noProof/>
          </w:rPr>
          <w:t>Bushfire recovery</w:t>
        </w:r>
        <w:r>
          <w:rPr>
            <w:noProof/>
            <w:webHidden/>
          </w:rPr>
          <w:tab/>
        </w:r>
        <w:r>
          <w:rPr>
            <w:noProof/>
            <w:webHidden/>
          </w:rPr>
          <w:fldChar w:fldCharType="begin"/>
        </w:r>
        <w:r>
          <w:rPr>
            <w:noProof/>
            <w:webHidden/>
          </w:rPr>
          <w:instrText xml:space="preserve"> PAGEREF _Toc215566521 \h </w:instrText>
        </w:r>
        <w:r>
          <w:rPr>
            <w:noProof/>
            <w:webHidden/>
          </w:rPr>
        </w:r>
        <w:r>
          <w:rPr>
            <w:noProof/>
            <w:webHidden/>
          </w:rPr>
          <w:fldChar w:fldCharType="separate"/>
        </w:r>
        <w:r w:rsidR="00716480">
          <w:rPr>
            <w:noProof/>
            <w:webHidden/>
          </w:rPr>
          <w:t>15</w:t>
        </w:r>
        <w:r>
          <w:rPr>
            <w:noProof/>
            <w:webHidden/>
          </w:rPr>
          <w:fldChar w:fldCharType="end"/>
        </w:r>
      </w:hyperlink>
    </w:p>
    <w:p w14:paraId="30578C94" w14:textId="2C4DDB64"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22" w:history="1">
        <w:r w:rsidRPr="00AE3CAF">
          <w:rPr>
            <w:rStyle w:val="Hyperlink"/>
            <w:noProof/>
          </w:rPr>
          <w:t>Integrating bushfire management into broader land management</w:t>
        </w:r>
        <w:r>
          <w:rPr>
            <w:noProof/>
            <w:webHidden/>
          </w:rPr>
          <w:tab/>
        </w:r>
        <w:r>
          <w:rPr>
            <w:noProof/>
            <w:webHidden/>
          </w:rPr>
          <w:fldChar w:fldCharType="begin"/>
        </w:r>
        <w:r>
          <w:rPr>
            <w:noProof/>
            <w:webHidden/>
          </w:rPr>
          <w:instrText xml:space="preserve"> PAGEREF _Toc215566522 \h </w:instrText>
        </w:r>
        <w:r>
          <w:rPr>
            <w:noProof/>
            <w:webHidden/>
          </w:rPr>
        </w:r>
        <w:r>
          <w:rPr>
            <w:noProof/>
            <w:webHidden/>
          </w:rPr>
          <w:fldChar w:fldCharType="separate"/>
        </w:r>
        <w:r w:rsidR="00716480">
          <w:rPr>
            <w:noProof/>
            <w:webHidden/>
          </w:rPr>
          <w:t>15</w:t>
        </w:r>
        <w:r>
          <w:rPr>
            <w:noProof/>
            <w:webHidden/>
          </w:rPr>
          <w:fldChar w:fldCharType="end"/>
        </w:r>
      </w:hyperlink>
    </w:p>
    <w:p w14:paraId="29B8DF30" w14:textId="3B31DD6B" w:rsidR="00185C31" w:rsidRDefault="00185C31">
      <w:pPr>
        <w:pStyle w:val="TOC2"/>
        <w:tabs>
          <w:tab w:val="right" w:leader="dot" w:pos="9628"/>
        </w:tabs>
        <w:rPr>
          <w:rFonts w:cstheme="minorBidi"/>
          <w:bCs w:val="0"/>
          <w:noProof/>
          <w:kern w:val="2"/>
          <w:szCs w:val="24"/>
          <w:lang w:eastAsia="en-GB"/>
          <w14:ligatures w14:val="standardContextual"/>
        </w:rPr>
      </w:pPr>
      <w:hyperlink w:anchor="_Toc215566523" w:history="1">
        <w:r w:rsidRPr="00AE3CAF">
          <w:rPr>
            <w:rStyle w:val="Hyperlink"/>
            <w:noProof/>
          </w:rPr>
          <w:t>Community action – five ways with fire</w:t>
        </w:r>
        <w:r>
          <w:rPr>
            <w:noProof/>
            <w:webHidden/>
          </w:rPr>
          <w:tab/>
        </w:r>
        <w:r>
          <w:rPr>
            <w:noProof/>
            <w:webHidden/>
          </w:rPr>
          <w:fldChar w:fldCharType="begin"/>
        </w:r>
        <w:r>
          <w:rPr>
            <w:noProof/>
            <w:webHidden/>
          </w:rPr>
          <w:instrText xml:space="preserve"> PAGEREF _Toc215566523 \h </w:instrText>
        </w:r>
        <w:r>
          <w:rPr>
            <w:noProof/>
            <w:webHidden/>
          </w:rPr>
        </w:r>
        <w:r>
          <w:rPr>
            <w:noProof/>
            <w:webHidden/>
          </w:rPr>
          <w:fldChar w:fldCharType="separate"/>
        </w:r>
        <w:r w:rsidR="00716480">
          <w:rPr>
            <w:noProof/>
            <w:webHidden/>
          </w:rPr>
          <w:t>16</w:t>
        </w:r>
        <w:r>
          <w:rPr>
            <w:noProof/>
            <w:webHidden/>
          </w:rPr>
          <w:fldChar w:fldCharType="end"/>
        </w:r>
      </w:hyperlink>
    </w:p>
    <w:p w14:paraId="3456EA9D" w14:textId="6C5C2CF5" w:rsidR="00185C31" w:rsidRDefault="00185C31">
      <w:pPr>
        <w:pStyle w:val="TOC1"/>
        <w:tabs>
          <w:tab w:val="right" w:leader="dot" w:pos="9628"/>
        </w:tabs>
        <w:rPr>
          <w:rFonts w:asciiTheme="minorHAnsi" w:hAnsiTheme="minorHAnsi" w:cstheme="minorBidi"/>
          <w:b w:val="0"/>
          <w:bCs w:val="0"/>
          <w:noProof/>
          <w:kern w:val="2"/>
          <w:lang w:eastAsia="en-GB"/>
          <w14:ligatures w14:val="standardContextual"/>
        </w:rPr>
      </w:pPr>
      <w:hyperlink w:anchor="_Toc215566524" w:history="1">
        <w:r w:rsidRPr="00AE3CAF">
          <w:rPr>
            <w:rStyle w:val="Hyperlink"/>
            <w:noProof/>
          </w:rPr>
          <w:t>Publication information</w:t>
        </w:r>
        <w:r>
          <w:rPr>
            <w:noProof/>
            <w:webHidden/>
          </w:rPr>
          <w:tab/>
        </w:r>
        <w:r>
          <w:rPr>
            <w:noProof/>
            <w:webHidden/>
          </w:rPr>
          <w:fldChar w:fldCharType="begin"/>
        </w:r>
        <w:r>
          <w:rPr>
            <w:noProof/>
            <w:webHidden/>
          </w:rPr>
          <w:instrText xml:space="preserve"> PAGEREF _Toc215566524 \h </w:instrText>
        </w:r>
        <w:r>
          <w:rPr>
            <w:noProof/>
            <w:webHidden/>
          </w:rPr>
        </w:r>
        <w:r>
          <w:rPr>
            <w:noProof/>
            <w:webHidden/>
          </w:rPr>
          <w:fldChar w:fldCharType="separate"/>
        </w:r>
        <w:r w:rsidR="00716480">
          <w:rPr>
            <w:noProof/>
            <w:webHidden/>
          </w:rPr>
          <w:t>18</w:t>
        </w:r>
        <w:r>
          <w:rPr>
            <w:noProof/>
            <w:webHidden/>
          </w:rPr>
          <w:fldChar w:fldCharType="end"/>
        </w:r>
      </w:hyperlink>
    </w:p>
    <w:p w14:paraId="06D4131D" w14:textId="283AD3A9" w:rsidR="00B165A7" w:rsidRDefault="00185C31">
      <w:pPr>
        <w:suppressAutoHyphens w:val="0"/>
        <w:spacing w:after="160"/>
        <w:rPr>
          <w:rFonts w:asciiTheme="majorHAnsi" w:hAnsiTheme="majorHAnsi" w:cstheme="majorHAnsi"/>
          <w:szCs w:val="24"/>
        </w:rPr>
        <w:sectPr w:rsidR="00B165A7" w:rsidSect="00EB277B">
          <w:footerReference w:type="even" r:id="rId8"/>
          <w:footerReference w:type="default" r:id="rId9"/>
          <w:pgSz w:w="11906" w:h="16838"/>
          <w:pgMar w:top="1134" w:right="1134" w:bottom="1134" w:left="1134" w:header="720" w:footer="454" w:gutter="0"/>
          <w:cols w:space="720"/>
          <w:noEndnote/>
          <w:docGrid w:linePitch="326"/>
        </w:sectPr>
      </w:pPr>
      <w:r>
        <w:rPr>
          <w:rFonts w:asciiTheme="majorHAnsi" w:hAnsiTheme="majorHAnsi" w:cstheme="majorHAnsi"/>
          <w:sz w:val="28"/>
          <w:szCs w:val="24"/>
        </w:rPr>
        <w:fldChar w:fldCharType="end"/>
      </w:r>
    </w:p>
    <w:p w14:paraId="10EDFC01" w14:textId="425096A0" w:rsidR="00BE0BA2" w:rsidRPr="00BE0BA2" w:rsidRDefault="008857D7" w:rsidP="00716480">
      <w:pPr>
        <w:pStyle w:val="Heading1"/>
        <w:spacing w:after="120"/>
      </w:pPr>
      <w:bookmarkStart w:id="0" w:name="_Toc215566503"/>
      <w:r w:rsidRPr="008857D7">
        <w:lastRenderedPageBreak/>
        <w:t>People and community safety</w:t>
      </w:r>
      <w:bookmarkEnd w:id="0"/>
    </w:p>
    <w:p w14:paraId="14E97C3F" w14:textId="6DA69355" w:rsidR="00885AAB" w:rsidRDefault="008857D7" w:rsidP="00A600CA">
      <w:pPr>
        <w:pStyle w:val="Heading2"/>
        <w:spacing w:after="240"/>
      </w:pPr>
      <w:bookmarkStart w:id="1" w:name="_Toc215566504"/>
      <w:r w:rsidRPr="008857D7">
        <w:t>Prevention and mitigation</w:t>
      </w:r>
      <w:bookmarkEnd w:id="1"/>
    </w:p>
    <w:p w14:paraId="0543A5BE" w14:textId="7BC7AD05" w:rsidR="008857D7" w:rsidRDefault="00C856FB" w:rsidP="00A600CA">
      <w:pPr>
        <w:pStyle w:val="ListBullet"/>
        <w:spacing w:before="140" w:after="40"/>
      </w:pPr>
      <w:r w:rsidRPr="00410F0C">
        <w:rPr>
          <w:b/>
          <w:bCs/>
        </w:rPr>
        <w:t>425 unattended campfires detected</w:t>
      </w:r>
      <w:r>
        <w:br/>
      </w:r>
      <w:r w:rsidRPr="00C856FB">
        <w:t>FFMVic responds to unattended campfires to help prevent accidental ignitions.</w:t>
      </w:r>
    </w:p>
    <w:p w14:paraId="26CA0977" w14:textId="7D51D3E6" w:rsidR="00C856FB" w:rsidRPr="00410F0C" w:rsidRDefault="00C856FB" w:rsidP="00A600CA">
      <w:pPr>
        <w:pStyle w:val="ListBullet"/>
        <w:spacing w:before="140" w:after="0"/>
        <w:rPr>
          <w:b/>
          <w:bCs/>
        </w:rPr>
      </w:pPr>
      <w:r w:rsidRPr="00410F0C">
        <w:rPr>
          <w:b/>
          <w:bCs/>
        </w:rPr>
        <w:t>14 Total Fire Ban Days Declared</w:t>
      </w:r>
    </w:p>
    <w:p w14:paraId="418250F3" w14:textId="638C34C7" w:rsidR="00C856FB" w:rsidRDefault="00C856FB" w:rsidP="00A600CA">
      <w:pPr>
        <w:pStyle w:val="ListBullet"/>
        <w:numPr>
          <w:ilvl w:val="0"/>
          <w:numId w:val="0"/>
        </w:numPr>
        <w:spacing w:after="40"/>
        <w:ind w:left="360"/>
      </w:pPr>
      <w:r>
        <w:t>Total Fire Bans help prevent fires from starting by limiting the types of fires that can be lit and restrict or impose conditions on some high-risk activities. Total fire bans are declared by the CFA across fire districts.</w:t>
      </w:r>
    </w:p>
    <w:p w14:paraId="1ED2384C" w14:textId="28E8D141" w:rsidR="00C856FB" w:rsidRPr="00410F0C" w:rsidRDefault="00C856FB" w:rsidP="00A600CA">
      <w:pPr>
        <w:pStyle w:val="ListBullet"/>
        <w:spacing w:before="140" w:after="80" w:line="360" w:lineRule="auto"/>
        <w:rPr>
          <w:b/>
          <w:bCs/>
        </w:rPr>
      </w:pPr>
      <w:r w:rsidRPr="00410F0C">
        <w:rPr>
          <w:b/>
          <w:bCs/>
        </w:rPr>
        <w:t>1,945</w:t>
      </w:r>
      <w:r w:rsidR="00410F0C" w:rsidRPr="00410F0C">
        <w:rPr>
          <w:b/>
          <w:bCs/>
        </w:rPr>
        <w:t xml:space="preserve"> </w:t>
      </w:r>
      <w:r w:rsidRPr="00410F0C">
        <w:rPr>
          <w:b/>
          <w:bCs/>
        </w:rPr>
        <w:t>community events and informal engagement by CFA (including CFA station Open Days)</w:t>
      </w:r>
    </w:p>
    <w:p w14:paraId="4711B455" w14:textId="57B59207" w:rsidR="00C856FB" w:rsidRDefault="00C856FB" w:rsidP="00A600CA">
      <w:pPr>
        <w:pStyle w:val="ListBullet"/>
        <w:numPr>
          <w:ilvl w:val="0"/>
          <w:numId w:val="0"/>
        </w:numPr>
        <w:spacing w:after="40"/>
        <w:ind w:left="360"/>
      </w:pPr>
      <w:r>
        <w:t xml:space="preserve">Building community understanding and awareness of bushfire management is critical to keeping our communities safe. More information is available at: </w:t>
      </w:r>
      <w:hyperlink r:id="rId10" w:tooltip="Hyperlink to the Country Fire Authority (CFA) website" w:history="1">
        <w:r w:rsidRPr="00AC7A51">
          <w:rPr>
            <w:rStyle w:val="Hyperlink"/>
          </w:rPr>
          <w:t>Plan &amp; Prepare | CFA (Country Fire Authority)</w:t>
        </w:r>
      </w:hyperlink>
    </w:p>
    <w:p w14:paraId="6DC372F7" w14:textId="6544CE96" w:rsidR="00C856FB" w:rsidRPr="00410F0C" w:rsidRDefault="00C856FB" w:rsidP="00A600CA">
      <w:pPr>
        <w:pStyle w:val="ListBullet"/>
        <w:spacing w:before="140" w:after="80" w:line="360" w:lineRule="auto"/>
        <w:rPr>
          <w:b/>
          <w:bCs/>
        </w:rPr>
      </w:pPr>
      <w:r w:rsidRPr="00410F0C">
        <w:rPr>
          <w:b/>
          <w:bCs/>
        </w:rPr>
        <w:t>150 children participated in a semester-long upper primary bushfire education program</w:t>
      </w:r>
    </w:p>
    <w:p w14:paraId="175E8839" w14:textId="27AEB664" w:rsidR="00C856FB" w:rsidRDefault="00C856FB" w:rsidP="00A600CA">
      <w:pPr>
        <w:pStyle w:val="ListBullet"/>
        <w:numPr>
          <w:ilvl w:val="0"/>
          <w:numId w:val="0"/>
        </w:numPr>
        <w:spacing w:after="40"/>
        <w:ind w:left="360"/>
      </w:pPr>
      <w:r>
        <w:t xml:space="preserve">Has your family discussed their bushfire survival plan? Try this </w:t>
      </w:r>
      <w:hyperlink r:id="rId11" w:tooltip="Hyperlink to PDF document ‘CFA Bushfire Plan Leave Early (2022).pdf’" w:history="1">
        <w:r w:rsidRPr="00AC7A51">
          <w:rPr>
            <w:rStyle w:val="Hyperlink"/>
          </w:rPr>
          <w:t>template</w:t>
        </w:r>
      </w:hyperlink>
      <w:r>
        <w:t>.</w:t>
      </w:r>
    </w:p>
    <w:p w14:paraId="39DB6A03" w14:textId="7699DC76" w:rsidR="00C856FB" w:rsidRPr="00410F0C" w:rsidRDefault="00C856FB" w:rsidP="00A600CA">
      <w:pPr>
        <w:pStyle w:val="ListBullet"/>
        <w:spacing w:before="140" w:after="0"/>
        <w:rPr>
          <w:b/>
          <w:bCs/>
        </w:rPr>
      </w:pPr>
      <w:r w:rsidRPr="00410F0C">
        <w:rPr>
          <w:b/>
          <w:bCs/>
        </w:rPr>
        <w:t>4.8%</w:t>
      </w:r>
      <w:r w:rsidR="00410F0C" w:rsidRPr="00410F0C">
        <w:rPr>
          <w:b/>
          <w:bCs/>
        </w:rPr>
        <w:t xml:space="preserve"> </w:t>
      </w:r>
      <w:r w:rsidRPr="00410F0C">
        <w:rPr>
          <w:b/>
          <w:bCs/>
        </w:rPr>
        <w:t xml:space="preserve">increase in online registration for private burn-offs </w:t>
      </w:r>
    </w:p>
    <w:p w14:paraId="48E2A890" w14:textId="77777777" w:rsidR="00C856FB" w:rsidRDefault="00C856FB" w:rsidP="00A600CA">
      <w:pPr>
        <w:pStyle w:val="ListBullet"/>
        <w:numPr>
          <w:ilvl w:val="0"/>
          <w:numId w:val="0"/>
        </w:numPr>
        <w:spacing w:after="40"/>
        <w:ind w:left="360"/>
      </w:pPr>
      <w:r>
        <w:t xml:space="preserve">Victorians should be registering their burn-offs online through the </w:t>
      </w:r>
      <w:hyperlink r:id="rId12" w:tooltip="Hyperlink to Fire Permits Victoria website" w:history="1">
        <w:r w:rsidRPr="00AC7A51">
          <w:rPr>
            <w:rStyle w:val="Hyperlink"/>
          </w:rPr>
          <w:t>Fire Permits Victoria</w:t>
        </w:r>
      </w:hyperlink>
      <w:r>
        <w:t xml:space="preserve"> website to help agencies manage fire risk effectively.</w:t>
      </w:r>
    </w:p>
    <w:p w14:paraId="1FD4A652" w14:textId="2BC8EE5B" w:rsidR="00C856FB" w:rsidRPr="00410F0C" w:rsidRDefault="00C856FB" w:rsidP="00A600CA">
      <w:pPr>
        <w:pStyle w:val="ListBullet"/>
        <w:spacing w:before="140" w:after="0"/>
        <w:rPr>
          <w:b/>
          <w:bCs/>
        </w:rPr>
      </w:pPr>
      <w:r w:rsidRPr="00410F0C">
        <w:rPr>
          <w:b/>
          <w:bCs/>
        </w:rPr>
        <w:t>5,026</w:t>
      </w:r>
      <w:r w:rsidR="00410F0C" w:rsidRPr="00410F0C">
        <w:rPr>
          <w:b/>
          <w:bCs/>
        </w:rPr>
        <w:t xml:space="preserve"> </w:t>
      </w:r>
      <w:r w:rsidRPr="00410F0C">
        <w:rPr>
          <w:b/>
          <w:bCs/>
        </w:rPr>
        <w:t>online modules completed (including Bushfire Safety for Workers)</w:t>
      </w:r>
    </w:p>
    <w:p w14:paraId="3A698344" w14:textId="77777777" w:rsidR="00C856FB" w:rsidRDefault="00C856FB" w:rsidP="00A600CA">
      <w:pPr>
        <w:pStyle w:val="ListBullet"/>
        <w:numPr>
          <w:ilvl w:val="0"/>
          <w:numId w:val="0"/>
        </w:numPr>
        <w:spacing w:after="40"/>
        <w:ind w:left="360"/>
      </w:pPr>
      <w:r>
        <w:t xml:space="preserve">If you are interested in learning more, and keeping you, colleagues and community safer, these resources will help you. </w:t>
      </w:r>
      <w:hyperlink r:id="rId13" w:tooltip="Hyperlink to the Country Fire Authority (CFA) website" w:history="1">
        <w:r w:rsidRPr="00754284">
          <w:rPr>
            <w:rStyle w:val="Hyperlink"/>
          </w:rPr>
          <w:t>E-learning | CFA (Country Fire Authority)</w:t>
        </w:r>
      </w:hyperlink>
    </w:p>
    <w:p w14:paraId="3567E866" w14:textId="296D6471" w:rsidR="00C856FB" w:rsidRPr="00410F0C" w:rsidRDefault="00C856FB" w:rsidP="00A600CA">
      <w:pPr>
        <w:pStyle w:val="ListBullet"/>
        <w:spacing w:before="140" w:after="0"/>
        <w:rPr>
          <w:b/>
          <w:bCs/>
        </w:rPr>
      </w:pPr>
      <w:r w:rsidRPr="00410F0C">
        <w:rPr>
          <w:b/>
          <w:bCs/>
        </w:rPr>
        <w:t>1,135</w:t>
      </w:r>
      <w:r w:rsidR="00410F0C" w:rsidRPr="00410F0C">
        <w:rPr>
          <w:b/>
          <w:bCs/>
        </w:rPr>
        <w:t xml:space="preserve"> </w:t>
      </w:r>
      <w:r w:rsidRPr="00410F0C">
        <w:rPr>
          <w:b/>
          <w:bCs/>
        </w:rPr>
        <w:t>CFA Property Advice Visit Service assessments</w:t>
      </w:r>
    </w:p>
    <w:p w14:paraId="333ABF53" w14:textId="0D5FF22D" w:rsidR="00C856FB" w:rsidRDefault="00C856FB" w:rsidP="00410F0C">
      <w:pPr>
        <w:pStyle w:val="ListBullet"/>
        <w:numPr>
          <w:ilvl w:val="0"/>
          <w:numId w:val="0"/>
        </w:numPr>
        <w:ind w:left="360"/>
      </w:pPr>
      <w:r>
        <w:t>Providing fire safety advice to communities which live in high fire-risk areas.</w:t>
      </w:r>
    </w:p>
    <w:p w14:paraId="247D9A31" w14:textId="77777777" w:rsidR="00C856FB" w:rsidRDefault="00C856FB" w:rsidP="00C856FB">
      <w:pPr>
        <w:pStyle w:val="Heading2"/>
      </w:pPr>
      <w:bookmarkStart w:id="2" w:name="_Toc215566505"/>
      <w:r>
        <w:lastRenderedPageBreak/>
        <w:t>Response</w:t>
      </w:r>
      <w:bookmarkEnd w:id="2"/>
    </w:p>
    <w:p w14:paraId="6DAFD3E7" w14:textId="77777777" w:rsidR="00A600CA" w:rsidRDefault="00C856FB" w:rsidP="000845C5">
      <w:pPr>
        <w:pStyle w:val="ListBullet"/>
        <w:spacing w:after="0"/>
        <w:rPr>
          <w:b/>
          <w:bCs/>
        </w:rPr>
      </w:pPr>
      <w:r w:rsidRPr="00A600CA">
        <w:rPr>
          <w:b/>
          <w:bCs/>
        </w:rPr>
        <w:t>1,371</w:t>
      </w:r>
      <w:r w:rsidR="00410F0C" w:rsidRPr="00A600CA">
        <w:rPr>
          <w:b/>
          <w:bCs/>
        </w:rPr>
        <w:t xml:space="preserve"> </w:t>
      </w:r>
      <w:r w:rsidRPr="00A600CA">
        <w:rPr>
          <w:b/>
          <w:bCs/>
        </w:rPr>
        <w:t>bushfires attended by FFMVic</w:t>
      </w:r>
    </w:p>
    <w:p w14:paraId="39602F8C" w14:textId="1DEB79E4" w:rsidR="00C856FB" w:rsidRPr="00A600CA" w:rsidRDefault="00C856FB" w:rsidP="00A600CA">
      <w:pPr>
        <w:pStyle w:val="ListBullet"/>
        <w:numPr>
          <w:ilvl w:val="0"/>
          <w:numId w:val="0"/>
        </w:numPr>
        <w:spacing w:after="240"/>
        <w:ind w:left="360"/>
        <w:rPr>
          <w:b/>
          <w:bCs/>
        </w:rPr>
      </w:pPr>
      <w:r>
        <w:t xml:space="preserve">FFMVic attended bushfires impacting more than 251,730 ha. Information about bushfires attended by CFA and suppression performance is available in the </w:t>
      </w:r>
      <w:r w:rsidRPr="00754284">
        <w:rPr>
          <w:i/>
          <w:iCs/>
        </w:rPr>
        <w:t>CFA Annual Report 2024–25</w:t>
      </w:r>
      <w:r>
        <w:t>.</w:t>
      </w:r>
    </w:p>
    <w:p w14:paraId="129DC3FE" w14:textId="77777777" w:rsidR="00A600CA" w:rsidRDefault="00EF04CC" w:rsidP="000845C5">
      <w:pPr>
        <w:pStyle w:val="ListBullet"/>
        <w:spacing w:after="0"/>
        <w:rPr>
          <w:b/>
          <w:bCs/>
        </w:rPr>
      </w:pPr>
      <w:r w:rsidRPr="00A600CA">
        <w:rPr>
          <w:b/>
          <w:bCs/>
        </w:rPr>
        <w:t>83% of bushfires contained on first attack by FFMVic</w:t>
      </w:r>
    </w:p>
    <w:p w14:paraId="17837A7E" w14:textId="46AA697D" w:rsidR="00EF04CC" w:rsidRPr="00A600CA" w:rsidRDefault="00EF04CC" w:rsidP="000845C5">
      <w:pPr>
        <w:pStyle w:val="ListBullet"/>
        <w:numPr>
          <w:ilvl w:val="0"/>
          <w:numId w:val="0"/>
        </w:numPr>
        <w:spacing w:after="360"/>
        <w:ind w:left="360"/>
        <w:rPr>
          <w:b/>
          <w:bCs/>
        </w:rPr>
      </w:pPr>
      <w:r>
        <w:t>FFMVic also contained 92% of bushfires within 5 hectares, exceeding the suppression target of 80%.</w:t>
      </w:r>
    </w:p>
    <w:p w14:paraId="0F357E9A" w14:textId="2C433DBD" w:rsidR="00C856FB" w:rsidRDefault="00C856FB" w:rsidP="00EF04CC">
      <w:pPr>
        <w:pStyle w:val="Heading2"/>
      </w:pPr>
      <w:bookmarkStart w:id="3" w:name="_Toc215566506"/>
      <w:r w:rsidRPr="00C856FB">
        <w:t>Fuel management</w:t>
      </w:r>
      <w:bookmarkEnd w:id="3"/>
    </w:p>
    <w:p w14:paraId="318BC29A" w14:textId="5FD22660" w:rsidR="00EF04CC" w:rsidRPr="000845C5" w:rsidRDefault="00EF04CC" w:rsidP="000845C5">
      <w:pPr>
        <w:pStyle w:val="ListBullet"/>
        <w:spacing w:after="0"/>
        <w:rPr>
          <w:b/>
          <w:bCs/>
        </w:rPr>
      </w:pPr>
      <w:r w:rsidRPr="000845C5">
        <w:rPr>
          <w:b/>
          <w:bCs/>
        </w:rPr>
        <w:t>66%</w:t>
      </w:r>
      <w:r w:rsidR="00410F0C" w:rsidRPr="000845C5">
        <w:rPr>
          <w:b/>
          <w:bCs/>
        </w:rPr>
        <w:t xml:space="preserve"> </w:t>
      </w:r>
      <w:r w:rsidRPr="000845C5">
        <w:rPr>
          <w:b/>
          <w:bCs/>
        </w:rPr>
        <w:t>modelled fuel-driven bushfire risk</w:t>
      </w:r>
    </w:p>
    <w:p w14:paraId="7D120570" w14:textId="69136DB5" w:rsidR="00C856FB" w:rsidRDefault="00EF04CC" w:rsidP="000845C5">
      <w:pPr>
        <w:pStyle w:val="ListBullet"/>
        <w:numPr>
          <w:ilvl w:val="0"/>
          <w:numId w:val="0"/>
        </w:numPr>
        <w:spacing w:after="240"/>
        <w:ind w:left="360"/>
      </w:pPr>
      <w:r>
        <w:t xml:space="preserve">Statewide modelled fuel-driven bushfire risk was 66% on 30 June 2025, with FFMVic achieving its target to maintain risk associated with bushfire fuels at or below 70% of maximum levels. (See page </w:t>
      </w:r>
      <w:r w:rsidR="00185C31">
        <w:t>9</w:t>
      </w:r>
      <w:r>
        <w:t>)</w:t>
      </w:r>
    </w:p>
    <w:p w14:paraId="2B96B643" w14:textId="3C2DD2B4" w:rsidR="00EF04CC" w:rsidRPr="000845C5" w:rsidRDefault="00EF04CC" w:rsidP="000845C5">
      <w:pPr>
        <w:pStyle w:val="ListBullet"/>
        <w:spacing w:after="0"/>
        <w:rPr>
          <w:b/>
          <w:bCs/>
        </w:rPr>
      </w:pPr>
      <w:r w:rsidRPr="000845C5">
        <w:rPr>
          <w:b/>
          <w:bCs/>
        </w:rPr>
        <w:t xml:space="preserve">114,712 </w:t>
      </w:r>
      <w:proofErr w:type="spellStart"/>
      <w:r w:rsidRPr="000845C5">
        <w:rPr>
          <w:b/>
          <w:bCs/>
        </w:rPr>
        <w:t>ha</w:t>
      </w:r>
      <w:proofErr w:type="spellEnd"/>
      <w:r w:rsidR="00410F0C" w:rsidRPr="000845C5">
        <w:rPr>
          <w:b/>
          <w:bCs/>
        </w:rPr>
        <w:t xml:space="preserve"> </w:t>
      </w:r>
      <w:r w:rsidRPr="000845C5">
        <w:rPr>
          <w:b/>
          <w:bCs/>
        </w:rPr>
        <w:t>treated with fuel management by FFMVic and CFA</w:t>
      </w:r>
    </w:p>
    <w:p w14:paraId="7CDD9134" w14:textId="77777777" w:rsidR="00EF04CC" w:rsidRDefault="00EF04CC" w:rsidP="000845C5">
      <w:pPr>
        <w:pStyle w:val="ListBullet"/>
        <w:numPr>
          <w:ilvl w:val="0"/>
          <w:numId w:val="0"/>
        </w:numPr>
        <w:ind w:left="360"/>
      </w:pPr>
      <w:r>
        <w:t>FFMVic delivered 270 planned burns treating 92,473 ha and 951 non-burn fuel treatments (mainly slashing and mowing), treating a further 17,465 ha. The total investment in FFMVic fuel management program was $159.8 M.</w:t>
      </w:r>
    </w:p>
    <w:p w14:paraId="536178AB" w14:textId="5B67C59A" w:rsidR="00EF04CC" w:rsidRDefault="00EF04CC" w:rsidP="000845C5">
      <w:pPr>
        <w:pStyle w:val="ListBullet"/>
        <w:numPr>
          <w:ilvl w:val="0"/>
          <w:numId w:val="0"/>
        </w:numPr>
        <w:spacing w:after="240"/>
        <w:ind w:left="360"/>
      </w:pPr>
      <w:r>
        <w:t>This year CFA completed 44 mechanical fuel management treatments and volunteers completed 202 planned burns. A total of 4,774 hectares were treated.</w:t>
      </w:r>
    </w:p>
    <w:p w14:paraId="38925EED" w14:textId="22D4FE44" w:rsidR="00EF04CC" w:rsidRPr="000845C5" w:rsidRDefault="00EF04CC" w:rsidP="000845C5">
      <w:pPr>
        <w:pStyle w:val="ListBullet"/>
        <w:spacing w:after="0"/>
        <w:rPr>
          <w:b/>
          <w:bCs/>
        </w:rPr>
      </w:pPr>
      <w:r w:rsidRPr="000845C5">
        <w:rPr>
          <w:b/>
          <w:bCs/>
        </w:rPr>
        <w:t>300+</w:t>
      </w:r>
      <w:r w:rsidR="00410F0C" w:rsidRPr="000845C5">
        <w:rPr>
          <w:b/>
          <w:bCs/>
        </w:rPr>
        <w:t xml:space="preserve"> </w:t>
      </w:r>
      <w:r w:rsidRPr="000845C5">
        <w:rPr>
          <w:b/>
          <w:bCs/>
        </w:rPr>
        <w:t>CFA volunteers participated in the planned burn taskforce</w:t>
      </w:r>
    </w:p>
    <w:p w14:paraId="2D0AE03F" w14:textId="4541671A" w:rsidR="00EF04CC" w:rsidRDefault="00EF04CC" w:rsidP="000845C5">
      <w:pPr>
        <w:pStyle w:val="ListBullet"/>
        <w:numPr>
          <w:ilvl w:val="0"/>
          <w:numId w:val="0"/>
        </w:numPr>
        <w:spacing w:after="240"/>
        <w:ind w:left="360"/>
      </w:pPr>
      <w:r>
        <w:t>The taskforce supports local crews in delivery of planned burns that reduce fuel loads and the intensity of bushfires.</w:t>
      </w:r>
    </w:p>
    <w:p w14:paraId="1829A35D" w14:textId="77777777" w:rsidR="00EF04CC" w:rsidRPr="000845C5" w:rsidRDefault="00EF04CC" w:rsidP="000845C5">
      <w:pPr>
        <w:pStyle w:val="ListBullet"/>
        <w:pageBreakBefore/>
        <w:spacing w:after="0"/>
        <w:ind w:left="357" w:hanging="357"/>
        <w:rPr>
          <w:b/>
          <w:bCs/>
        </w:rPr>
      </w:pPr>
      <w:r w:rsidRPr="000845C5">
        <w:rPr>
          <w:b/>
          <w:bCs/>
        </w:rPr>
        <w:lastRenderedPageBreak/>
        <w:t>Fuel management on roadsides</w:t>
      </w:r>
    </w:p>
    <w:p w14:paraId="6EF1C3EE" w14:textId="106CF384" w:rsidR="00EF04CC" w:rsidRDefault="00EF04CC" w:rsidP="000845C5">
      <w:pPr>
        <w:pStyle w:val="ListBullet"/>
        <w:numPr>
          <w:ilvl w:val="0"/>
          <w:numId w:val="0"/>
        </w:numPr>
        <w:spacing w:after="240"/>
        <w:ind w:left="360"/>
      </w:pPr>
      <w:r>
        <w:t>The Department of Transport and Planning (DTP), councils and FFMVic with the support of CFA manage roadside vegetation on priority routes to reduce the likelihood of fires igniting and spreading, improve the safety of firefighters responding to bushfires and communities leaving the area.</w:t>
      </w:r>
    </w:p>
    <w:p w14:paraId="043E028F" w14:textId="0DEAD8C6" w:rsidR="00EF04CC" w:rsidRPr="000845C5" w:rsidRDefault="00EF04CC" w:rsidP="000845C5">
      <w:pPr>
        <w:pStyle w:val="ListBullet"/>
        <w:spacing w:after="0"/>
        <w:rPr>
          <w:b/>
          <w:bCs/>
        </w:rPr>
      </w:pPr>
      <w:r w:rsidRPr="000845C5">
        <w:rPr>
          <w:b/>
          <w:bCs/>
        </w:rPr>
        <w:t>1,072km of fuel breaks maintained</w:t>
      </w:r>
    </w:p>
    <w:p w14:paraId="6A1DC7A1" w14:textId="59F4ED1B" w:rsidR="00EF04CC" w:rsidRDefault="00EF04CC" w:rsidP="000845C5">
      <w:pPr>
        <w:pStyle w:val="ListBullet"/>
        <w:numPr>
          <w:ilvl w:val="0"/>
          <w:numId w:val="0"/>
        </w:numPr>
        <w:spacing w:after="240"/>
        <w:ind w:left="360"/>
      </w:pPr>
      <w:r>
        <w:t>FFMVic maintained more than 1,072 km of existing fuel breaks to ensure they remained fit-for-purpose and constructed an additional 6.9 km to the network. Strengthening and expanding the fuel break network is a key strategy to make it easier, faster, and safer for firefighters to suppress bushfires and complements other fuel management works.</w:t>
      </w:r>
    </w:p>
    <w:p w14:paraId="5A3AC3CE" w14:textId="7FD766FF" w:rsidR="00EF04CC" w:rsidRPr="000845C5" w:rsidRDefault="00EF04CC" w:rsidP="000845C5">
      <w:pPr>
        <w:pStyle w:val="ListBullet"/>
        <w:spacing w:after="0"/>
        <w:rPr>
          <w:b/>
          <w:bCs/>
        </w:rPr>
      </w:pPr>
      <w:r w:rsidRPr="000845C5">
        <w:rPr>
          <w:b/>
          <w:bCs/>
        </w:rPr>
        <w:t>2,236km of strategic fire access roads improved by FFMVic</w:t>
      </w:r>
    </w:p>
    <w:p w14:paraId="39C72A58" w14:textId="1B768E1B" w:rsidR="00EF04CC" w:rsidRDefault="00EF04CC" w:rsidP="000845C5">
      <w:pPr>
        <w:pStyle w:val="ListBullet"/>
        <w:numPr>
          <w:ilvl w:val="0"/>
          <w:numId w:val="0"/>
        </w:numPr>
        <w:spacing w:after="360"/>
        <w:ind w:left="360"/>
      </w:pPr>
      <w:r>
        <w:t>FFMVic also replaced or upgraded 10 bridges or crossing supporting firefighters to rapidly and safely access and suppress new bushfires.</w:t>
      </w:r>
    </w:p>
    <w:p w14:paraId="73430C77" w14:textId="28D4937D" w:rsidR="00EF04CC" w:rsidRDefault="00EF04CC" w:rsidP="00EF04CC">
      <w:pPr>
        <w:pStyle w:val="Heading1"/>
      </w:pPr>
      <w:bookmarkStart w:id="4" w:name="_Toc215566507"/>
      <w:r w:rsidRPr="00EF04CC">
        <w:t>Aboriginal self-determination in cultural fire and bushfire management</w:t>
      </w:r>
      <w:bookmarkEnd w:id="4"/>
    </w:p>
    <w:p w14:paraId="4CA188AD" w14:textId="77777777" w:rsidR="00EF04CC" w:rsidRPr="00EF04CC" w:rsidRDefault="00EF04CC" w:rsidP="00EF04CC">
      <w:pPr>
        <w:pStyle w:val="Heading2"/>
      </w:pPr>
      <w:bookmarkStart w:id="5" w:name="_Toc215566508"/>
      <w:r w:rsidRPr="00EF04CC">
        <w:t>Cultural burns</w:t>
      </w:r>
      <w:bookmarkEnd w:id="5"/>
    </w:p>
    <w:p w14:paraId="236BBA78" w14:textId="77777777" w:rsidR="000845C5" w:rsidRDefault="00EF04CC" w:rsidP="000845C5">
      <w:pPr>
        <w:pStyle w:val="ListBullet"/>
        <w:spacing w:after="0"/>
        <w:rPr>
          <w:b/>
          <w:bCs/>
        </w:rPr>
      </w:pPr>
      <w:r w:rsidRPr="000845C5">
        <w:rPr>
          <w:b/>
          <w:bCs/>
        </w:rPr>
        <w:t>31</w:t>
      </w:r>
      <w:r w:rsidR="00410F0C" w:rsidRPr="000845C5">
        <w:rPr>
          <w:b/>
          <w:bCs/>
        </w:rPr>
        <w:t xml:space="preserve"> </w:t>
      </w:r>
      <w:r w:rsidRPr="000845C5">
        <w:rPr>
          <w:b/>
          <w:bCs/>
        </w:rPr>
        <w:t>Cultural Burns were delivered in partnership</w:t>
      </w:r>
    </w:p>
    <w:p w14:paraId="012B483E" w14:textId="44FC7044" w:rsidR="00EF04CC" w:rsidRPr="000845C5" w:rsidRDefault="00EF04CC" w:rsidP="000845C5">
      <w:pPr>
        <w:pStyle w:val="ListBullet"/>
        <w:numPr>
          <w:ilvl w:val="0"/>
          <w:numId w:val="0"/>
        </w:numPr>
        <w:ind w:left="360"/>
        <w:rPr>
          <w:b/>
          <w:bCs/>
        </w:rPr>
      </w:pPr>
      <w:r w:rsidRPr="00EF04CC">
        <w:t>FFMVic and CFA partner with Victorian Traditional Owners to deliver cultural burns. This includes a record number of cultural burns (104) nominated to year 1 of the Joint Fuel Management Plan (JFMP) bringing the total number of cultural burns planned to 211.</w:t>
      </w:r>
    </w:p>
    <w:p w14:paraId="0A924CB0" w14:textId="20119CEE" w:rsidR="00EF04CC" w:rsidRDefault="00EF04CC" w:rsidP="00185C31">
      <w:pPr>
        <w:pStyle w:val="Heading1"/>
        <w:ind w:right="-143"/>
      </w:pPr>
      <w:bookmarkStart w:id="6" w:name="_Toc215566509"/>
      <w:r w:rsidRPr="00EF04CC">
        <w:lastRenderedPageBreak/>
        <w:t>Ecosystem resilience and nature conservation</w:t>
      </w:r>
      <w:bookmarkEnd w:id="6"/>
    </w:p>
    <w:p w14:paraId="7BB1F0EA" w14:textId="77777777" w:rsidR="00EF04CC" w:rsidRDefault="00EF04CC" w:rsidP="00EF04CC">
      <w:pPr>
        <w:pStyle w:val="Heading2"/>
      </w:pPr>
      <w:bookmarkStart w:id="7" w:name="_Toc215566510"/>
      <w:r>
        <w:t>Ecosystem resilience</w:t>
      </w:r>
      <w:bookmarkEnd w:id="7"/>
    </w:p>
    <w:p w14:paraId="74743FDC" w14:textId="5C9F64C4" w:rsidR="00EF04CC" w:rsidRPr="000845C5" w:rsidRDefault="00EF04CC" w:rsidP="00716480">
      <w:pPr>
        <w:pStyle w:val="ListBullet"/>
        <w:spacing w:after="240"/>
        <w:rPr>
          <w:b/>
          <w:bCs/>
        </w:rPr>
      </w:pPr>
      <w:r w:rsidRPr="000845C5">
        <w:rPr>
          <w:b/>
          <w:bCs/>
        </w:rPr>
        <w:t>29%</w:t>
      </w:r>
      <w:r w:rsidR="00410F0C" w:rsidRPr="000845C5">
        <w:rPr>
          <w:b/>
          <w:bCs/>
        </w:rPr>
        <w:t xml:space="preserve"> </w:t>
      </w:r>
      <w:r w:rsidRPr="000845C5">
        <w:rPr>
          <w:b/>
          <w:bCs/>
        </w:rPr>
        <w:t>vegetation within Tolerable Fire Interval</w:t>
      </w:r>
    </w:p>
    <w:p w14:paraId="1F1F2976" w14:textId="77777777" w:rsidR="000845C5" w:rsidRDefault="00EF04CC" w:rsidP="000845C5">
      <w:pPr>
        <w:pStyle w:val="ListBullet"/>
        <w:spacing w:after="0"/>
        <w:rPr>
          <w:b/>
          <w:bCs/>
        </w:rPr>
      </w:pPr>
      <w:r w:rsidRPr="000845C5">
        <w:rPr>
          <w:b/>
          <w:bCs/>
        </w:rPr>
        <w:t>38%</w:t>
      </w:r>
      <w:r w:rsidR="00410F0C" w:rsidRPr="000845C5">
        <w:rPr>
          <w:b/>
          <w:bCs/>
        </w:rPr>
        <w:t xml:space="preserve"> </w:t>
      </w:r>
      <w:r w:rsidRPr="000845C5">
        <w:rPr>
          <w:b/>
          <w:bCs/>
        </w:rPr>
        <w:t>vegetation in mature and old growth stages</w:t>
      </w:r>
    </w:p>
    <w:p w14:paraId="3C8742BD" w14:textId="636B1C07" w:rsidR="00EF04CC" w:rsidRPr="000845C5" w:rsidRDefault="00EF04CC" w:rsidP="000845C5">
      <w:pPr>
        <w:pStyle w:val="ListBullet"/>
        <w:numPr>
          <w:ilvl w:val="0"/>
          <w:numId w:val="0"/>
        </w:numPr>
        <w:spacing w:after="240"/>
        <w:ind w:left="360"/>
        <w:rPr>
          <w:b/>
          <w:bCs/>
        </w:rPr>
      </w:pPr>
      <w:r>
        <w:t>Vegetation on public land within its Tolerable Fire Interval (TFI) has been maintained at 29% from the previous year. Vegetation in the mature and old growth stages decreased slightly in 2024–25 (39% in 2023–24).</w:t>
      </w:r>
    </w:p>
    <w:p w14:paraId="7188B5F7" w14:textId="77777777" w:rsidR="000845C5" w:rsidRDefault="00EF04CC" w:rsidP="000845C5">
      <w:pPr>
        <w:pStyle w:val="ListBullet"/>
        <w:spacing w:after="0"/>
        <w:rPr>
          <w:b/>
          <w:bCs/>
        </w:rPr>
      </w:pPr>
      <w:r w:rsidRPr="000845C5">
        <w:rPr>
          <w:b/>
          <w:bCs/>
        </w:rPr>
        <w:t>27</w:t>
      </w:r>
      <w:r w:rsidR="00410F0C" w:rsidRPr="000845C5">
        <w:rPr>
          <w:b/>
          <w:bCs/>
        </w:rPr>
        <w:t xml:space="preserve"> </w:t>
      </w:r>
      <w:r w:rsidRPr="000845C5">
        <w:rPr>
          <w:b/>
          <w:bCs/>
        </w:rPr>
        <w:t>ecological burns delivered by FFMVic</w:t>
      </w:r>
    </w:p>
    <w:p w14:paraId="08506F42" w14:textId="65FB3763" w:rsidR="00EF04CC" w:rsidRPr="000845C5" w:rsidRDefault="00EF04CC" w:rsidP="000845C5">
      <w:pPr>
        <w:pStyle w:val="ListBullet"/>
        <w:numPr>
          <w:ilvl w:val="0"/>
          <w:numId w:val="0"/>
        </w:numPr>
        <w:ind w:left="360"/>
        <w:rPr>
          <w:b/>
          <w:bCs/>
        </w:rPr>
      </w:pPr>
      <w:r>
        <w:t>Ecological burns have a primary objective to improve the health of our ecosystems and reduce the intensity and potential destructive impacts of bushfires on our native flora and fauna.</w:t>
      </w:r>
    </w:p>
    <w:p w14:paraId="247C2A83" w14:textId="77777777" w:rsidR="00FE45FD" w:rsidRPr="00FE45FD" w:rsidRDefault="00FE45FD" w:rsidP="0062260F">
      <w:pPr>
        <w:pStyle w:val="Heading1"/>
        <w:pageBreakBefore/>
      </w:pPr>
      <w:bookmarkStart w:id="8" w:name="_Toc215566511"/>
      <w:r w:rsidRPr="00FE45FD">
        <w:lastRenderedPageBreak/>
        <w:t>Seasonal Bushfire Outlook</w:t>
      </w:r>
      <w:bookmarkEnd w:id="8"/>
    </w:p>
    <w:p w14:paraId="4A77A5C0" w14:textId="30EA3A52" w:rsidR="00FE45FD" w:rsidRDefault="00FE45FD" w:rsidP="000C32AC">
      <w:pPr>
        <w:pStyle w:val="BodyText"/>
        <w:spacing w:after="480"/>
        <w:rPr>
          <w:u w:val="thick"/>
          <w:lang w:val="en-US"/>
        </w:rPr>
      </w:pPr>
      <w:r w:rsidRPr="00FE45FD">
        <w:rPr>
          <w:lang w:val="en-US"/>
        </w:rPr>
        <w:t xml:space="preserve">Victorian bushfire agencies monitor seasonal conditions and bushfire outlooks closely and </w:t>
      </w:r>
      <w:proofErr w:type="gramStart"/>
      <w:r w:rsidRPr="00FE45FD">
        <w:rPr>
          <w:lang w:val="en-US"/>
        </w:rPr>
        <w:t>take action</w:t>
      </w:r>
      <w:proofErr w:type="gramEnd"/>
      <w:r w:rsidRPr="00FE45FD">
        <w:rPr>
          <w:lang w:val="en-US"/>
        </w:rPr>
        <w:t xml:space="preserve"> accordingly. </w:t>
      </w:r>
      <w:r w:rsidR="007034B7" w:rsidRPr="007034B7">
        <w:rPr>
          <w:lang w:val="en-US"/>
        </w:rPr>
        <w:t>The Australasian Fire and Emergency Services Authorities Council (AFAC)</w:t>
      </w:r>
      <w:r w:rsidRPr="00FE45FD">
        <w:rPr>
          <w:lang w:val="en-US"/>
        </w:rPr>
        <w:t xml:space="preserve"> has coordinated preparation of a seasonal Bushfire Outlook that identifies areas of </w:t>
      </w:r>
      <w:r w:rsidR="003E66B6">
        <w:rPr>
          <w:lang w:val="en-US"/>
        </w:rPr>
        <w:t>i</w:t>
      </w:r>
      <w:r w:rsidR="003E66B6" w:rsidRPr="003E66B6">
        <w:rPr>
          <w:lang w:val="en-US"/>
        </w:rPr>
        <w:t xml:space="preserve">ncreased risk in </w:t>
      </w:r>
      <w:proofErr w:type="gramStart"/>
      <w:r w:rsidR="003E66B6" w:rsidRPr="003E66B6">
        <w:rPr>
          <w:lang w:val="en-US"/>
        </w:rPr>
        <w:t>south west</w:t>
      </w:r>
      <w:proofErr w:type="gramEnd"/>
      <w:r w:rsidR="003E66B6" w:rsidRPr="003E66B6">
        <w:rPr>
          <w:lang w:val="en-US"/>
        </w:rPr>
        <w:t>, western, central and north-central Victoria, as well as south-west Gippsland</w:t>
      </w:r>
      <w:r w:rsidRPr="00FE45FD">
        <w:rPr>
          <w:lang w:val="en-US"/>
        </w:rPr>
        <w:t xml:space="preserve">. The seasonal outlook is available at: </w:t>
      </w:r>
      <w:hyperlink r:id="rId14" w:tooltip="Hyperlink to Australian and New Zealand Council for fire and emergency services website" w:history="1">
        <w:r w:rsidRPr="00FE45FD">
          <w:rPr>
            <w:rStyle w:val="Hyperlink"/>
            <w:lang w:val="en-US"/>
          </w:rPr>
          <w:t>AFAC Seasonal Bushfire Outlook</w:t>
        </w:r>
      </w:hyperlink>
    </w:p>
    <w:p w14:paraId="7229B24E" w14:textId="162E755A" w:rsidR="00FE45FD" w:rsidRDefault="00FE45FD" w:rsidP="000C32AC">
      <w:pPr>
        <w:pStyle w:val="Heading1"/>
        <w:spacing w:after="240"/>
      </w:pPr>
      <w:bookmarkStart w:id="9" w:name="_Toc215566512"/>
      <w:r w:rsidRPr="00FE45FD">
        <w:t>Enhanced capability and capacity</w:t>
      </w:r>
      <w:bookmarkEnd w:id="9"/>
    </w:p>
    <w:p w14:paraId="595AED9A" w14:textId="2547BAFD" w:rsidR="00FE45FD" w:rsidRDefault="00FE45FD" w:rsidP="000C32AC">
      <w:pPr>
        <w:pStyle w:val="Heading2"/>
        <w:spacing w:after="480"/>
      </w:pPr>
      <w:bookmarkStart w:id="10" w:name="_Toc215566513"/>
      <w:r w:rsidRPr="00FE45FD">
        <w:t>How we’ve prepared for summer 2025-26</w:t>
      </w:r>
      <w:bookmarkEnd w:id="10"/>
    </w:p>
    <w:p w14:paraId="53B78A8D" w14:textId="2931DEDD" w:rsidR="00FE45FD" w:rsidRPr="0062260F" w:rsidRDefault="00FE45FD" w:rsidP="000C32AC">
      <w:pPr>
        <w:pStyle w:val="ListBullet"/>
        <w:spacing w:after="240"/>
        <w:rPr>
          <w:b/>
          <w:bCs/>
        </w:rPr>
      </w:pPr>
      <w:r w:rsidRPr="0062260F">
        <w:rPr>
          <w:b/>
          <w:bCs/>
        </w:rPr>
        <w:t>28,000+ CFA volunteers (operational)</w:t>
      </w:r>
    </w:p>
    <w:p w14:paraId="1701360D" w14:textId="123F165B" w:rsidR="00FE45FD" w:rsidRPr="0062260F" w:rsidRDefault="00FE45FD" w:rsidP="000C32AC">
      <w:pPr>
        <w:pStyle w:val="ListBullet"/>
        <w:spacing w:after="240"/>
        <w:rPr>
          <w:b/>
          <w:bCs/>
        </w:rPr>
      </w:pPr>
      <w:r w:rsidRPr="0062260F">
        <w:rPr>
          <w:b/>
          <w:bCs/>
        </w:rPr>
        <w:t>1,520 Frontline FFMVic staff, supported by hundreds more emergency</w:t>
      </w:r>
      <w:r w:rsidR="0062260F">
        <w:rPr>
          <w:b/>
          <w:bCs/>
        </w:rPr>
        <w:t> </w:t>
      </w:r>
      <w:r w:rsidRPr="0062260F">
        <w:rPr>
          <w:b/>
          <w:bCs/>
        </w:rPr>
        <w:t>&amp;</w:t>
      </w:r>
      <w:r w:rsidR="0062260F">
        <w:rPr>
          <w:b/>
          <w:bCs/>
        </w:rPr>
        <w:t> </w:t>
      </w:r>
      <w:r w:rsidRPr="0062260F">
        <w:rPr>
          <w:b/>
          <w:bCs/>
        </w:rPr>
        <w:t>incident</w:t>
      </w:r>
      <w:r w:rsidR="0062260F">
        <w:rPr>
          <w:b/>
          <w:bCs/>
        </w:rPr>
        <w:t> </w:t>
      </w:r>
      <w:r w:rsidRPr="0062260F">
        <w:rPr>
          <w:b/>
          <w:bCs/>
        </w:rPr>
        <w:t>management staff</w:t>
      </w:r>
    </w:p>
    <w:p w14:paraId="45DB898A" w14:textId="75479BC8" w:rsidR="00FE45FD" w:rsidRPr="0062260F" w:rsidRDefault="00FE45FD" w:rsidP="000C32AC">
      <w:pPr>
        <w:pStyle w:val="ListBullet"/>
        <w:spacing w:after="240"/>
        <w:rPr>
          <w:b/>
          <w:bCs/>
        </w:rPr>
      </w:pPr>
      <w:r w:rsidRPr="0062260F">
        <w:rPr>
          <w:b/>
          <w:bCs/>
        </w:rPr>
        <w:t>84 Incident Controllers (Level 3) across the sector</w:t>
      </w:r>
    </w:p>
    <w:p w14:paraId="677C1574" w14:textId="77777777" w:rsidR="0062260F" w:rsidRDefault="00FE45FD" w:rsidP="0062260F">
      <w:pPr>
        <w:pStyle w:val="ListBullet"/>
        <w:spacing w:after="0"/>
        <w:rPr>
          <w:b/>
          <w:bCs/>
        </w:rPr>
      </w:pPr>
      <w:r w:rsidRPr="0062260F">
        <w:rPr>
          <w:b/>
          <w:bCs/>
        </w:rPr>
        <w:t>595</w:t>
      </w:r>
      <w:r w:rsidR="00410F0C" w:rsidRPr="0062260F">
        <w:rPr>
          <w:b/>
          <w:bCs/>
        </w:rPr>
        <w:t xml:space="preserve"> </w:t>
      </w:r>
      <w:r w:rsidRPr="0062260F">
        <w:rPr>
          <w:b/>
          <w:bCs/>
        </w:rPr>
        <w:t>FFMVic water-carrying firefighting vehicles</w:t>
      </w:r>
    </w:p>
    <w:p w14:paraId="21513E9E" w14:textId="77777777" w:rsidR="0062260F" w:rsidRDefault="00FE45FD" w:rsidP="0062260F">
      <w:pPr>
        <w:pStyle w:val="ListBullet"/>
        <w:numPr>
          <w:ilvl w:val="0"/>
          <w:numId w:val="0"/>
        </w:numPr>
        <w:ind w:left="360"/>
      </w:pPr>
      <w:r>
        <w:t>FFMVic also has 444 transport vehicles for mobilising personnel and equipment. As of 1 December, some water-carrying vehicles are offline pending repairs. Fire agencies have assessed bushfire risk and the required firefighting strategies. Sufficient vehicles will be available across the season to manage required levels of emergency preparedness when combined with firefighting strategies.</w:t>
      </w:r>
    </w:p>
    <w:p w14:paraId="51EB171F" w14:textId="7C63F23E" w:rsidR="00EF04CC" w:rsidRPr="0062260F" w:rsidRDefault="00FE45FD" w:rsidP="0062260F">
      <w:pPr>
        <w:pStyle w:val="ListBullet"/>
        <w:numPr>
          <w:ilvl w:val="0"/>
          <w:numId w:val="0"/>
        </w:numPr>
        <w:ind w:left="360"/>
        <w:rPr>
          <w:b/>
          <w:bCs/>
        </w:rPr>
      </w:pPr>
      <w:r>
        <w:t>FFMVic and CFA firefighting resources are part of Victoria’s broader bushfire response capabilities complementing resources from, Victoria State Emergency Service, Fire Rescue Victoria and Emergency Management Victoria.</w:t>
      </w:r>
    </w:p>
    <w:p w14:paraId="514B6B01" w14:textId="77777777" w:rsidR="0062260F" w:rsidRDefault="00FE45FD" w:rsidP="000C32AC">
      <w:pPr>
        <w:pStyle w:val="ListBullet"/>
        <w:pageBreakBefore/>
        <w:spacing w:after="0"/>
        <w:ind w:left="357" w:hanging="357"/>
        <w:rPr>
          <w:b/>
          <w:bCs/>
        </w:rPr>
      </w:pPr>
      <w:r w:rsidRPr="0062260F">
        <w:rPr>
          <w:b/>
          <w:bCs/>
        </w:rPr>
        <w:lastRenderedPageBreak/>
        <w:t>54</w:t>
      </w:r>
      <w:r w:rsidR="00410F0C" w:rsidRPr="0062260F">
        <w:rPr>
          <w:b/>
          <w:bCs/>
        </w:rPr>
        <w:t xml:space="preserve"> </w:t>
      </w:r>
      <w:r w:rsidRPr="0062260F">
        <w:rPr>
          <w:b/>
          <w:bCs/>
        </w:rPr>
        <w:t>Victorian contracted aircraft</w:t>
      </w:r>
    </w:p>
    <w:p w14:paraId="6C1CDA25" w14:textId="769F1DE9" w:rsidR="00FE45FD" w:rsidRPr="0062260F" w:rsidRDefault="00FE45FD" w:rsidP="00716480">
      <w:pPr>
        <w:pStyle w:val="ListBullet"/>
        <w:numPr>
          <w:ilvl w:val="0"/>
          <w:numId w:val="0"/>
        </w:numPr>
        <w:spacing w:after="240"/>
        <w:ind w:left="360"/>
        <w:rPr>
          <w:b/>
          <w:bCs/>
        </w:rPr>
      </w:pPr>
      <w:r>
        <w:t>Additionally, there are 5 National aircraft available on request and 100+ aircraft available via a call-when-needed panel of providers.</w:t>
      </w:r>
    </w:p>
    <w:p w14:paraId="430A019C" w14:textId="77777777" w:rsidR="0062260F" w:rsidRDefault="00FE45FD" w:rsidP="0062260F">
      <w:pPr>
        <w:pStyle w:val="ListBullet"/>
        <w:spacing w:after="0"/>
        <w:rPr>
          <w:b/>
          <w:bCs/>
        </w:rPr>
      </w:pPr>
      <w:r w:rsidRPr="0062260F">
        <w:rPr>
          <w:b/>
          <w:bCs/>
        </w:rPr>
        <w:t>58</w:t>
      </w:r>
      <w:r w:rsidR="00410F0C" w:rsidRPr="0062260F">
        <w:rPr>
          <w:b/>
          <w:bCs/>
        </w:rPr>
        <w:t xml:space="preserve"> </w:t>
      </w:r>
      <w:r w:rsidRPr="0062260F">
        <w:rPr>
          <w:b/>
          <w:bCs/>
        </w:rPr>
        <w:t>FFMVic bulldozers</w:t>
      </w:r>
    </w:p>
    <w:p w14:paraId="4A5D5B5B" w14:textId="7DB27A47" w:rsidR="00FE45FD" w:rsidRPr="0062260F" w:rsidRDefault="00FE45FD" w:rsidP="0062260F">
      <w:pPr>
        <w:pStyle w:val="ListBullet"/>
        <w:numPr>
          <w:ilvl w:val="0"/>
          <w:numId w:val="0"/>
        </w:numPr>
        <w:spacing w:after="240"/>
        <w:ind w:left="360"/>
        <w:rPr>
          <w:b/>
          <w:bCs/>
        </w:rPr>
      </w:pPr>
      <w:r>
        <w:t>940+ pieces of plant are available via a call-when-needed panel of providers.</w:t>
      </w:r>
    </w:p>
    <w:p w14:paraId="65923AC4" w14:textId="77777777" w:rsidR="0062260F" w:rsidRDefault="00FE45FD" w:rsidP="0062260F">
      <w:pPr>
        <w:pStyle w:val="ListBullet"/>
        <w:spacing w:after="0"/>
        <w:rPr>
          <w:b/>
          <w:bCs/>
        </w:rPr>
      </w:pPr>
      <w:r w:rsidRPr="0062260F">
        <w:rPr>
          <w:b/>
          <w:bCs/>
        </w:rPr>
        <w:t>147</w:t>
      </w:r>
      <w:r w:rsidR="00410F0C" w:rsidRPr="0062260F">
        <w:rPr>
          <w:b/>
          <w:bCs/>
        </w:rPr>
        <w:t xml:space="preserve"> </w:t>
      </w:r>
      <w:r w:rsidRPr="0062260F">
        <w:rPr>
          <w:b/>
          <w:bCs/>
        </w:rPr>
        <w:t>new CFA emergency response vehicles delivered</w:t>
      </w:r>
    </w:p>
    <w:p w14:paraId="1D6B4FD5" w14:textId="0112FC8C" w:rsidR="00FE45FD" w:rsidRPr="0062260F" w:rsidRDefault="00FE45FD" w:rsidP="0062260F">
      <w:pPr>
        <w:pStyle w:val="ListBullet"/>
        <w:numPr>
          <w:ilvl w:val="0"/>
          <w:numId w:val="0"/>
        </w:numPr>
        <w:ind w:left="360"/>
        <w:rPr>
          <w:b/>
          <w:bCs/>
        </w:rPr>
      </w:pPr>
      <w:r>
        <w:t xml:space="preserve">For information on CFA appliances and resources, visit </w:t>
      </w:r>
      <w:hyperlink r:id="rId15" w:tooltip="Hyperlink to the Country Fire Authority (CFA) website" w:history="1">
        <w:r w:rsidRPr="00754284">
          <w:rPr>
            <w:rStyle w:val="Hyperlink"/>
          </w:rPr>
          <w:t>CFA at a Glance</w:t>
        </w:r>
      </w:hyperlink>
      <w:r>
        <w:t>.</w:t>
      </w:r>
    </w:p>
    <w:p w14:paraId="2A1E6A14" w14:textId="37D18F97" w:rsidR="00FE45FD" w:rsidRPr="000C32AC" w:rsidRDefault="00FE45FD" w:rsidP="0062260F">
      <w:pPr>
        <w:pStyle w:val="BodyText"/>
        <w:spacing w:before="240"/>
        <w:rPr>
          <w:i/>
          <w:iCs/>
        </w:rPr>
      </w:pPr>
      <w:r w:rsidRPr="000C32AC">
        <w:rPr>
          <w:i/>
          <w:iCs/>
        </w:rPr>
        <w:t xml:space="preserve">Figures as </w:t>
      </w:r>
      <w:proofErr w:type="gramStart"/>
      <w:r w:rsidRPr="000C32AC">
        <w:rPr>
          <w:i/>
          <w:iCs/>
        </w:rPr>
        <w:t>at</w:t>
      </w:r>
      <w:proofErr w:type="gramEnd"/>
      <w:r w:rsidRPr="000C32AC">
        <w:rPr>
          <w:i/>
          <w:iCs/>
        </w:rPr>
        <w:t xml:space="preserve"> 1 December 2025</w:t>
      </w:r>
    </w:p>
    <w:p w14:paraId="7468CCAC" w14:textId="4855F10C" w:rsidR="00FE45FD" w:rsidRDefault="00FE45FD" w:rsidP="00185C31">
      <w:pPr>
        <w:pStyle w:val="Heading1"/>
        <w:spacing w:before="360"/>
      </w:pPr>
      <w:bookmarkStart w:id="11" w:name="_Toc215566514"/>
      <w:r w:rsidRPr="00FE45FD">
        <w:t>Five things you can do to reduce bushfire risk</w:t>
      </w:r>
      <w:bookmarkEnd w:id="11"/>
    </w:p>
    <w:p w14:paraId="48DAB83F" w14:textId="7366BD57" w:rsidR="00FE45FD" w:rsidRPr="00FE45FD" w:rsidRDefault="00FE45FD" w:rsidP="00FE45FD">
      <w:pPr>
        <w:pStyle w:val="ListBullet"/>
      </w:pPr>
      <w:r w:rsidRPr="00FE45FD">
        <w:t xml:space="preserve">Visit </w:t>
      </w:r>
      <w:hyperlink r:id="rId16" w:tooltip="Hyperlink to the fireplanner website" w:history="1">
        <w:r w:rsidRPr="004A3CD9">
          <w:rPr>
            <w:rStyle w:val="Hyperlink"/>
          </w:rPr>
          <w:t>fireplanner.vic.gov.au</w:t>
        </w:r>
      </w:hyperlink>
      <w:r w:rsidRPr="00FE45FD">
        <w:t xml:space="preserve"> to get started on a bushfire plan</w:t>
      </w:r>
    </w:p>
    <w:p w14:paraId="09DB2AD2" w14:textId="3E8E9823" w:rsidR="00FE45FD" w:rsidRPr="00FE45FD" w:rsidRDefault="00FE45FD" w:rsidP="00FE45FD">
      <w:pPr>
        <w:pStyle w:val="ListBullet"/>
      </w:pPr>
      <w:r w:rsidRPr="00FE45FD">
        <w:t xml:space="preserve">Download and get to know the </w:t>
      </w:r>
      <w:hyperlink r:id="rId17" w:tooltip="Hyperlink to VicEmergency app" w:history="1">
        <w:proofErr w:type="spellStart"/>
        <w:r w:rsidRPr="004A3CD9">
          <w:rPr>
            <w:rStyle w:val="Hyperlink"/>
          </w:rPr>
          <w:t>VicEmergency</w:t>
        </w:r>
        <w:proofErr w:type="spellEnd"/>
      </w:hyperlink>
      <w:r w:rsidRPr="00FE45FD">
        <w:t xml:space="preserve"> app</w:t>
      </w:r>
    </w:p>
    <w:p w14:paraId="38067D47" w14:textId="2BD2FC21" w:rsidR="00FE45FD" w:rsidRPr="00FE45FD" w:rsidRDefault="00FE45FD" w:rsidP="00FE45FD">
      <w:pPr>
        <w:pStyle w:val="ListBullet"/>
      </w:pPr>
      <w:r w:rsidRPr="00FE45FD">
        <w:t xml:space="preserve">Get to know the </w:t>
      </w:r>
      <w:hyperlink r:id="rId18" w:tooltip="Hyperlink to the Australian Fire Danger Ratings System website" w:history="1">
        <w:r w:rsidRPr="004A3CD9">
          <w:rPr>
            <w:rStyle w:val="Hyperlink"/>
          </w:rPr>
          <w:t>Australian Fire Danger Ratings System</w:t>
        </w:r>
      </w:hyperlink>
    </w:p>
    <w:p w14:paraId="6C00CF1A" w14:textId="677956AF" w:rsidR="00FE45FD" w:rsidRPr="00FE45FD" w:rsidRDefault="00FE45FD" w:rsidP="00FE45FD">
      <w:pPr>
        <w:pStyle w:val="ListBullet"/>
      </w:pPr>
      <w:r w:rsidRPr="00FE45FD">
        <w:t xml:space="preserve">Plan your travel – head to </w:t>
      </w:r>
      <w:hyperlink r:id="rId19" w:tooltip="Hyperlink to Department of Energy, Environment and Climate Action website" w:history="1">
        <w:r w:rsidRPr="004A3CD9">
          <w:rPr>
            <w:rStyle w:val="Hyperlink"/>
          </w:rPr>
          <w:t>exploreoutdoors.vic.gov.au</w:t>
        </w:r>
      </w:hyperlink>
      <w:r w:rsidRPr="00FE45FD">
        <w:t xml:space="preserve"> to help you stay safe when visiting state forests</w:t>
      </w:r>
    </w:p>
    <w:p w14:paraId="2B88F97C" w14:textId="76160F21" w:rsidR="00FE45FD" w:rsidRDefault="00FE45FD" w:rsidP="00FE45FD">
      <w:pPr>
        <w:pStyle w:val="ListBullet"/>
      </w:pPr>
      <w:r w:rsidRPr="00FE45FD">
        <w:t>Never leave a campfire unattended – if they are cool to touch, they are safe to leave</w:t>
      </w:r>
    </w:p>
    <w:p w14:paraId="1EE38860" w14:textId="77777777" w:rsidR="00410F0C" w:rsidRDefault="00410F0C" w:rsidP="00410F0C">
      <w:pPr>
        <w:pStyle w:val="BodyText"/>
        <w:sectPr w:rsidR="00410F0C" w:rsidSect="00EB277B">
          <w:footerReference w:type="default" r:id="rId20"/>
          <w:pgSz w:w="11906" w:h="16838"/>
          <w:pgMar w:top="1134" w:right="1134" w:bottom="1134" w:left="1134" w:header="720" w:footer="454" w:gutter="0"/>
          <w:cols w:space="720"/>
          <w:noEndnote/>
          <w:docGrid w:linePitch="326"/>
        </w:sectPr>
      </w:pPr>
    </w:p>
    <w:p w14:paraId="49875392" w14:textId="77777777" w:rsidR="0015759B" w:rsidRDefault="0015759B" w:rsidP="0015759B">
      <w:pPr>
        <w:pStyle w:val="Heading1"/>
        <w:spacing w:after="0"/>
      </w:pPr>
      <w:bookmarkStart w:id="12" w:name="_Toc215566515"/>
      <w:r>
        <w:lastRenderedPageBreak/>
        <w:t>Victoria’s Bushfire Management Snapshot</w:t>
      </w:r>
      <w:bookmarkEnd w:id="12"/>
    </w:p>
    <w:p w14:paraId="653F1D78" w14:textId="679DEB18" w:rsidR="0015759B" w:rsidRPr="0015759B" w:rsidRDefault="0015759B" w:rsidP="0015759B">
      <w:pPr>
        <w:pStyle w:val="Caption"/>
        <w:keepNext/>
        <w:rPr>
          <w:b w:val="0"/>
          <w:bCs/>
        </w:rPr>
      </w:pPr>
      <w:r w:rsidRPr="0015759B">
        <w:rPr>
          <w:b w:val="0"/>
          <w:bCs/>
        </w:rPr>
        <w:t xml:space="preserve">An overview of regional and state bushfire risk as </w:t>
      </w:r>
      <w:proofErr w:type="gramStart"/>
      <w:r w:rsidRPr="0015759B">
        <w:rPr>
          <w:b w:val="0"/>
          <w:bCs/>
        </w:rPr>
        <w:t>at</w:t>
      </w:r>
      <w:proofErr w:type="gramEnd"/>
      <w:r w:rsidRPr="0015759B">
        <w:rPr>
          <w:b w:val="0"/>
          <w:bCs/>
        </w:rPr>
        <w:t xml:space="preserve"> 30 June 2025, accounting for how bushfire and planned burning has reduced risk from maximum values</w:t>
      </w:r>
    </w:p>
    <w:p w14:paraId="7498B19B" w14:textId="330AE9E0" w:rsidR="0015759B" w:rsidRDefault="0015759B" w:rsidP="0015759B">
      <w:pPr>
        <w:pStyle w:val="Caption"/>
        <w:keepNext/>
      </w:pPr>
      <w:r>
        <w:t xml:space="preserve">Figure </w:t>
      </w:r>
      <w:fldSimple w:instr=" SEQ Figure \* ARABIC ">
        <w:r w:rsidR="00833AC1">
          <w:rPr>
            <w:noProof/>
          </w:rPr>
          <w:t>1</w:t>
        </w:r>
      </w:fldSimple>
      <w:r>
        <w:t xml:space="preserve">: </w:t>
      </w:r>
      <w:r w:rsidRPr="0015759B">
        <w:rPr>
          <w:b w:val="0"/>
          <w:bCs/>
        </w:rPr>
        <w:t>2024-25 Fuel-driven Bushfire Risk</w:t>
      </w:r>
    </w:p>
    <w:p w14:paraId="02A34C6C" w14:textId="77777777" w:rsidR="0015759B" w:rsidRDefault="0015759B" w:rsidP="0015759B">
      <w:pPr>
        <w:pStyle w:val="BodyText"/>
        <w:jc w:val="center"/>
      </w:pPr>
      <w:r>
        <w:rPr>
          <w:noProof/>
        </w:rPr>
        <w:drawing>
          <wp:inline distT="0" distB="0" distL="0" distR="0" wp14:anchorId="057B0E32" wp14:editId="1ED72934">
            <wp:extent cx="8742759" cy="4872990"/>
            <wp:effectExtent l="0" t="0" r="0" b="3810"/>
            <wp:docPr id="1937160327" name="Picture 1" descr="Map of Victoria showing 2024–25 fuel-driven bushfire risk by region. Each region is labelled with its modelled risk percentage and target. Regions above target are shaded darker. Loddon Mallee shows 71% risk against a 75% target; Grampians 73% against 70% (above target); Hume 69% against 69%; Gippsland 57% against 71%; Barwon South West 57% against 60%; Port Phillip 87% against 85% (above target). The statewide risk is 66% against a 70%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60327" name="Picture 1" descr="Map of Victoria showing 2024–25 fuel-driven bushfire risk by region. Each region is labelled with its modelled risk percentage and target. Regions above target are shaded darker. Loddon Mallee shows 71% risk against a 75% target; Grampians 73% against 70% (above target); Hume 69% against 69%; Gippsland 57% against 71%; Barwon South West 57% against 60%; Port Phillip 87% against 85% (above target). The statewide risk is 66% against a 70% target."/>
                    <pic:cNvPicPr/>
                  </pic:nvPicPr>
                  <pic:blipFill rotWithShape="1">
                    <a:blip r:embed="rId21" cstate="screen">
                      <a:extLst>
                        <a:ext uri="{28A0092B-C50C-407E-A947-70E740481C1C}">
                          <a14:useLocalDpi xmlns:a14="http://schemas.microsoft.com/office/drawing/2010/main"/>
                        </a:ext>
                      </a:extLst>
                    </a:blip>
                    <a:srcRect/>
                    <a:stretch>
                      <a:fillRect/>
                    </a:stretch>
                  </pic:blipFill>
                  <pic:spPr bwMode="auto">
                    <a:xfrm>
                      <a:off x="0" y="0"/>
                      <a:ext cx="8775275" cy="4891114"/>
                    </a:xfrm>
                    <a:prstGeom prst="rect">
                      <a:avLst/>
                    </a:prstGeom>
                    <a:ln>
                      <a:noFill/>
                    </a:ln>
                    <a:extLst>
                      <a:ext uri="{53640926-AAD7-44D8-BBD7-CCE9431645EC}">
                        <a14:shadowObscured xmlns:a14="http://schemas.microsoft.com/office/drawing/2010/main"/>
                      </a:ext>
                    </a:extLst>
                  </pic:spPr>
                </pic:pic>
              </a:graphicData>
            </a:graphic>
          </wp:inline>
        </w:drawing>
      </w:r>
    </w:p>
    <w:p w14:paraId="0A061857" w14:textId="553C26EF" w:rsidR="00B711BE" w:rsidRDefault="00B711BE" w:rsidP="00B711BE">
      <w:pPr>
        <w:pStyle w:val="Caption"/>
        <w:keepNext/>
        <w:spacing w:before="360"/>
      </w:pPr>
      <w:r>
        <w:lastRenderedPageBreak/>
        <w:t xml:space="preserve">Table </w:t>
      </w:r>
      <w:fldSimple w:instr=" SEQ Table \* ARABIC ">
        <w:r w:rsidR="00665896">
          <w:rPr>
            <w:noProof/>
          </w:rPr>
          <w:t>1</w:t>
        </w:r>
      </w:fldSimple>
      <w:r>
        <w:t xml:space="preserve">: </w:t>
      </w:r>
      <w:r w:rsidRPr="00B711BE">
        <w:rPr>
          <w:b w:val="0"/>
          <w:bCs/>
        </w:rPr>
        <w:t>Fuel-driven Bushfire Risk by Region (2024–25)</w:t>
      </w:r>
    </w:p>
    <w:tbl>
      <w:tblPr>
        <w:tblStyle w:val="Style2"/>
        <w:tblW w:w="5000" w:type="pct"/>
        <w:tblLook w:val="04A0" w:firstRow="1" w:lastRow="0" w:firstColumn="1" w:lastColumn="0" w:noHBand="0" w:noVBand="1"/>
        <w:tblCaption w:val="Fuel-driven Bushfire Risk by Region (2024–25)"/>
        <w:tblDescription w:val="Fuel-driven Bushfire Risk by Region (2024–25)"/>
      </w:tblPr>
      <w:tblGrid>
        <w:gridCol w:w="3335"/>
        <w:gridCol w:w="2613"/>
        <w:gridCol w:w="2613"/>
        <w:gridCol w:w="5989"/>
      </w:tblGrid>
      <w:tr w:rsidR="00B711BE" w:rsidRPr="00B711BE" w14:paraId="796D1D49" w14:textId="77777777" w:rsidTr="00185C31">
        <w:trPr>
          <w:cnfStyle w:val="100000000000" w:firstRow="1" w:lastRow="0" w:firstColumn="0" w:lastColumn="0" w:oddVBand="0" w:evenVBand="0" w:oddHBand="0" w:evenHBand="0" w:firstRowFirstColumn="0" w:firstRowLastColumn="0" w:lastRowFirstColumn="0" w:lastRowLastColumn="0"/>
          <w:cantSplit/>
          <w:tblHeader/>
        </w:trPr>
        <w:tc>
          <w:tcPr>
            <w:tcW w:w="1146" w:type="pct"/>
            <w:hideMark/>
          </w:tcPr>
          <w:p w14:paraId="5BF1A747" w14:textId="77777777" w:rsidR="00B711BE" w:rsidRPr="00B711BE" w:rsidRDefault="00B711BE" w:rsidP="00665896">
            <w:pPr>
              <w:pStyle w:val="Tabletext"/>
              <w:spacing w:line="240" w:lineRule="auto"/>
            </w:pPr>
            <w:r w:rsidRPr="00B711BE">
              <w:t>Region</w:t>
            </w:r>
          </w:p>
        </w:tc>
        <w:tc>
          <w:tcPr>
            <w:tcW w:w="898" w:type="pct"/>
            <w:vAlign w:val="center"/>
            <w:hideMark/>
          </w:tcPr>
          <w:p w14:paraId="60AB36DE" w14:textId="77777777" w:rsidR="00B711BE" w:rsidRPr="00B711BE" w:rsidRDefault="00B711BE" w:rsidP="00185C31">
            <w:pPr>
              <w:pStyle w:val="Tabletext"/>
              <w:spacing w:line="240" w:lineRule="auto"/>
              <w:jc w:val="center"/>
            </w:pPr>
            <w:r w:rsidRPr="00B711BE">
              <w:t>Modelled Risk (%)</w:t>
            </w:r>
          </w:p>
        </w:tc>
        <w:tc>
          <w:tcPr>
            <w:tcW w:w="898" w:type="pct"/>
            <w:vAlign w:val="center"/>
            <w:hideMark/>
          </w:tcPr>
          <w:p w14:paraId="2364C7F4" w14:textId="77777777" w:rsidR="00B711BE" w:rsidRPr="00B711BE" w:rsidRDefault="00B711BE" w:rsidP="00185C31">
            <w:pPr>
              <w:pStyle w:val="Tabletext"/>
              <w:spacing w:line="240" w:lineRule="auto"/>
              <w:jc w:val="center"/>
            </w:pPr>
            <w:r w:rsidRPr="00B711BE">
              <w:t>Target (%)</w:t>
            </w:r>
          </w:p>
        </w:tc>
        <w:tc>
          <w:tcPr>
            <w:tcW w:w="2058" w:type="pct"/>
            <w:hideMark/>
          </w:tcPr>
          <w:p w14:paraId="6C57A54B" w14:textId="77777777" w:rsidR="00B711BE" w:rsidRPr="00B711BE" w:rsidRDefault="00B711BE" w:rsidP="00665896">
            <w:pPr>
              <w:pStyle w:val="Tabletext"/>
              <w:spacing w:line="240" w:lineRule="auto"/>
            </w:pPr>
            <w:r w:rsidRPr="00B711BE">
              <w:t>Status (Above / At or Below Target)</w:t>
            </w:r>
          </w:p>
        </w:tc>
      </w:tr>
      <w:tr w:rsidR="00B711BE" w:rsidRPr="00B711BE" w14:paraId="7A88E018" w14:textId="77777777" w:rsidTr="00185C31">
        <w:trPr>
          <w:trHeight w:val="567"/>
        </w:trPr>
        <w:tc>
          <w:tcPr>
            <w:tcW w:w="1146" w:type="pct"/>
            <w:vAlign w:val="center"/>
            <w:hideMark/>
          </w:tcPr>
          <w:p w14:paraId="6A098110" w14:textId="77777777" w:rsidR="00B711BE" w:rsidRPr="00B711BE" w:rsidRDefault="00B711BE" w:rsidP="00185C31">
            <w:pPr>
              <w:pStyle w:val="Tabletext"/>
              <w:spacing w:line="240" w:lineRule="auto"/>
            </w:pPr>
            <w:r w:rsidRPr="00B711BE">
              <w:t>Loddon Mallee</w:t>
            </w:r>
          </w:p>
        </w:tc>
        <w:tc>
          <w:tcPr>
            <w:tcW w:w="898" w:type="pct"/>
            <w:vAlign w:val="center"/>
            <w:hideMark/>
          </w:tcPr>
          <w:p w14:paraId="09A93349" w14:textId="77777777" w:rsidR="00B711BE" w:rsidRPr="00B711BE" w:rsidRDefault="00B711BE" w:rsidP="00185C31">
            <w:pPr>
              <w:pStyle w:val="Tabletext"/>
              <w:spacing w:line="240" w:lineRule="auto"/>
              <w:jc w:val="center"/>
            </w:pPr>
            <w:r w:rsidRPr="00B711BE">
              <w:t>71%</w:t>
            </w:r>
          </w:p>
        </w:tc>
        <w:tc>
          <w:tcPr>
            <w:tcW w:w="898" w:type="pct"/>
            <w:vAlign w:val="center"/>
            <w:hideMark/>
          </w:tcPr>
          <w:p w14:paraId="3B211D49" w14:textId="77777777" w:rsidR="00B711BE" w:rsidRPr="00B711BE" w:rsidRDefault="00B711BE" w:rsidP="00185C31">
            <w:pPr>
              <w:pStyle w:val="Tabletext"/>
              <w:spacing w:line="240" w:lineRule="auto"/>
              <w:jc w:val="center"/>
            </w:pPr>
            <w:r w:rsidRPr="00B711BE">
              <w:t>75%</w:t>
            </w:r>
          </w:p>
        </w:tc>
        <w:tc>
          <w:tcPr>
            <w:tcW w:w="2058" w:type="pct"/>
            <w:vAlign w:val="center"/>
            <w:hideMark/>
          </w:tcPr>
          <w:p w14:paraId="006D41FB" w14:textId="77777777" w:rsidR="00B711BE" w:rsidRPr="00B711BE" w:rsidRDefault="00B711BE" w:rsidP="00185C31">
            <w:pPr>
              <w:pStyle w:val="Tabletext"/>
              <w:spacing w:line="240" w:lineRule="auto"/>
            </w:pPr>
            <w:r w:rsidRPr="00B711BE">
              <w:t>At or below target</w:t>
            </w:r>
          </w:p>
        </w:tc>
      </w:tr>
      <w:tr w:rsidR="00B711BE" w:rsidRPr="00B711BE" w14:paraId="051B2150" w14:textId="77777777" w:rsidTr="00185C31">
        <w:trPr>
          <w:trHeight w:val="567"/>
        </w:trPr>
        <w:tc>
          <w:tcPr>
            <w:tcW w:w="1146" w:type="pct"/>
            <w:vAlign w:val="center"/>
            <w:hideMark/>
          </w:tcPr>
          <w:p w14:paraId="7009F579" w14:textId="77777777" w:rsidR="00B711BE" w:rsidRPr="00B711BE" w:rsidRDefault="00B711BE" w:rsidP="00185C31">
            <w:pPr>
              <w:pStyle w:val="Tabletext"/>
              <w:spacing w:line="240" w:lineRule="auto"/>
            </w:pPr>
            <w:r w:rsidRPr="00B711BE">
              <w:t>Grampians</w:t>
            </w:r>
          </w:p>
        </w:tc>
        <w:tc>
          <w:tcPr>
            <w:tcW w:w="898" w:type="pct"/>
            <w:vAlign w:val="center"/>
            <w:hideMark/>
          </w:tcPr>
          <w:p w14:paraId="491B18D2" w14:textId="77777777" w:rsidR="00B711BE" w:rsidRPr="00B711BE" w:rsidRDefault="00B711BE" w:rsidP="00185C31">
            <w:pPr>
              <w:pStyle w:val="Tabletext"/>
              <w:spacing w:line="240" w:lineRule="auto"/>
              <w:jc w:val="center"/>
            </w:pPr>
            <w:r w:rsidRPr="00B711BE">
              <w:t>73%</w:t>
            </w:r>
          </w:p>
        </w:tc>
        <w:tc>
          <w:tcPr>
            <w:tcW w:w="898" w:type="pct"/>
            <w:vAlign w:val="center"/>
            <w:hideMark/>
          </w:tcPr>
          <w:p w14:paraId="2F93FF7D" w14:textId="77777777" w:rsidR="00B711BE" w:rsidRPr="00B711BE" w:rsidRDefault="00B711BE" w:rsidP="00185C31">
            <w:pPr>
              <w:pStyle w:val="Tabletext"/>
              <w:spacing w:line="240" w:lineRule="auto"/>
              <w:jc w:val="center"/>
            </w:pPr>
            <w:r w:rsidRPr="00B711BE">
              <w:t>70%</w:t>
            </w:r>
          </w:p>
        </w:tc>
        <w:tc>
          <w:tcPr>
            <w:tcW w:w="2058" w:type="pct"/>
            <w:vAlign w:val="center"/>
            <w:hideMark/>
          </w:tcPr>
          <w:p w14:paraId="5BBD3806" w14:textId="77777777" w:rsidR="00B711BE" w:rsidRPr="00B711BE" w:rsidRDefault="00B711BE" w:rsidP="00185C31">
            <w:pPr>
              <w:pStyle w:val="Tabletext"/>
              <w:spacing w:line="240" w:lineRule="auto"/>
              <w:rPr>
                <w:b/>
                <w:bCs/>
              </w:rPr>
            </w:pPr>
            <w:r w:rsidRPr="00B711BE">
              <w:rPr>
                <w:b/>
                <w:bCs/>
              </w:rPr>
              <w:t>Above target</w:t>
            </w:r>
          </w:p>
        </w:tc>
      </w:tr>
      <w:tr w:rsidR="00B711BE" w:rsidRPr="00B711BE" w14:paraId="1549AFED" w14:textId="77777777" w:rsidTr="00185C31">
        <w:trPr>
          <w:trHeight w:val="567"/>
        </w:trPr>
        <w:tc>
          <w:tcPr>
            <w:tcW w:w="1146" w:type="pct"/>
            <w:vAlign w:val="center"/>
            <w:hideMark/>
          </w:tcPr>
          <w:p w14:paraId="7CD9B973" w14:textId="77777777" w:rsidR="00B711BE" w:rsidRPr="00B711BE" w:rsidRDefault="00B711BE" w:rsidP="00185C31">
            <w:pPr>
              <w:pStyle w:val="Tabletext"/>
              <w:spacing w:line="240" w:lineRule="auto"/>
            </w:pPr>
            <w:r w:rsidRPr="00B711BE">
              <w:t>Hume</w:t>
            </w:r>
          </w:p>
        </w:tc>
        <w:tc>
          <w:tcPr>
            <w:tcW w:w="898" w:type="pct"/>
            <w:vAlign w:val="center"/>
            <w:hideMark/>
          </w:tcPr>
          <w:p w14:paraId="47AC643E" w14:textId="77777777" w:rsidR="00B711BE" w:rsidRPr="00B711BE" w:rsidRDefault="00B711BE" w:rsidP="00185C31">
            <w:pPr>
              <w:pStyle w:val="Tabletext"/>
              <w:spacing w:line="240" w:lineRule="auto"/>
              <w:jc w:val="center"/>
            </w:pPr>
            <w:r w:rsidRPr="00B711BE">
              <w:t>69%</w:t>
            </w:r>
          </w:p>
        </w:tc>
        <w:tc>
          <w:tcPr>
            <w:tcW w:w="898" w:type="pct"/>
            <w:vAlign w:val="center"/>
            <w:hideMark/>
          </w:tcPr>
          <w:p w14:paraId="3B8E74EB" w14:textId="77777777" w:rsidR="00B711BE" w:rsidRPr="00B711BE" w:rsidRDefault="00B711BE" w:rsidP="00185C31">
            <w:pPr>
              <w:pStyle w:val="Tabletext"/>
              <w:spacing w:line="240" w:lineRule="auto"/>
              <w:jc w:val="center"/>
            </w:pPr>
            <w:r w:rsidRPr="00B711BE">
              <w:t>69%</w:t>
            </w:r>
          </w:p>
        </w:tc>
        <w:tc>
          <w:tcPr>
            <w:tcW w:w="2058" w:type="pct"/>
            <w:vAlign w:val="center"/>
            <w:hideMark/>
          </w:tcPr>
          <w:p w14:paraId="63281F67" w14:textId="77777777" w:rsidR="00B711BE" w:rsidRPr="00B711BE" w:rsidRDefault="00B711BE" w:rsidP="00185C31">
            <w:pPr>
              <w:pStyle w:val="Tabletext"/>
              <w:spacing w:line="240" w:lineRule="auto"/>
            </w:pPr>
            <w:r w:rsidRPr="00B711BE">
              <w:t>At or below target</w:t>
            </w:r>
          </w:p>
        </w:tc>
      </w:tr>
      <w:tr w:rsidR="00B711BE" w:rsidRPr="00B711BE" w14:paraId="4A73AD92" w14:textId="77777777" w:rsidTr="00185C31">
        <w:trPr>
          <w:trHeight w:val="567"/>
        </w:trPr>
        <w:tc>
          <w:tcPr>
            <w:tcW w:w="1146" w:type="pct"/>
            <w:vAlign w:val="center"/>
            <w:hideMark/>
          </w:tcPr>
          <w:p w14:paraId="46EED417" w14:textId="77777777" w:rsidR="00B711BE" w:rsidRPr="00B711BE" w:rsidRDefault="00B711BE" w:rsidP="00185C31">
            <w:pPr>
              <w:pStyle w:val="Tabletext"/>
              <w:spacing w:line="240" w:lineRule="auto"/>
            </w:pPr>
            <w:r w:rsidRPr="00B711BE">
              <w:t>Gippsland</w:t>
            </w:r>
          </w:p>
        </w:tc>
        <w:tc>
          <w:tcPr>
            <w:tcW w:w="898" w:type="pct"/>
            <w:vAlign w:val="center"/>
            <w:hideMark/>
          </w:tcPr>
          <w:p w14:paraId="534B4AA6" w14:textId="77777777" w:rsidR="00B711BE" w:rsidRPr="00B711BE" w:rsidRDefault="00B711BE" w:rsidP="00185C31">
            <w:pPr>
              <w:pStyle w:val="Tabletext"/>
              <w:spacing w:line="240" w:lineRule="auto"/>
              <w:jc w:val="center"/>
            </w:pPr>
            <w:r w:rsidRPr="00B711BE">
              <w:t>57%</w:t>
            </w:r>
          </w:p>
        </w:tc>
        <w:tc>
          <w:tcPr>
            <w:tcW w:w="898" w:type="pct"/>
            <w:vAlign w:val="center"/>
            <w:hideMark/>
          </w:tcPr>
          <w:p w14:paraId="0A7BA969" w14:textId="77777777" w:rsidR="00B711BE" w:rsidRPr="00B711BE" w:rsidRDefault="00B711BE" w:rsidP="00185C31">
            <w:pPr>
              <w:pStyle w:val="Tabletext"/>
              <w:spacing w:line="240" w:lineRule="auto"/>
              <w:jc w:val="center"/>
            </w:pPr>
            <w:r w:rsidRPr="00B711BE">
              <w:t>71%</w:t>
            </w:r>
          </w:p>
        </w:tc>
        <w:tc>
          <w:tcPr>
            <w:tcW w:w="2058" w:type="pct"/>
            <w:vAlign w:val="center"/>
            <w:hideMark/>
          </w:tcPr>
          <w:p w14:paraId="451ED239" w14:textId="77777777" w:rsidR="00B711BE" w:rsidRPr="00B711BE" w:rsidRDefault="00B711BE" w:rsidP="00185C31">
            <w:pPr>
              <w:pStyle w:val="Tabletext"/>
              <w:spacing w:line="240" w:lineRule="auto"/>
            </w:pPr>
            <w:r w:rsidRPr="00B711BE">
              <w:t>At or below target</w:t>
            </w:r>
          </w:p>
        </w:tc>
      </w:tr>
      <w:tr w:rsidR="00B711BE" w:rsidRPr="00B711BE" w14:paraId="4099F6D5" w14:textId="77777777" w:rsidTr="00185C31">
        <w:trPr>
          <w:trHeight w:val="567"/>
        </w:trPr>
        <w:tc>
          <w:tcPr>
            <w:tcW w:w="1146" w:type="pct"/>
            <w:vAlign w:val="center"/>
            <w:hideMark/>
          </w:tcPr>
          <w:p w14:paraId="52D6A436" w14:textId="77777777" w:rsidR="00B711BE" w:rsidRPr="00B711BE" w:rsidRDefault="00B711BE" w:rsidP="00185C31">
            <w:pPr>
              <w:pStyle w:val="Tabletext"/>
              <w:spacing w:line="240" w:lineRule="auto"/>
            </w:pPr>
            <w:r w:rsidRPr="00B711BE">
              <w:t>Barwon South West</w:t>
            </w:r>
          </w:p>
        </w:tc>
        <w:tc>
          <w:tcPr>
            <w:tcW w:w="898" w:type="pct"/>
            <w:vAlign w:val="center"/>
            <w:hideMark/>
          </w:tcPr>
          <w:p w14:paraId="0F669438" w14:textId="77777777" w:rsidR="00B711BE" w:rsidRPr="00B711BE" w:rsidRDefault="00B711BE" w:rsidP="00185C31">
            <w:pPr>
              <w:pStyle w:val="Tabletext"/>
              <w:spacing w:line="240" w:lineRule="auto"/>
              <w:jc w:val="center"/>
            </w:pPr>
            <w:r w:rsidRPr="00B711BE">
              <w:t>57%</w:t>
            </w:r>
          </w:p>
        </w:tc>
        <w:tc>
          <w:tcPr>
            <w:tcW w:w="898" w:type="pct"/>
            <w:vAlign w:val="center"/>
            <w:hideMark/>
          </w:tcPr>
          <w:p w14:paraId="6D50F1B2" w14:textId="77777777" w:rsidR="00B711BE" w:rsidRPr="00B711BE" w:rsidRDefault="00B711BE" w:rsidP="00185C31">
            <w:pPr>
              <w:pStyle w:val="Tabletext"/>
              <w:spacing w:line="240" w:lineRule="auto"/>
              <w:jc w:val="center"/>
            </w:pPr>
            <w:r w:rsidRPr="00B711BE">
              <w:t>60%</w:t>
            </w:r>
          </w:p>
        </w:tc>
        <w:tc>
          <w:tcPr>
            <w:tcW w:w="2058" w:type="pct"/>
            <w:vAlign w:val="center"/>
            <w:hideMark/>
          </w:tcPr>
          <w:p w14:paraId="55553332" w14:textId="77777777" w:rsidR="00B711BE" w:rsidRPr="00B711BE" w:rsidRDefault="00B711BE" w:rsidP="00185C31">
            <w:pPr>
              <w:pStyle w:val="Tabletext"/>
              <w:spacing w:line="240" w:lineRule="auto"/>
            </w:pPr>
            <w:r w:rsidRPr="00B711BE">
              <w:t>At or below target</w:t>
            </w:r>
          </w:p>
        </w:tc>
      </w:tr>
      <w:tr w:rsidR="00B711BE" w:rsidRPr="00B711BE" w14:paraId="5C8FAB11" w14:textId="77777777" w:rsidTr="00185C31">
        <w:trPr>
          <w:trHeight w:val="567"/>
        </w:trPr>
        <w:tc>
          <w:tcPr>
            <w:tcW w:w="1146" w:type="pct"/>
            <w:vAlign w:val="center"/>
            <w:hideMark/>
          </w:tcPr>
          <w:p w14:paraId="6D9F11E8" w14:textId="77777777" w:rsidR="00B711BE" w:rsidRPr="00B711BE" w:rsidRDefault="00B711BE" w:rsidP="00185C31">
            <w:pPr>
              <w:pStyle w:val="Tabletext"/>
              <w:spacing w:line="240" w:lineRule="auto"/>
            </w:pPr>
            <w:r w:rsidRPr="00B711BE">
              <w:t>Port Phillip</w:t>
            </w:r>
          </w:p>
        </w:tc>
        <w:tc>
          <w:tcPr>
            <w:tcW w:w="898" w:type="pct"/>
            <w:vAlign w:val="center"/>
            <w:hideMark/>
          </w:tcPr>
          <w:p w14:paraId="0A7EEAE5" w14:textId="77777777" w:rsidR="00B711BE" w:rsidRPr="00B711BE" w:rsidRDefault="00B711BE" w:rsidP="00185C31">
            <w:pPr>
              <w:pStyle w:val="Tabletext"/>
              <w:spacing w:line="240" w:lineRule="auto"/>
              <w:jc w:val="center"/>
            </w:pPr>
            <w:r w:rsidRPr="00B711BE">
              <w:t>87%</w:t>
            </w:r>
          </w:p>
        </w:tc>
        <w:tc>
          <w:tcPr>
            <w:tcW w:w="898" w:type="pct"/>
            <w:vAlign w:val="center"/>
            <w:hideMark/>
          </w:tcPr>
          <w:p w14:paraId="4205FF2D" w14:textId="77777777" w:rsidR="00B711BE" w:rsidRPr="00B711BE" w:rsidRDefault="00B711BE" w:rsidP="00185C31">
            <w:pPr>
              <w:pStyle w:val="Tabletext"/>
              <w:spacing w:line="240" w:lineRule="auto"/>
              <w:jc w:val="center"/>
            </w:pPr>
            <w:r w:rsidRPr="00B711BE">
              <w:t>85%</w:t>
            </w:r>
          </w:p>
        </w:tc>
        <w:tc>
          <w:tcPr>
            <w:tcW w:w="2058" w:type="pct"/>
            <w:vAlign w:val="center"/>
            <w:hideMark/>
          </w:tcPr>
          <w:p w14:paraId="7B1B2CB9" w14:textId="77777777" w:rsidR="00B711BE" w:rsidRPr="00B711BE" w:rsidRDefault="00B711BE" w:rsidP="00185C31">
            <w:pPr>
              <w:pStyle w:val="Tabletext"/>
              <w:spacing w:line="240" w:lineRule="auto"/>
              <w:rPr>
                <w:b/>
                <w:bCs/>
              </w:rPr>
            </w:pPr>
            <w:r w:rsidRPr="00B711BE">
              <w:rPr>
                <w:b/>
                <w:bCs/>
              </w:rPr>
              <w:t>Above target</w:t>
            </w:r>
          </w:p>
        </w:tc>
      </w:tr>
      <w:tr w:rsidR="00B711BE" w:rsidRPr="00B711BE" w14:paraId="0D7EC97F" w14:textId="77777777" w:rsidTr="00716480">
        <w:tc>
          <w:tcPr>
            <w:tcW w:w="1146" w:type="pct"/>
            <w:shd w:val="clear" w:color="auto" w:fill="F2F2F2" w:themeFill="background1" w:themeFillShade="F2"/>
            <w:hideMark/>
          </w:tcPr>
          <w:p w14:paraId="0EA2A0BE" w14:textId="77777777" w:rsidR="00B711BE" w:rsidRPr="00B711BE" w:rsidRDefault="00B711BE" w:rsidP="00B711BE">
            <w:pPr>
              <w:pStyle w:val="Tabletext"/>
              <w:rPr>
                <w:b/>
                <w:bCs/>
              </w:rPr>
            </w:pPr>
            <w:r w:rsidRPr="00B711BE">
              <w:rPr>
                <w:b/>
                <w:bCs/>
              </w:rPr>
              <w:t>Statewide (Victoria)</w:t>
            </w:r>
          </w:p>
        </w:tc>
        <w:tc>
          <w:tcPr>
            <w:tcW w:w="898" w:type="pct"/>
            <w:shd w:val="clear" w:color="auto" w:fill="F2F2F2" w:themeFill="background1" w:themeFillShade="F2"/>
            <w:hideMark/>
          </w:tcPr>
          <w:p w14:paraId="0FFD4C47" w14:textId="77777777" w:rsidR="00B711BE" w:rsidRPr="00B711BE" w:rsidRDefault="00B711BE" w:rsidP="00B711BE">
            <w:pPr>
              <w:pStyle w:val="Tabletext"/>
              <w:jc w:val="center"/>
              <w:rPr>
                <w:b/>
                <w:bCs/>
              </w:rPr>
            </w:pPr>
            <w:r w:rsidRPr="00B711BE">
              <w:rPr>
                <w:b/>
                <w:bCs/>
              </w:rPr>
              <w:t>66%</w:t>
            </w:r>
          </w:p>
        </w:tc>
        <w:tc>
          <w:tcPr>
            <w:tcW w:w="898" w:type="pct"/>
            <w:shd w:val="clear" w:color="auto" w:fill="F2F2F2" w:themeFill="background1" w:themeFillShade="F2"/>
            <w:hideMark/>
          </w:tcPr>
          <w:p w14:paraId="0363FC90" w14:textId="77777777" w:rsidR="00B711BE" w:rsidRPr="00B711BE" w:rsidRDefault="00B711BE" w:rsidP="00B711BE">
            <w:pPr>
              <w:pStyle w:val="Tabletext"/>
              <w:jc w:val="center"/>
              <w:rPr>
                <w:b/>
                <w:bCs/>
              </w:rPr>
            </w:pPr>
            <w:r w:rsidRPr="00B711BE">
              <w:rPr>
                <w:b/>
                <w:bCs/>
              </w:rPr>
              <w:t>70%</w:t>
            </w:r>
          </w:p>
        </w:tc>
        <w:tc>
          <w:tcPr>
            <w:tcW w:w="2058" w:type="pct"/>
            <w:shd w:val="clear" w:color="auto" w:fill="F2F2F2" w:themeFill="background1" w:themeFillShade="F2"/>
            <w:hideMark/>
          </w:tcPr>
          <w:p w14:paraId="5EC36871" w14:textId="77777777" w:rsidR="00B711BE" w:rsidRPr="00B711BE" w:rsidRDefault="00B711BE" w:rsidP="00B711BE">
            <w:pPr>
              <w:pStyle w:val="Tabletext"/>
            </w:pPr>
            <w:r w:rsidRPr="00B711BE">
              <w:t>At or below target</w:t>
            </w:r>
          </w:p>
          <w:p w14:paraId="2DDCDFB4" w14:textId="0B32695C" w:rsidR="00B711BE" w:rsidRPr="00B711BE" w:rsidRDefault="00B711BE" w:rsidP="00B711BE">
            <w:pPr>
              <w:pStyle w:val="Tabletext"/>
            </w:pPr>
            <w:r w:rsidRPr="00B711BE">
              <w:t xml:space="preserve">Statewide modelled fuel-driven bushfire risk was 66% as </w:t>
            </w:r>
            <w:proofErr w:type="gramStart"/>
            <w:r w:rsidRPr="00B711BE">
              <w:t>at</w:t>
            </w:r>
            <w:proofErr w:type="gramEnd"/>
            <w:r w:rsidRPr="00B711BE">
              <w:t xml:space="preserve"> 30 June 2025, achieving the target to maintain risk at or below 70% of maximum levels.</w:t>
            </w:r>
          </w:p>
        </w:tc>
      </w:tr>
    </w:tbl>
    <w:p w14:paraId="65CB2AB0" w14:textId="77777777" w:rsidR="00833AC1" w:rsidRDefault="00833AC1" w:rsidP="00833AC1">
      <w:pPr>
        <w:pStyle w:val="Heading1"/>
        <w:pageBreakBefore/>
        <w:spacing w:after="120"/>
      </w:pPr>
      <w:bookmarkStart w:id="13" w:name="_Toc215566516"/>
      <w:r>
        <w:lastRenderedPageBreak/>
        <w:t>How we manage bushfire risk</w:t>
      </w:r>
      <w:bookmarkEnd w:id="13"/>
    </w:p>
    <w:p w14:paraId="656EB499" w14:textId="65211F60" w:rsidR="00833AC1" w:rsidRDefault="00833AC1" w:rsidP="00833AC1">
      <w:pPr>
        <w:pStyle w:val="Caption"/>
        <w:keepNext/>
      </w:pPr>
      <w:r>
        <w:t xml:space="preserve">Figure </w:t>
      </w:r>
      <w:fldSimple w:instr=" SEQ Figure \* ARABIC ">
        <w:r>
          <w:rPr>
            <w:noProof/>
          </w:rPr>
          <w:t>2</w:t>
        </w:r>
      </w:fldSimple>
      <w:r>
        <w:t xml:space="preserve">: </w:t>
      </w:r>
      <w:r w:rsidRPr="00833AC1">
        <w:rPr>
          <w:b w:val="0"/>
          <w:bCs/>
        </w:rPr>
        <w:t>Activities that reduce the risk of bushfires</w:t>
      </w:r>
      <w:r>
        <w:rPr>
          <w:b w:val="0"/>
          <w:bCs/>
        </w:rPr>
        <w:t xml:space="preserve"> include:</w:t>
      </w:r>
    </w:p>
    <w:p w14:paraId="658362C5" w14:textId="77777777" w:rsidR="00833AC1" w:rsidRDefault="00833AC1" w:rsidP="008A4FF7">
      <w:pPr>
        <w:pStyle w:val="BodyText"/>
      </w:pPr>
      <w:r>
        <w:rPr>
          <w:noProof/>
        </w:rPr>
        <w:drawing>
          <wp:inline distT="0" distB="0" distL="0" distR="0" wp14:anchorId="4C1F972A" wp14:editId="10953C0F">
            <wp:extent cx="9256294" cy="5373987"/>
            <wp:effectExtent l="0" t="0" r="2540" b="0"/>
            <wp:docPr id="1629429136" name="Picture 3" descr="An illustrated landscape showing different activities that reduce bushfire risk, including cultural burns, ecosystem conservation, fuel management by fire crews, maintaining safe access routes, community land-care and prevention, household preparedness, and a fire station hosting a bushfire information 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29136" name="Picture 3" descr="An illustrated landscape showing different activities that reduce bushfire risk, including cultural burns, ecosystem conservation, fuel management by fire crews, maintaining safe access routes, community land-care and prevention, household preparedness, and a fire station hosting a bushfire information session."/>
                    <pic:cNvPicPr/>
                  </pic:nvPicPr>
                  <pic:blipFill>
                    <a:blip r:embed="rId22" cstate="screen">
                      <a:extLst>
                        <a:ext uri="{28A0092B-C50C-407E-A947-70E740481C1C}">
                          <a14:useLocalDpi xmlns:a14="http://schemas.microsoft.com/office/drawing/2010/main"/>
                        </a:ext>
                      </a:extLst>
                    </a:blip>
                    <a:stretch>
                      <a:fillRect/>
                    </a:stretch>
                  </pic:blipFill>
                  <pic:spPr>
                    <a:xfrm>
                      <a:off x="0" y="0"/>
                      <a:ext cx="9294724" cy="5396299"/>
                    </a:xfrm>
                    <a:prstGeom prst="rect">
                      <a:avLst/>
                    </a:prstGeom>
                  </pic:spPr>
                </pic:pic>
              </a:graphicData>
            </a:graphic>
          </wp:inline>
        </w:drawing>
      </w:r>
    </w:p>
    <w:p w14:paraId="63DD7C2A" w14:textId="648D5387" w:rsidR="00665896" w:rsidRDefault="00665896" w:rsidP="00665896">
      <w:pPr>
        <w:pStyle w:val="Caption"/>
        <w:keepNext/>
      </w:pPr>
      <w:r>
        <w:lastRenderedPageBreak/>
        <w:t xml:space="preserve">Table </w:t>
      </w:r>
      <w:fldSimple w:instr=" SEQ Table \* ARABIC ">
        <w:r>
          <w:rPr>
            <w:noProof/>
          </w:rPr>
          <w:t>2</w:t>
        </w:r>
      </w:fldSimple>
      <w:r>
        <w:t xml:space="preserve">: </w:t>
      </w:r>
      <w:r w:rsidRPr="00665896">
        <w:rPr>
          <w:b w:val="0"/>
          <w:bCs/>
        </w:rPr>
        <w:t>How we manage bushfire risk – Activities that reduce the risk of bushfires</w:t>
      </w:r>
    </w:p>
    <w:tbl>
      <w:tblPr>
        <w:tblStyle w:val="Style2"/>
        <w:tblW w:w="5000" w:type="pct"/>
        <w:tblLook w:val="04A0" w:firstRow="1" w:lastRow="0" w:firstColumn="1" w:lastColumn="0" w:noHBand="0" w:noVBand="1"/>
        <w:tblCaption w:val="How we manage bushfire risk – Activities that reduce the risk of bushfires"/>
        <w:tblDescription w:val="How we manage bushfire risk – Activities that reduce the risk of bushfires"/>
      </w:tblPr>
      <w:tblGrid>
        <w:gridCol w:w="5803"/>
        <w:gridCol w:w="8747"/>
      </w:tblGrid>
      <w:tr w:rsidR="00FA1F92" w:rsidRPr="00FA1F92" w14:paraId="559791C0" w14:textId="77777777" w:rsidTr="00665896">
        <w:trPr>
          <w:cnfStyle w:val="100000000000" w:firstRow="1" w:lastRow="0" w:firstColumn="0" w:lastColumn="0" w:oddVBand="0" w:evenVBand="0" w:oddHBand="0" w:evenHBand="0" w:firstRowFirstColumn="0" w:firstRowLastColumn="0" w:lastRowFirstColumn="0" w:lastRowLastColumn="0"/>
          <w:cantSplit/>
          <w:tblHeader/>
        </w:trPr>
        <w:tc>
          <w:tcPr>
            <w:tcW w:w="1994" w:type="pct"/>
            <w:hideMark/>
          </w:tcPr>
          <w:p w14:paraId="6A07D2EB" w14:textId="77777777" w:rsidR="00FA1F92" w:rsidRPr="00FA1F92" w:rsidRDefault="00FA1F92" w:rsidP="00665896">
            <w:pPr>
              <w:pStyle w:val="Tabletext"/>
              <w:spacing w:line="240" w:lineRule="auto"/>
            </w:pPr>
            <w:r w:rsidRPr="00FA1F92">
              <w:t>Activity / Theme</w:t>
            </w:r>
          </w:p>
        </w:tc>
        <w:tc>
          <w:tcPr>
            <w:tcW w:w="3006" w:type="pct"/>
            <w:hideMark/>
          </w:tcPr>
          <w:p w14:paraId="4933718A" w14:textId="77777777" w:rsidR="00FA1F92" w:rsidRPr="00FA1F92" w:rsidRDefault="00FA1F92" w:rsidP="00665896">
            <w:pPr>
              <w:pStyle w:val="Tabletext"/>
              <w:spacing w:line="240" w:lineRule="auto"/>
            </w:pPr>
            <w:r w:rsidRPr="00FA1F92">
              <w:t>Description of Depicted Actions</w:t>
            </w:r>
          </w:p>
        </w:tc>
      </w:tr>
      <w:tr w:rsidR="00FA1F92" w:rsidRPr="00FA1F92" w14:paraId="55EF33BE" w14:textId="77777777" w:rsidTr="00665896">
        <w:tc>
          <w:tcPr>
            <w:tcW w:w="1994" w:type="pct"/>
            <w:hideMark/>
          </w:tcPr>
          <w:p w14:paraId="32BF4BB1" w14:textId="77777777" w:rsidR="00FA1F92" w:rsidRPr="00665896" w:rsidRDefault="00FA1F92" w:rsidP="00FA1F92">
            <w:pPr>
              <w:pStyle w:val="Tabletext"/>
              <w:spacing w:line="360" w:lineRule="auto"/>
              <w:rPr>
                <w:b/>
                <w:bCs/>
              </w:rPr>
            </w:pPr>
            <w:r w:rsidRPr="00665896">
              <w:rPr>
                <w:b/>
                <w:bCs/>
              </w:rPr>
              <w:t>Cultural burns</w:t>
            </w:r>
          </w:p>
        </w:tc>
        <w:tc>
          <w:tcPr>
            <w:tcW w:w="3006" w:type="pct"/>
            <w:hideMark/>
          </w:tcPr>
          <w:p w14:paraId="6FC79014" w14:textId="77777777" w:rsidR="00FA1F92" w:rsidRPr="00FA1F92" w:rsidRDefault="00FA1F92" w:rsidP="00FA1F92">
            <w:pPr>
              <w:pStyle w:val="Tabletext"/>
              <w:spacing w:line="360" w:lineRule="auto"/>
            </w:pPr>
            <w:r w:rsidRPr="00FA1F92">
              <w:t>Indigenous fire practitioners conducting small, low-intensity cultural burns on forested land.</w:t>
            </w:r>
          </w:p>
        </w:tc>
      </w:tr>
      <w:tr w:rsidR="00FA1F92" w:rsidRPr="00FA1F92" w14:paraId="43D207D0" w14:textId="77777777" w:rsidTr="00665896">
        <w:trPr>
          <w:trHeight w:val="971"/>
        </w:trPr>
        <w:tc>
          <w:tcPr>
            <w:tcW w:w="1994" w:type="pct"/>
            <w:hideMark/>
          </w:tcPr>
          <w:p w14:paraId="54A0F031" w14:textId="77777777" w:rsidR="00FA1F92" w:rsidRPr="00665896" w:rsidRDefault="00FA1F92" w:rsidP="00FA1F92">
            <w:pPr>
              <w:pStyle w:val="Tabletext"/>
              <w:spacing w:line="360" w:lineRule="auto"/>
              <w:rPr>
                <w:b/>
                <w:bCs/>
              </w:rPr>
            </w:pPr>
            <w:r w:rsidRPr="00665896">
              <w:rPr>
                <w:b/>
                <w:bCs/>
              </w:rPr>
              <w:t>Ecosystem resilience and nature conservation</w:t>
            </w:r>
          </w:p>
        </w:tc>
        <w:tc>
          <w:tcPr>
            <w:tcW w:w="3006" w:type="pct"/>
            <w:hideMark/>
          </w:tcPr>
          <w:p w14:paraId="3D2B5E6B" w14:textId="77777777" w:rsidR="00FA1F92" w:rsidRPr="00FA1F92" w:rsidRDefault="00FA1F92" w:rsidP="00FA1F92">
            <w:pPr>
              <w:pStyle w:val="Tabletext"/>
              <w:spacing w:line="360" w:lineRule="auto"/>
            </w:pPr>
            <w:r w:rsidRPr="00FA1F92">
              <w:t>Wildlife such as kangaroos and birds present in a healthy forest environment; land appears managed for ecological health.</w:t>
            </w:r>
          </w:p>
        </w:tc>
      </w:tr>
      <w:tr w:rsidR="00FA1F92" w:rsidRPr="00FA1F92" w14:paraId="4E83D4CC" w14:textId="77777777" w:rsidTr="00665896">
        <w:tc>
          <w:tcPr>
            <w:tcW w:w="1994" w:type="pct"/>
            <w:hideMark/>
          </w:tcPr>
          <w:p w14:paraId="6B828157" w14:textId="77777777" w:rsidR="00FA1F92" w:rsidRPr="00665896" w:rsidRDefault="00FA1F92" w:rsidP="00FA1F92">
            <w:pPr>
              <w:pStyle w:val="Tabletext"/>
              <w:spacing w:line="360" w:lineRule="auto"/>
              <w:rPr>
                <w:b/>
                <w:bCs/>
              </w:rPr>
            </w:pPr>
            <w:r w:rsidRPr="00665896">
              <w:rPr>
                <w:b/>
                <w:bCs/>
              </w:rPr>
              <w:t>Fuel management</w:t>
            </w:r>
          </w:p>
        </w:tc>
        <w:tc>
          <w:tcPr>
            <w:tcW w:w="3006" w:type="pct"/>
            <w:hideMark/>
          </w:tcPr>
          <w:p w14:paraId="08A8CB17" w14:textId="77777777" w:rsidR="00FA1F92" w:rsidRPr="00FA1F92" w:rsidRDefault="00FA1F92" w:rsidP="00FA1F92">
            <w:pPr>
              <w:pStyle w:val="Tabletext"/>
              <w:spacing w:line="360" w:lineRule="auto"/>
            </w:pPr>
            <w:r w:rsidRPr="00FA1F92">
              <w:t>Fire agency staff assessing the landscape and undertaking controlled burning or fuel-reduction activities near trees and bushland.</w:t>
            </w:r>
          </w:p>
        </w:tc>
      </w:tr>
      <w:tr w:rsidR="00FA1F92" w:rsidRPr="00FA1F92" w14:paraId="3F4B105E" w14:textId="77777777" w:rsidTr="00665896">
        <w:tc>
          <w:tcPr>
            <w:tcW w:w="1994" w:type="pct"/>
            <w:hideMark/>
          </w:tcPr>
          <w:p w14:paraId="32876CBA" w14:textId="77777777" w:rsidR="00FA1F92" w:rsidRPr="00665896" w:rsidRDefault="00FA1F92" w:rsidP="00FA1F92">
            <w:pPr>
              <w:pStyle w:val="Tabletext"/>
              <w:spacing w:line="360" w:lineRule="auto"/>
              <w:rPr>
                <w:b/>
                <w:bCs/>
              </w:rPr>
            </w:pPr>
            <w:r w:rsidRPr="00665896">
              <w:rPr>
                <w:b/>
                <w:bCs/>
              </w:rPr>
              <w:t>Safe access and egress</w:t>
            </w:r>
          </w:p>
        </w:tc>
        <w:tc>
          <w:tcPr>
            <w:tcW w:w="3006" w:type="pct"/>
            <w:hideMark/>
          </w:tcPr>
          <w:p w14:paraId="1062F483" w14:textId="77777777" w:rsidR="00FA1F92" w:rsidRPr="00FA1F92" w:rsidRDefault="00FA1F92" w:rsidP="00FA1F92">
            <w:pPr>
              <w:pStyle w:val="Tabletext"/>
              <w:spacing w:line="360" w:lineRule="auto"/>
            </w:pPr>
            <w:r w:rsidRPr="00FA1F92">
              <w:t>A maintained access track through bushland and a helicopter landing area indicating support for safe entry and exit during bushfires.</w:t>
            </w:r>
          </w:p>
        </w:tc>
      </w:tr>
      <w:tr w:rsidR="00FA1F92" w:rsidRPr="00FA1F92" w14:paraId="3BF1CFFE" w14:textId="77777777" w:rsidTr="00665896">
        <w:tc>
          <w:tcPr>
            <w:tcW w:w="1994" w:type="pct"/>
            <w:hideMark/>
          </w:tcPr>
          <w:p w14:paraId="3DBFCAA1" w14:textId="77777777" w:rsidR="00FA1F92" w:rsidRPr="00665896" w:rsidRDefault="00FA1F92" w:rsidP="00FA1F92">
            <w:pPr>
              <w:pStyle w:val="Tabletext"/>
              <w:spacing w:line="360" w:lineRule="auto"/>
              <w:rPr>
                <w:b/>
                <w:bCs/>
              </w:rPr>
            </w:pPr>
            <w:r w:rsidRPr="00665896">
              <w:rPr>
                <w:b/>
                <w:bCs/>
              </w:rPr>
              <w:t>Prevention and mitigation</w:t>
            </w:r>
          </w:p>
        </w:tc>
        <w:tc>
          <w:tcPr>
            <w:tcW w:w="3006" w:type="pct"/>
            <w:hideMark/>
          </w:tcPr>
          <w:p w14:paraId="01CD4C39" w14:textId="77777777" w:rsidR="00FA1F92" w:rsidRPr="00FA1F92" w:rsidRDefault="00FA1F92" w:rsidP="00FA1F92">
            <w:pPr>
              <w:pStyle w:val="Tabletext"/>
              <w:spacing w:line="360" w:lineRule="auto"/>
            </w:pPr>
            <w:r w:rsidRPr="00FA1F92">
              <w:t>Community members setting up a campsite and maintaining land; a tractor and farm equipment used for land preparation to reduce risk.</w:t>
            </w:r>
          </w:p>
        </w:tc>
      </w:tr>
      <w:tr w:rsidR="00FA1F92" w:rsidRPr="00FA1F92" w14:paraId="4000133D" w14:textId="77777777" w:rsidTr="00665896">
        <w:tc>
          <w:tcPr>
            <w:tcW w:w="1994" w:type="pct"/>
            <w:hideMark/>
          </w:tcPr>
          <w:p w14:paraId="46C52056" w14:textId="77777777" w:rsidR="00FA1F92" w:rsidRPr="00665896" w:rsidRDefault="00FA1F92" w:rsidP="00FA1F92">
            <w:pPr>
              <w:pStyle w:val="Tabletext"/>
              <w:spacing w:line="360" w:lineRule="auto"/>
              <w:rPr>
                <w:b/>
                <w:bCs/>
              </w:rPr>
            </w:pPr>
            <w:r w:rsidRPr="00665896">
              <w:rPr>
                <w:b/>
                <w:bCs/>
              </w:rPr>
              <w:t>Community action (shared responsibility)</w:t>
            </w:r>
          </w:p>
        </w:tc>
        <w:tc>
          <w:tcPr>
            <w:tcW w:w="3006" w:type="pct"/>
            <w:hideMark/>
          </w:tcPr>
          <w:p w14:paraId="137664A7" w14:textId="133767B8" w:rsidR="00FA1F92" w:rsidRPr="00FA1F92" w:rsidRDefault="00FA1F92" w:rsidP="00FA1F92">
            <w:pPr>
              <w:pStyle w:val="Tabletext"/>
              <w:spacing w:line="360" w:lineRule="auto"/>
            </w:pPr>
            <w:r w:rsidRPr="00FA1F92">
              <w:t>Residents preparing their homes</w:t>
            </w:r>
            <w:r w:rsidR="00665896">
              <w:t xml:space="preserve"> </w:t>
            </w:r>
            <w:r w:rsidRPr="00FA1F92">
              <w:t>—</w:t>
            </w:r>
            <w:r w:rsidR="00665896">
              <w:t xml:space="preserve"> </w:t>
            </w:r>
            <w:r w:rsidRPr="00FA1F92">
              <w:t>such as cleaning gutters and interacting with neighbours</w:t>
            </w:r>
            <w:r w:rsidR="00665896">
              <w:t xml:space="preserve"> </w:t>
            </w:r>
            <w:r w:rsidRPr="00FA1F92">
              <w:t>—</w:t>
            </w:r>
            <w:r w:rsidR="00665896">
              <w:t xml:space="preserve"> </w:t>
            </w:r>
            <w:r w:rsidRPr="00FA1F92">
              <w:t>showing community-based risk reduction.</w:t>
            </w:r>
          </w:p>
        </w:tc>
      </w:tr>
      <w:tr w:rsidR="00FA1F92" w:rsidRPr="00FA1F92" w14:paraId="65FEB81C" w14:textId="77777777" w:rsidTr="00665896">
        <w:tc>
          <w:tcPr>
            <w:tcW w:w="1994" w:type="pct"/>
            <w:hideMark/>
          </w:tcPr>
          <w:p w14:paraId="5DEEEA51" w14:textId="77777777" w:rsidR="00FA1F92" w:rsidRPr="00665896" w:rsidRDefault="00FA1F92" w:rsidP="00FA1F92">
            <w:pPr>
              <w:pStyle w:val="Tabletext"/>
              <w:spacing w:line="360" w:lineRule="auto"/>
              <w:rPr>
                <w:b/>
                <w:bCs/>
              </w:rPr>
            </w:pPr>
            <w:r w:rsidRPr="00665896">
              <w:rPr>
                <w:b/>
                <w:bCs/>
              </w:rPr>
              <w:t>Bushfire preparedness and response</w:t>
            </w:r>
          </w:p>
        </w:tc>
        <w:tc>
          <w:tcPr>
            <w:tcW w:w="3006" w:type="pct"/>
            <w:hideMark/>
          </w:tcPr>
          <w:p w14:paraId="31A0197E" w14:textId="77777777" w:rsidR="00FA1F92" w:rsidRPr="00FA1F92" w:rsidRDefault="00FA1F92" w:rsidP="00FA1F92">
            <w:pPr>
              <w:pStyle w:val="Tabletext"/>
              <w:spacing w:line="360" w:lineRule="auto"/>
            </w:pPr>
            <w:r w:rsidRPr="00FA1F92">
              <w:t>A fire truck and fire station with a fire-danger rating sign; community members attending a “Bushfire Information Night” outside the station.</w:t>
            </w:r>
          </w:p>
        </w:tc>
      </w:tr>
    </w:tbl>
    <w:p w14:paraId="7DB6662D" w14:textId="40F9D9A6" w:rsidR="00FA1F92" w:rsidRDefault="00FA1F92" w:rsidP="008A4FF7">
      <w:pPr>
        <w:pStyle w:val="BodyText"/>
        <w:sectPr w:rsidR="00FA1F92" w:rsidSect="0015759B">
          <w:pgSz w:w="16838" w:h="11906" w:orient="landscape"/>
          <w:pgMar w:top="624" w:right="1134" w:bottom="1134" w:left="1134" w:header="720" w:footer="454" w:gutter="0"/>
          <w:cols w:space="720"/>
          <w:noEndnote/>
          <w:docGrid w:linePitch="326"/>
        </w:sectPr>
      </w:pPr>
    </w:p>
    <w:p w14:paraId="3291F387" w14:textId="22319F3A" w:rsidR="00410F0C" w:rsidRDefault="004361EC" w:rsidP="00217EB5">
      <w:pPr>
        <w:pStyle w:val="Heading1"/>
      </w:pPr>
      <w:bookmarkStart w:id="14" w:name="_Toc215566517"/>
      <w:r w:rsidRPr="004361EC">
        <w:lastRenderedPageBreak/>
        <w:t>We all have a role to play managing bushfire</w:t>
      </w:r>
      <w:r w:rsidR="00217EB5">
        <w:t> </w:t>
      </w:r>
      <w:r w:rsidRPr="004361EC">
        <w:t>risk</w:t>
      </w:r>
      <w:bookmarkEnd w:id="14"/>
    </w:p>
    <w:p w14:paraId="38FC6269" w14:textId="3166E2D9" w:rsidR="004361EC" w:rsidRPr="00217EB5" w:rsidRDefault="004361EC" w:rsidP="004361EC">
      <w:pPr>
        <w:pStyle w:val="BodyText"/>
        <w:rPr>
          <w:b/>
          <w:bCs/>
        </w:rPr>
      </w:pPr>
      <w:r w:rsidRPr="00217EB5">
        <w:rPr>
          <w:b/>
          <w:bCs/>
        </w:rPr>
        <w:t>Many people know that in Victoria we use planned</w:t>
      </w:r>
      <w:r w:rsidR="00511322">
        <w:rPr>
          <w:b/>
          <w:bCs/>
        </w:rPr>
        <w:t xml:space="preserve"> </w:t>
      </w:r>
      <w:proofErr w:type="gramStart"/>
      <w:r w:rsidRPr="00217EB5">
        <w:rPr>
          <w:b/>
          <w:bCs/>
        </w:rPr>
        <w:t>burning</w:t>
      </w:r>
      <w:proofErr w:type="gramEnd"/>
      <w:r w:rsidRPr="00217EB5">
        <w:rPr>
          <w:b/>
          <w:bCs/>
        </w:rPr>
        <w:t xml:space="preserve"> to manage bushfire risk. But this is not our</w:t>
      </w:r>
      <w:r w:rsidR="00217EB5" w:rsidRPr="00217EB5">
        <w:rPr>
          <w:b/>
          <w:bCs/>
        </w:rPr>
        <w:t xml:space="preserve"> </w:t>
      </w:r>
      <w:r w:rsidRPr="00217EB5">
        <w:rPr>
          <w:b/>
          <w:bCs/>
        </w:rPr>
        <w:t>only tool – and bushfire management is not just</w:t>
      </w:r>
      <w:r w:rsidR="00511322">
        <w:rPr>
          <w:b/>
          <w:bCs/>
        </w:rPr>
        <w:t xml:space="preserve"> </w:t>
      </w:r>
      <w:r w:rsidRPr="00217EB5">
        <w:rPr>
          <w:b/>
          <w:bCs/>
        </w:rPr>
        <w:t>the responsibility of land and fire, and emergency</w:t>
      </w:r>
      <w:r w:rsidR="00511322">
        <w:rPr>
          <w:b/>
          <w:bCs/>
        </w:rPr>
        <w:t xml:space="preserve"> </w:t>
      </w:r>
      <w:r w:rsidRPr="00217EB5">
        <w:rPr>
          <w:b/>
          <w:bCs/>
        </w:rPr>
        <w:t>service agencies. It is everyone’s responsibility</w:t>
      </w:r>
      <w:r w:rsidR="00511322">
        <w:rPr>
          <w:b/>
          <w:bCs/>
        </w:rPr>
        <w:t xml:space="preserve"> </w:t>
      </w:r>
      <w:r w:rsidRPr="00217EB5">
        <w:rPr>
          <w:b/>
          <w:bCs/>
        </w:rPr>
        <w:t>and everyone can play a role in reducing their bushfire risk.</w:t>
      </w:r>
    </w:p>
    <w:p w14:paraId="624A09D3" w14:textId="6E1C8859" w:rsidR="004361EC" w:rsidRPr="00217EB5" w:rsidRDefault="004361EC" w:rsidP="00511322">
      <w:pPr>
        <w:pStyle w:val="BodyText"/>
        <w:ind w:right="-285"/>
        <w:rPr>
          <w:b/>
          <w:bCs/>
        </w:rPr>
      </w:pPr>
      <w:r w:rsidRPr="00217EB5">
        <w:rPr>
          <w:b/>
          <w:bCs/>
        </w:rPr>
        <w:t>This infographic shows you some of the different</w:t>
      </w:r>
      <w:r w:rsidR="00217EB5">
        <w:rPr>
          <w:b/>
          <w:bCs/>
        </w:rPr>
        <w:t xml:space="preserve"> </w:t>
      </w:r>
      <w:r w:rsidRPr="00217EB5">
        <w:rPr>
          <w:b/>
          <w:bCs/>
        </w:rPr>
        <w:t>ways Victoria manages bushfire risk.</w:t>
      </w:r>
    </w:p>
    <w:p w14:paraId="4D67D2FF" w14:textId="77777777" w:rsidR="004361EC" w:rsidRPr="00217EB5" w:rsidRDefault="004361EC" w:rsidP="00C622F8">
      <w:pPr>
        <w:pStyle w:val="Heading2"/>
        <w:spacing w:after="240"/>
      </w:pPr>
      <w:bookmarkStart w:id="15" w:name="_Toc215566518"/>
      <w:r w:rsidRPr="00217EB5">
        <w:t>Prevention and mitigation</w:t>
      </w:r>
      <w:bookmarkEnd w:id="15"/>
    </w:p>
    <w:p w14:paraId="2EA64942" w14:textId="4367ED3A" w:rsidR="004361EC" w:rsidRDefault="004361EC" w:rsidP="00511322">
      <w:pPr>
        <w:pStyle w:val="ListBullet"/>
      </w:pPr>
      <w:r>
        <w:t>Declaring and enforcing Total Fire Ban Days, Fire</w:t>
      </w:r>
      <w:r w:rsidR="00511322">
        <w:t xml:space="preserve"> </w:t>
      </w:r>
      <w:r>
        <w:t>Danger Periods and campfire compliance controls to</w:t>
      </w:r>
      <w:r w:rsidR="00511322">
        <w:t xml:space="preserve"> </w:t>
      </w:r>
      <w:r>
        <w:t>prevent ignitions</w:t>
      </w:r>
    </w:p>
    <w:p w14:paraId="29D7ECCE" w14:textId="1E4A70BB" w:rsidR="004361EC" w:rsidRDefault="004361EC" w:rsidP="00511322">
      <w:pPr>
        <w:pStyle w:val="ListBullet"/>
      </w:pPr>
      <w:r>
        <w:t>Closing forests and parks when conditions would make</w:t>
      </w:r>
      <w:r w:rsidR="00511322">
        <w:t xml:space="preserve"> </w:t>
      </w:r>
      <w:r>
        <w:t>them dangerous to enter</w:t>
      </w:r>
    </w:p>
    <w:p w14:paraId="4A7F77AC" w14:textId="5653BB35" w:rsidR="004361EC" w:rsidRDefault="004361EC" w:rsidP="00511322">
      <w:pPr>
        <w:pStyle w:val="ListBullet"/>
      </w:pPr>
      <w:r>
        <w:t>Setting and administering land use planning and building</w:t>
      </w:r>
      <w:r w:rsidR="00511322">
        <w:t xml:space="preserve"> </w:t>
      </w:r>
      <w:r>
        <w:t>standards to reduce bushfire exposure</w:t>
      </w:r>
    </w:p>
    <w:p w14:paraId="1C6F6648" w14:textId="54A008FB" w:rsidR="004361EC" w:rsidRDefault="004361EC" w:rsidP="00511322">
      <w:pPr>
        <w:pStyle w:val="ListBullet"/>
      </w:pPr>
      <w:r>
        <w:t>Working with community, business and industry to help</w:t>
      </w:r>
      <w:r w:rsidR="00511322">
        <w:t xml:space="preserve"> </w:t>
      </w:r>
      <w:r>
        <w:t>them understand bushfire and how they can take steps</w:t>
      </w:r>
      <w:r w:rsidR="00511322">
        <w:t xml:space="preserve"> </w:t>
      </w:r>
      <w:r>
        <w:t>to reduce their own risk</w:t>
      </w:r>
    </w:p>
    <w:p w14:paraId="78B39A9D" w14:textId="77777777" w:rsidR="004361EC" w:rsidRDefault="004361EC" w:rsidP="00C622F8">
      <w:pPr>
        <w:pStyle w:val="Heading2"/>
        <w:spacing w:after="240"/>
      </w:pPr>
      <w:bookmarkStart w:id="16" w:name="_Toc215566519"/>
      <w:r>
        <w:t>Fuel management</w:t>
      </w:r>
      <w:bookmarkEnd w:id="16"/>
    </w:p>
    <w:p w14:paraId="38EA2E51" w14:textId="5663995F" w:rsidR="004361EC" w:rsidRDefault="004361EC" w:rsidP="004361EC">
      <w:pPr>
        <w:pStyle w:val="BodyText"/>
      </w:pPr>
      <w:r>
        <w:t>Fuel management is an activity that reduces the vegetation</w:t>
      </w:r>
      <w:r w:rsidR="00511322">
        <w:t xml:space="preserve"> </w:t>
      </w:r>
      <w:r>
        <w:t xml:space="preserve">available to 'fuel' a fire. As well as planned </w:t>
      </w:r>
      <w:proofErr w:type="gramStart"/>
      <w:r>
        <w:t>burning</w:t>
      </w:r>
      <w:proofErr w:type="gramEnd"/>
      <w:r>
        <w:t xml:space="preserve"> on public</w:t>
      </w:r>
      <w:r w:rsidR="00511322">
        <w:t xml:space="preserve"> </w:t>
      </w:r>
      <w:r>
        <w:t>land, fuel management in Victoria includes:</w:t>
      </w:r>
    </w:p>
    <w:p w14:paraId="1000B852" w14:textId="52AF3BBC" w:rsidR="004361EC" w:rsidRDefault="004361EC" w:rsidP="00511322">
      <w:pPr>
        <w:pStyle w:val="ListBullet"/>
      </w:pPr>
      <w:r>
        <w:t xml:space="preserve">Planned </w:t>
      </w:r>
      <w:proofErr w:type="gramStart"/>
      <w:r>
        <w:t>burning</w:t>
      </w:r>
      <w:proofErr w:type="gramEnd"/>
      <w:r>
        <w:t xml:space="preserve"> on private and council-managed land,</w:t>
      </w:r>
      <w:r w:rsidR="00511322">
        <w:t xml:space="preserve"> </w:t>
      </w:r>
      <w:r>
        <w:t>including burning along roadsides to allow firefighters</w:t>
      </w:r>
      <w:r w:rsidR="00511322">
        <w:t xml:space="preserve"> </w:t>
      </w:r>
      <w:r>
        <w:t>access to bushfires when they do occur, and to help</w:t>
      </w:r>
      <w:r w:rsidR="00511322">
        <w:t xml:space="preserve"> </w:t>
      </w:r>
      <w:r>
        <w:t>communities leave safely</w:t>
      </w:r>
    </w:p>
    <w:p w14:paraId="06ABCCE0" w14:textId="2588DE62" w:rsidR="004361EC" w:rsidRDefault="004361EC" w:rsidP="00C622F8">
      <w:pPr>
        <w:pStyle w:val="ListBullet"/>
        <w:spacing w:after="0"/>
      </w:pPr>
      <w:r>
        <w:lastRenderedPageBreak/>
        <w:t>Non-burn fuel treatments, including slashing and mowing</w:t>
      </w:r>
    </w:p>
    <w:p w14:paraId="07DF71DD" w14:textId="0EC80CC1" w:rsidR="004361EC" w:rsidRDefault="004361EC" w:rsidP="00C622F8">
      <w:pPr>
        <w:pStyle w:val="ListBullet"/>
        <w:spacing w:after="0"/>
      </w:pPr>
      <w:r>
        <w:t>Removing storm debris</w:t>
      </w:r>
    </w:p>
    <w:p w14:paraId="47EF551B" w14:textId="2B9DEF9A" w:rsidR="004361EC" w:rsidRDefault="004361EC" w:rsidP="00716480">
      <w:pPr>
        <w:pStyle w:val="ListBullet"/>
        <w:spacing w:after="0"/>
      </w:pPr>
      <w:r>
        <w:t>Constructing and maintaining strategic fuel breaks</w:t>
      </w:r>
    </w:p>
    <w:p w14:paraId="443BAA68" w14:textId="77777777" w:rsidR="004361EC" w:rsidRDefault="004361EC" w:rsidP="00C622F8">
      <w:pPr>
        <w:pStyle w:val="Heading2"/>
        <w:spacing w:after="240"/>
      </w:pPr>
      <w:bookmarkStart w:id="17" w:name="_Toc215566520"/>
      <w:r>
        <w:t>Bushfire preparedness and response</w:t>
      </w:r>
      <w:bookmarkEnd w:id="17"/>
    </w:p>
    <w:p w14:paraId="23F11F8E" w14:textId="60843007" w:rsidR="004361EC" w:rsidRDefault="004361EC" w:rsidP="00511322">
      <w:pPr>
        <w:pStyle w:val="ListBullet"/>
      </w:pPr>
      <w:r>
        <w:t>Maintaining fire access roads and bridges to help crews</w:t>
      </w:r>
      <w:r w:rsidR="00511322">
        <w:t xml:space="preserve"> </w:t>
      </w:r>
      <w:r>
        <w:t>respond quickly</w:t>
      </w:r>
    </w:p>
    <w:p w14:paraId="609E294F" w14:textId="32263581" w:rsidR="004361EC" w:rsidRDefault="004361EC" w:rsidP="00511322">
      <w:pPr>
        <w:pStyle w:val="ListBullet"/>
      </w:pPr>
      <w:r>
        <w:t>Training, maintaining equipment and pre-positioning</w:t>
      </w:r>
      <w:r w:rsidR="00511322">
        <w:t xml:space="preserve"> </w:t>
      </w:r>
      <w:r>
        <w:t>aircraft and firefighters</w:t>
      </w:r>
    </w:p>
    <w:p w14:paraId="1265B958" w14:textId="58B9AD02" w:rsidR="00217EB5" w:rsidRDefault="004361EC" w:rsidP="00511322">
      <w:pPr>
        <w:pStyle w:val="ListBullet"/>
      </w:pPr>
      <w:r>
        <w:t>Watching out for new fires and responding rapidly and</w:t>
      </w:r>
      <w:r w:rsidR="00511322">
        <w:t xml:space="preserve"> </w:t>
      </w:r>
      <w:r>
        <w:t>aggressively, including through use of rappel crews</w:t>
      </w:r>
    </w:p>
    <w:p w14:paraId="4A1DEF39" w14:textId="33F83062" w:rsidR="004361EC" w:rsidRDefault="004361EC" w:rsidP="00511322">
      <w:pPr>
        <w:pStyle w:val="ListBullet"/>
      </w:pPr>
      <w:r>
        <w:t>Keeping communities informed through advice and</w:t>
      </w:r>
      <w:r w:rsidR="00511322">
        <w:t xml:space="preserve"> </w:t>
      </w:r>
      <w:r>
        <w:t>emergency warnings</w:t>
      </w:r>
    </w:p>
    <w:p w14:paraId="078F54F4" w14:textId="3CE8F2FE" w:rsidR="004361EC" w:rsidRDefault="004361EC" w:rsidP="00716480">
      <w:pPr>
        <w:pStyle w:val="ListBullet"/>
        <w:spacing w:after="0"/>
      </w:pPr>
      <w:r>
        <w:t>Having a well-trained workforce of volunteers and staff to</w:t>
      </w:r>
      <w:r w:rsidR="00511322">
        <w:t xml:space="preserve"> </w:t>
      </w:r>
      <w:r>
        <w:t>respond to bushfires on the frontline and as part of incident</w:t>
      </w:r>
      <w:r w:rsidR="00511322">
        <w:t xml:space="preserve"> </w:t>
      </w:r>
      <w:r>
        <w:t>management and support teams</w:t>
      </w:r>
    </w:p>
    <w:p w14:paraId="20BABCA8" w14:textId="77777777" w:rsidR="004361EC" w:rsidRDefault="004361EC" w:rsidP="00C622F8">
      <w:pPr>
        <w:pStyle w:val="Heading2"/>
        <w:spacing w:after="240"/>
      </w:pPr>
      <w:bookmarkStart w:id="18" w:name="_Toc215566521"/>
      <w:r>
        <w:t>Bushfire recovery</w:t>
      </w:r>
      <w:bookmarkEnd w:id="18"/>
    </w:p>
    <w:p w14:paraId="6A868928" w14:textId="57A9A1DE" w:rsidR="004361EC" w:rsidRDefault="004361EC" w:rsidP="00511322">
      <w:pPr>
        <w:pStyle w:val="ListBullet"/>
      </w:pPr>
      <w:r>
        <w:t>Working to ensure infrastructure is safe, so evacuated</w:t>
      </w:r>
      <w:r w:rsidR="00217EB5">
        <w:t xml:space="preserve"> </w:t>
      </w:r>
      <w:r>
        <w:t>communities can return quickly</w:t>
      </w:r>
    </w:p>
    <w:p w14:paraId="32834418" w14:textId="65AB7BEA" w:rsidR="004361EC" w:rsidRDefault="004361EC" w:rsidP="00716480">
      <w:pPr>
        <w:pStyle w:val="ListBullet"/>
        <w:spacing w:after="0"/>
      </w:pPr>
      <w:r>
        <w:t>Working with communities and businesses to support</w:t>
      </w:r>
      <w:r w:rsidR="00511322">
        <w:t xml:space="preserve"> </w:t>
      </w:r>
      <w:r>
        <w:t>recovery from bushfire. The aim is to minimise the social,</w:t>
      </w:r>
      <w:r w:rsidR="00217EB5">
        <w:t xml:space="preserve"> </w:t>
      </w:r>
      <w:r>
        <w:t>economic and environmental consequences of bushfires</w:t>
      </w:r>
    </w:p>
    <w:p w14:paraId="2DA86081" w14:textId="13C247B2" w:rsidR="004361EC" w:rsidRDefault="004361EC" w:rsidP="00C622F8">
      <w:pPr>
        <w:pStyle w:val="Heading2"/>
        <w:spacing w:after="240"/>
      </w:pPr>
      <w:bookmarkStart w:id="19" w:name="_Toc215566522"/>
      <w:r>
        <w:t>Integrating bushfire management into broader</w:t>
      </w:r>
      <w:r w:rsidR="00511322">
        <w:t xml:space="preserve"> </w:t>
      </w:r>
      <w:r>
        <w:t>land management</w:t>
      </w:r>
      <w:bookmarkEnd w:id="19"/>
    </w:p>
    <w:p w14:paraId="71F47E91" w14:textId="4CEBD2AC" w:rsidR="004361EC" w:rsidRDefault="004361EC" w:rsidP="00716480">
      <w:pPr>
        <w:pStyle w:val="BodyText"/>
        <w:spacing w:after="120"/>
      </w:pPr>
      <w:r>
        <w:t>In taking actions to prevent and suppress bushfires, Victoria’s</w:t>
      </w:r>
      <w:r w:rsidR="00217EB5">
        <w:t xml:space="preserve"> </w:t>
      </w:r>
      <w:r>
        <w:t>bushfire sector considers broader land management</w:t>
      </w:r>
      <w:r w:rsidR="00511322">
        <w:t xml:space="preserve"> </w:t>
      </w:r>
      <w:r>
        <w:t>objectives for different landscapes across the State.</w:t>
      </w:r>
    </w:p>
    <w:p w14:paraId="1AB87C97" w14:textId="3CD2EA45" w:rsidR="004361EC" w:rsidRDefault="004361EC" w:rsidP="00511322">
      <w:pPr>
        <w:pStyle w:val="Normalbeforebullets"/>
      </w:pPr>
      <w:r>
        <w:t>In addition to the strategies above, complementary</w:t>
      </w:r>
      <w:r w:rsidR="00217EB5">
        <w:t xml:space="preserve"> </w:t>
      </w:r>
      <w:r>
        <w:t>actions include:</w:t>
      </w:r>
    </w:p>
    <w:p w14:paraId="6A6A306A" w14:textId="06A80AD0" w:rsidR="004361EC" w:rsidRDefault="004361EC" w:rsidP="00511322">
      <w:pPr>
        <w:pStyle w:val="ListBullet"/>
      </w:pPr>
      <w:r>
        <w:t>Delivering ecological burns to maintain healthy and</w:t>
      </w:r>
      <w:r w:rsidR="00217EB5">
        <w:t xml:space="preserve"> </w:t>
      </w:r>
      <w:r>
        <w:t>resilient ecosystems</w:t>
      </w:r>
    </w:p>
    <w:p w14:paraId="798D8DE2" w14:textId="670EECEF" w:rsidR="004361EC" w:rsidRDefault="004361EC" w:rsidP="00511322">
      <w:pPr>
        <w:pStyle w:val="ListBullet"/>
      </w:pPr>
      <w:r>
        <w:t>Supporting Traditional Owners to reintroduce cultural fire</w:t>
      </w:r>
      <w:r w:rsidR="00511322">
        <w:t xml:space="preserve"> </w:t>
      </w:r>
      <w:r>
        <w:t>for a range of land management objectives, which also</w:t>
      </w:r>
      <w:r w:rsidR="00511322">
        <w:t xml:space="preserve"> </w:t>
      </w:r>
      <w:r>
        <w:t>reduces fuels and bushfire risk</w:t>
      </w:r>
    </w:p>
    <w:p w14:paraId="0939D823" w14:textId="77777777" w:rsidR="004361EC" w:rsidRDefault="004361EC" w:rsidP="00511322">
      <w:pPr>
        <w:pStyle w:val="Heading2"/>
      </w:pPr>
      <w:bookmarkStart w:id="20" w:name="_Toc215566523"/>
      <w:r>
        <w:lastRenderedPageBreak/>
        <w:t>Community action – five ways with fire</w:t>
      </w:r>
      <w:bookmarkEnd w:id="20"/>
    </w:p>
    <w:p w14:paraId="0B2578A8" w14:textId="54268FE4" w:rsidR="004361EC" w:rsidRDefault="004361EC" w:rsidP="00511322">
      <w:pPr>
        <w:pStyle w:val="Heading3"/>
        <w:numPr>
          <w:ilvl w:val="0"/>
          <w:numId w:val="58"/>
        </w:numPr>
      </w:pPr>
      <w:r>
        <w:t>Get started on a Bushfire Plan</w:t>
      </w:r>
    </w:p>
    <w:p w14:paraId="5C61B14F" w14:textId="003D4ACF" w:rsidR="004361EC" w:rsidRDefault="004361EC" w:rsidP="004361EC">
      <w:pPr>
        <w:pStyle w:val="BodyText"/>
      </w:pPr>
      <w:r>
        <w:t xml:space="preserve">Use sites such as </w:t>
      </w:r>
      <w:hyperlink r:id="rId23" w:tooltip="Hyperlink to the Country Fire Authority (CFA) website" w:history="1">
        <w:r w:rsidRPr="00C622F8">
          <w:rPr>
            <w:rStyle w:val="Hyperlink"/>
          </w:rPr>
          <w:t>cfa.vic.gov.au/plan-prepare</w:t>
        </w:r>
      </w:hyperlink>
      <w:r>
        <w:t xml:space="preserve"> or</w:t>
      </w:r>
      <w:r w:rsidR="00217EB5">
        <w:t xml:space="preserve"> </w:t>
      </w:r>
      <w:hyperlink r:id="rId24" w:tooltip="Hyperlink to the fireplanner website" w:history="1">
        <w:r w:rsidR="00C622F8">
          <w:rPr>
            <w:rStyle w:val="Hyperlink"/>
          </w:rPr>
          <w:t>http://fireplanner.vic.gov.au/</w:t>
        </w:r>
      </w:hyperlink>
      <w:r>
        <w:t xml:space="preserve"> to learn some bushfire basics</w:t>
      </w:r>
      <w:r w:rsidR="00217EB5">
        <w:t xml:space="preserve"> </w:t>
      </w:r>
      <w:r>
        <w:t>and to start building your Bushfire Plan. Start thinking</w:t>
      </w:r>
      <w:r w:rsidR="00217EB5">
        <w:t xml:space="preserve"> </w:t>
      </w:r>
      <w:r>
        <w:t>about where and when you will go, who you will go</w:t>
      </w:r>
      <w:r w:rsidR="00217EB5">
        <w:t xml:space="preserve"> </w:t>
      </w:r>
      <w:r>
        <w:t>with and what you will take.</w:t>
      </w:r>
    </w:p>
    <w:p w14:paraId="3A3E2439" w14:textId="435E84C8" w:rsidR="004361EC" w:rsidRDefault="004361EC" w:rsidP="00511322">
      <w:pPr>
        <w:pStyle w:val="Heading3"/>
        <w:numPr>
          <w:ilvl w:val="0"/>
          <w:numId w:val="58"/>
        </w:numPr>
      </w:pPr>
      <w:r>
        <w:t xml:space="preserve">Download and get to know the </w:t>
      </w:r>
      <w:proofErr w:type="spellStart"/>
      <w:r>
        <w:t>VicEmergency</w:t>
      </w:r>
      <w:proofErr w:type="spellEnd"/>
      <w:r>
        <w:t xml:space="preserve"> app –</w:t>
      </w:r>
      <w:r w:rsidR="00217EB5">
        <w:t xml:space="preserve"> </w:t>
      </w:r>
      <w:r>
        <w:t>then set up ‘watch zones’ and turn on notifications</w:t>
      </w:r>
      <w:r w:rsidR="00217EB5">
        <w:t xml:space="preserve"> </w:t>
      </w:r>
      <w:r>
        <w:t>to be kept up to date wherever you are</w:t>
      </w:r>
    </w:p>
    <w:p w14:paraId="5044A2D0" w14:textId="4C080521" w:rsidR="004361EC" w:rsidRDefault="004361EC" w:rsidP="004361EC">
      <w:pPr>
        <w:pStyle w:val="BodyText"/>
      </w:pPr>
      <w:r>
        <w:t>Emergency warnings can help you choose whether and</w:t>
      </w:r>
      <w:r w:rsidR="00217EB5">
        <w:t xml:space="preserve"> </w:t>
      </w:r>
      <w:r>
        <w:t>when to leave and give you time to follow your bushfire</w:t>
      </w:r>
      <w:r w:rsidR="00217EB5">
        <w:t xml:space="preserve"> </w:t>
      </w:r>
      <w:r>
        <w:t>plan. Agencies work year-round to maintain tracks and</w:t>
      </w:r>
      <w:r w:rsidR="00217EB5">
        <w:t xml:space="preserve"> r</w:t>
      </w:r>
      <w:r>
        <w:t>oads that will help access and egress in case of a fire,</w:t>
      </w:r>
      <w:r w:rsidR="00217EB5">
        <w:t xml:space="preserve"> </w:t>
      </w:r>
      <w:r>
        <w:t>but it’s still always safest to leave early.</w:t>
      </w:r>
    </w:p>
    <w:p w14:paraId="108678EA" w14:textId="1C18D290" w:rsidR="004361EC" w:rsidRDefault="004361EC" w:rsidP="00511322">
      <w:pPr>
        <w:pStyle w:val="Heading3"/>
        <w:numPr>
          <w:ilvl w:val="0"/>
          <w:numId w:val="58"/>
        </w:numPr>
      </w:pPr>
      <w:r>
        <w:t>Get to know the Australian Fire Danger</w:t>
      </w:r>
      <w:r w:rsidR="00217EB5">
        <w:t xml:space="preserve"> </w:t>
      </w:r>
      <w:r>
        <w:t>Ratings System</w:t>
      </w:r>
    </w:p>
    <w:p w14:paraId="5C617FD6" w14:textId="231ACC21" w:rsidR="004361EC" w:rsidRDefault="004361EC" w:rsidP="004361EC">
      <w:pPr>
        <w:pStyle w:val="BodyText"/>
      </w:pPr>
      <w:r>
        <w:t>There are four ratings – Moderate, High, Extreme</w:t>
      </w:r>
      <w:r w:rsidR="00217EB5">
        <w:t xml:space="preserve"> </w:t>
      </w:r>
      <w:r>
        <w:t>and Catastrophic.</w:t>
      </w:r>
    </w:p>
    <w:p w14:paraId="6B66A7A0" w14:textId="1FB3B57A" w:rsidR="004361EC" w:rsidRDefault="004361EC" w:rsidP="004361EC">
      <w:pPr>
        <w:pStyle w:val="BodyText"/>
      </w:pPr>
      <w:r>
        <w:t>Work out what fire danger rating will trigger your</w:t>
      </w:r>
      <w:r w:rsidR="00217EB5">
        <w:t xml:space="preserve"> </w:t>
      </w:r>
      <w:r>
        <w:t>Bushfire Plan.</w:t>
      </w:r>
    </w:p>
    <w:p w14:paraId="261BCC38" w14:textId="2CD873B8" w:rsidR="004361EC" w:rsidRDefault="004361EC" w:rsidP="00C622F8">
      <w:pPr>
        <w:pStyle w:val="BodyText"/>
        <w:ind w:right="-427"/>
      </w:pPr>
      <w:r>
        <w:t>If the Fire Danger Rating is Catastrophic or Extreme</w:t>
      </w:r>
      <w:r w:rsidR="00217EB5">
        <w:t xml:space="preserve"> </w:t>
      </w:r>
      <w:r>
        <w:t>you’re risking your life if you wait and see.</w:t>
      </w:r>
    </w:p>
    <w:p w14:paraId="3B86103E" w14:textId="7F5292FC" w:rsidR="004361EC" w:rsidRDefault="004361EC" w:rsidP="00511322">
      <w:pPr>
        <w:pStyle w:val="Heading3"/>
        <w:numPr>
          <w:ilvl w:val="0"/>
          <w:numId w:val="58"/>
        </w:numPr>
      </w:pPr>
      <w:r>
        <w:t>Plan your travel – head to exploreoutdoors.vic.gov.au</w:t>
      </w:r>
      <w:r w:rsidR="00217EB5">
        <w:t xml:space="preserve"> </w:t>
      </w:r>
      <w:r>
        <w:t>to help you stay safe when visiting state forests</w:t>
      </w:r>
    </w:p>
    <w:p w14:paraId="261E212E" w14:textId="60CB8F2A" w:rsidR="004361EC" w:rsidRDefault="004361EC" w:rsidP="004361EC">
      <w:pPr>
        <w:pStyle w:val="BodyText"/>
      </w:pPr>
      <w:r>
        <w:t>Government and agencies have a range of resources</w:t>
      </w:r>
      <w:r w:rsidR="00217EB5">
        <w:t xml:space="preserve"> </w:t>
      </w:r>
      <w:r>
        <w:t>available online to help you navigate what you</w:t>
      </w:r>
      <w:r w:rsidR="00217EB5">
        <w:t xml:space="preserve"> </w:t>
      </w:r>
      <w:r>
        <w:t>need to do if you are travelling or away from home.</w:t>
      </w:r>
      <w:r w:rsidR="00217EB5">
        <w:t xml:space="preserve"> </w:t>
      </w:r>
      <w:r>
        <w:t>Sites such as Explore Outdoors and Parks Victoria</w:t>
      </w:r>
      <w:r w:rsidR="00217EB5">
        <w:t xml:space="preserve"> </w:t>
      </w:r>
      <w:r>
        <w:t xml:space="preserve">have tips and advice for people visiting state </w:t>
      </w:r>
      <w:proofErr w:type="spellStart"/>
      <w:r>
        <w:t>forestsand</w:t>
      </w:r>
      <w:proofErr w:type="spellEnd"/>
      <w:r>
        <w:t xml:space="preserve"> national parks.</w:t>
      </w:r>
    </w:p>
    <w:p w14:paraId="2759667F" w14:textId="1DDDC1FD" w:rsidR="004361EC" w:rsidRDefault="004361EC" w:rsidP="00511322">
      <w:pPr>
        <w:pStyle w:val="Heading3"/>
        <w:numPr>
          <w:ilvl w:val="0"/>
          <w:numId w:val="58"/>
        </w:numPr>
      </w:pPr>
      <w:r>
        <w:lastRenderedPageBreak/>
        <w:t>Never leave a campfire unattended – if they are cool</w:t>
      </w:r>
      <w:r w:rsidR="00217EB5">
        <w:t xml:space="preserve"> </w:t>
      </w:r>
      <w:r>
        <w:t>to touch, they are safe to leave.</w:t>
      </w:r>
    </w:p>
    <w:p w14:paraId="0DA01145" w14:textId="7B774706" w:rsidR="00EF04CC" w:rsidRDefault="004361EC" w:rsidP="00EF04CC">
      <w:pPr>
        <w:pStyle w:val="BodyText"/>
      </w:pPr>
      <w:r>
        <w:t>Under the Country Fire Authority Act 1958 It is an offence to leave a campfire unattended. The Office of the Conservation Regulator carries out compliance patrols to make sure people are acting safely in our forests and national parks. But you can help too: if a campfire is cool to touch, it is safe to leave.</w:t>
      </w:r>
    </w:p>
    <w:p w14:paraId="5C50341C" w14:textId="77777777" w:rsidR="00222FF2" w:rsidRDefault="00222FF2" w:rsidP="00885AAB">
      <w:pPr>
        <w:pStyle w:val="Heading1"/>
        <w:pageBreakBefore/>
        <w:spacing w:after="240"/>
      </w:pPr>
      <w:bookmarkStart w:id="21" w:name="_Toc184285036"/>
      <w:bookmarkStart w:id="22" w:name="_Toc215566524"/>
      <w:r w:rsidRPr="00AD02AB">
        <w:lastRenderedPageBreak/>
        <w:t>Publication information</w:t>
      </w:r>
      <w:bookmarkEnd w:id="21"/>
      <w:bookmarkEnd w:id="22"/>
    </w:p>
    <w:p w14:paraId="0BEBEAFF" w14:textId="77777777" w:rsidR="00222FF2" w:rsidRPr="001C7BB6" w:rsidRDefault="00222FF2" w:rsidP="00677F77">
      <w:pPr>
        <w:pStyle w:val="Heading2"/>
        <w:spacing w:after="80" w:line="360" w:lineRule="auto"/>
        <w:rPr>
          <w:sz w:val="32"/>
          <w:szCs w:val="32"/>
        </w:rPr>
      </w:pPr>
      <w:bookmarkStart w:id="23" w:name="_Toc215566525"/>
      <w:r w:rsidRPr="001C7BB6">
        <w:rPr>
          <w:sz w:val="32"/>
          <w:szCs w:val="32"/>
        </w:rPr>
        <w:t>Acknowledgements</w:t>
      </w:r>
      <w:bookmarkEnd w:id="23"/>
    </w:p>
    <w:p w14:paraId="74A2DD6C" w14:textId="77777777" w:rsidR="00FF45EB" w:rsidRPr="00FF45EB" w:rsidRDefault="00FF45EB" w:rsidP="00FF45EB">
      <w:pPr>
        <w:pStyle w:val="BodyText"/>
        <w:spacing w:after="120"/>
        <w:rPr>
          <w:lang w:val="en-US"/>
        </w:rPr>
      </w:pPr>
      <w:r w:rsidRPr="00FF45EB">
        <w:rPr>
          <w:lang w:val="en-US"/>
        </w:rPr>
        <w:t>We acknowledge and respect Victorian Traditional Owners as the original custodians of Victoria’s land and waters, their unique ability to care for Country and deep spiritual connection to it.</w:t>
      </w:r>
    </w:p>
    <w:p w14:paraId="27157F8F" w14:textId="77777777" w:rsidR="00FF45EB" w:rsidRPr="00FF45EB" w:rsidRDefault="00FF45EB" w:rsidP="00FF45EB">
      <w:pPr>
        <w:pStyle w:val="BodyText"/>
        <w:spacing w:after="120"/>
        <w:rPr>
          <w:lang w:val="en-US"/>
        </w:rPr>
      </w:pPr>
      <w:r w:rsidRPr="00FF45EB">
        <w:rPr>
          <w:lang w:val="en-US"/>
        </w:rPr>
        <w:t xml:space="preserve">We </w:t>
      </w:r>
      <w:proofErr w:type="spellStart"/>
      <w:r w:rsidRPr="00FF45EB">
        <w:rPr>
          <w:lang w:val="en-US"/>
        </w:rPr>
        <w:t>honour</w:t>
      </w:r>
      <w:proofErr w:type="spellEnd"/>
      <w:r w:rsidRPr="00FF45EB">
        <w:rPr>
          <w:lang w:val="en-US"/>
        </w:rPr>
        <w:t xml:space="preserve"> Elders past and present whose </w:t>
      </w:r>
      <w:proofErr w:type="gramStart"/>
      <w:r w:rsidRPr="00FF45EB">
        <w:rPr>
          <w:lang w:val="en-US"/>
        </w:rPr>
        <w:t>knowledge</w:t>
      </w:r>
      <w:proofErr w:type="gramEnd"/>
      <w:r w:rsidRPr="00FF45EB">
        <w:rPr>
          <w:lang w:val="en-US"/>
        </w:rPr>
        <w:t xml:space="preserve"> and wisdom has ensured the continuation of culture and traditional practices.</w:t>
      </w:r>
    </w:p>
    <w:p w14:paraId="7ECB4612" w14:textId="77777777" w:rsidR="00222FF2" w:rsidRPr="00F666C5" w:rsidRDefault="00FF45EB" w:rsidP="00C51A83">
      <w:pPr>
        <w:pStyle w:val="BodyText"/>
        <w:spacing w:after="120"/>
        <w:rPr>
          <w:lang w:val="en-US"/>
        </w:rPr>
      </w:pPr>
      <w:r w:rsidRPr="00FF45EB">
        <w:rPr>
          <w:lang w:val="en-US"/>
        </w:rPr>
        <w:t>DEECA is committed to genuinely partnering with Victorian Traditional Owners and Victoria’s Aboriginal community to progress their aspirations.</w:t>
      </w:r>
    </w:p>
    <w:p w14:paraId="574C186C" w14:textId="77777777" w:rsidR="00222FF2" w:rsidRPr="001C7BB6" w:rsidRDefault="00222FF2" w:rsidP="00677F77">
      <w:pPr>
        <w:pStyle w:val="Heading2"/>
        <w:spacing w:after="80" w:line="360" w:lineRule="auto"/>
        <w:rPr>
          <w:sz w:val="32"/>
          <w:szCs w:val="32"/>
        </w:rPr>
      </w:pPr>
      <w:bookmarkStart w:id="24" w:name="_Toc215566526"/>
      <w:r w:rsidRPr="001C7BB6">
        <w:rPr>
          <w:sz w:val="32"/>
          <w:szCs w:val="32"/>
        </w:rPr>
        <w:t>Copyright</w:t>
      </w:r>
      <w:bookmarkEnd w:id="24"/>
    </w:p>
    <w:p w14:paraId="1D51D90E" w14:textId="75612970" w:rsidR="00222FF2" w:rsidRDefault="00222FF2" w:rsidP="00C51A83">
      <w:pPr>
        <w:pStyle w:val="BodyText"/>
        <w:spacing w:after="120"/>
        <w:ind w:right="-285"/>
      </w:pPr>
      <w:r w:rsidRPr="00F666C5">
        <w:rPr>
          <w:lang w:val="en-US"/>
        </w:rPr>
        <w:t xml:space="preserve">© The State of Victoria Department of Energy, Environment and Climate Action, </w:t>
      </w:r>
      <w:r w:rsidR="00C622F8" w:rsidRPr="00C622F8">
        <w:rPr>
          <w:color w:val="000000" w:themeColor="text1"/>
          <w:lang w:val="en-US"/>
        </w:rPr>
        <w:t>December</w:t>
      </w:r>
      <w:r w:rsidRPr="00C622F8">
        <w:rPr>
          <w:color w:val="000000" w:themeColor="text1"/>
          <w:lang w:val="en-US"/>
        </w:rPr>
        <w:t xml:space="preserve"> </w:t>
      </w:r>
      <w:r w:rsidRPr="00F666C5">
        <w:rPr>
          <w:lang w:val="en-US"/>
        </w:rPr>
        <w:t>202</w:t>
      </w:r>
      <w:r w:rsidR="00FF45EB">
        <w:rPr>
          <w:lang w:val="en-US"/>
        </w:rPr>
        <w:t>5</w:t>
      </w:r>
      <w:r w:rsidRPr="006D3BAD">
        <w:t>.</w:t>
      </w:r>
    </w:p>
    <w:p w14:paraId="68009E30" w14:textId="77777777" w:rsidR="00222FF2" w:rsidRPr="001C7BB6" w:rsidRDefault="00222FF2" w:rsidP="00677F77">
      <w:pPr>
        <w:pStyle w:val="Heading2"/>
        <w:spacing w:after="80" w:line="360" w:lineRule="auto"/>
        <w:rPr>
          <w:sz w:val="32"/>
          <w:szCs w:val="32"/>
        </w:rPr>
      </w:pPr>
      <w:bookmarkStart w:id="25" w:name="_Toc215566527"/>
      <w:r w:rsidRPr="001C7BB6">
        <w:rPr>
          <w:sz w:val="32"/>
          <w:szCs w:val="32"/>
        </w:rPr>
        <w:t>Creative Commons</w:t>
      </w:r>
      <w:bookmarkEnd w:id="25"/>
    </w:p>
    <w:p w14:paraId="7AC188CD" w14:textId="20F3670F" w:rsidR="00222FF2" w:rsidRPr="00F666C5" w:rsidRDefault="00222FF2" w:rsidP="00222FF2">
      <w:pPr>
        <w:pStyle w:val="BodyText"/>
        <w:ind w:right="-285"/>
        <w:rPr>
          <w:lang w:val="en-US"/>
        </w:rPr>
      </w:pPr>
      <w:r w:rsidRPr="00F666C5">
        <w:rPr>
          <w:lang w:val="en-US"/>
        </w:rPr>
        <w:t xml:space="preserve">This work is licensed under a Creative Commons Attribution 4.0 International </w:t>
      </w:r>
      <w:proofErr w:type="spellStart"/>
      <w:r w:rsidRPr="00F666C5">
        <w:rPr>
          <w:lang w:val="en-US"/>
        </w:rPr>
        <w:t>licence</w:t>
      </w:r>
      <w:proofErr w:type="spellEnd"/>
      <w:r w:rsidRPr="00F666C5">
        <w:rPr>
          <w:lang w:val="en-US"/>
        </w:rPr>
        <w:t xml:space="preserve">, visit the </w:t>
      </w:r>
      <w:hyperlink r:id="rId25" w:tooltip="Hyperlink to Creative Commons website" w:history="1">
        <w:r w:rsidRPr="00F666C5">
          <w:rPr>
            <w:rStyle w:val="Hyperlink"/>
            <w:lang w:val="en-US"/>
          </w:rPr>
          <w:t>Creative Commons website</w:t>
        </w:r>
      </w:hyperlink>
      <w:r w:rsidRPr="00F666C5">
        <w:rPr>
          <w:lang w:val="en-US"/>
        </w:rPr>
        <w:t xml:space="preserve"> (</w:t>
      </w:r>
      <w:hyperlink r:id="rId26" w:tooltip="Hyperlink to Creative Commons website" w:history="1">
        <w:r w:rsidRPr="00F666C5">
          <w:rPr>
            <w:rStyle w:val="Hyperlink"/>
            <w:lang w:val="en-US"/>
          </w:rPr>
          <w:t>http://creativecommons.org/licenses/by/4.0/</w:t>
        </w:r>
      </w:hyperlink>
      <w:r w:rsidRPr="00F666C5">
        <w:rPr>
          <w:lang w:val="en-US"/>
        </w:rPr>
        <w:t>).</w:t>
      </w:r>
    </w:p>
    <w:p w14:paraId="6DAA19DB" w14:textId="77777777" w:rsidR="00222FF2" w:rsidRPr="00F666C5" w:rsidRDefault="00222FF2" w:rsidP="00222FF2">
      <w:pPr>
        <w:pStyle w:val="BodyText"/>
        <w:ind w:right="-285"/>
        <w:rPr>
          <w:lang w:val="en-US"/>
        </w:rPr>
      </w:pPr>
      <w:r w:rsidRPr="00F666C5">
        <w:rPr>
          <w:lang w:val="en-US"/>
        </w:rPr>
        <w:t xml:space="preserve">You are free to re-use the work under that </w:t>
      </w:r>
      <w:proofErr w:type="spellStart"/>
      <w:r w:rsidRPr="00F666C5">
        <w:rPr>
          <w:lang w:val="en-US"/>
        </w:rPr>
        <w:t>licence</w:t>
      </w:r>
      <w:proofErr w:type="spellEnd"/>
      <w:r w:rsidRPr="00F666C5">
        <w:rPr>
          <w:lang w:val="en-US"/>
        </w:rPr>
        <w:t xml:space="preserve">, on the condition that you credit the State of Victoria as author. The </w:t>
      </w:r>
      <w:proofErr w:type="spellStart"/>
      <w:r w:rsidRPr="00F666C5">
        <w:rPr>
          <w:lang w:val="en-US"/>
        </w:rPr>
        <w:t>licence</w:t>
      </w:r>
      <w:proofErr w:type="spellEnd"/>
      <w:r w:rsidRPr="00F666C5">
        <w:rPr>
          <w:lang w:val="en-US"/>
        </w:rPr>
        <w:t xml:space="preserve"> does not apply to any images, photographs or branding, including the Victorian Coat of Arms, and the Victorian Government and Department logos.</w:t>
      </w:r>
    </w:p>
    <w:p w14:paraId="42806466" w14:textId="77777777" w:rsidR="00222FF2" w:rsidRPr="001C7BB6" w:rsidRDefault="00222FF2" w:rsidP="00677F77">
      <w:pPr>
        <w:pStyle w:val="Heading2"/>
        <w:spacing w:after="80" w:line="360" w:lineRule="auto"/>
        <w:rPr>
          <w:sz w:val="32"/>
          <w:szCs w:val="32"/>
        </w:rPr>
      </w:pPr>
      <w:bookmarkStart w:id="26" w:name="_Toc215566528"/>
      <w:r w:rsidRPr="001C7BB6">
        <w:rPr>
          <w:sz w:val="32"/>
          <w:szCs w:val="32"/>
        </w:rPr>
        <w:t>Disclaimer</w:t>
      </w:r>
      <w:bookmarkEnd w:id="26"/>
    </w:p>
    <w:p w14:paraId="5298723F" w14:textId="77777777" w:rsidR="00222FF2" w:rsidRPr="005A5FCD" w:rsidRDefault="00222FF2" w:rsidP="00C51A83">
      <w:pPr>
        <w:pStyle w:val="BodyText"/>
        <w:spacing w:after="120"/>
      </w:pPr>
      <w:r w:rsidRPr="005A5FCD">
        <w:t xml:space="preserve">This publication may be of assistance to </w:t>
      </w:r>
      <w:proofErr w:type="gramStart"/>
      <w:r w:rsidRPr="005A5FCD">
        <w:t>you</w:t>
      </w:r>
      <w:proofErr w:type="gramEnd"/>
      <w:r w:rsidRPr="005A5FCD">
        <w:t xml:space="preserve"> but the State of Victoria and its employees do not</w:t>
      </w:r>
      <w:r>
        <w:t xml:space="preserve"> </w:t>
      </w:r>
      <w:r w:rsidRPr="005A5FCD">
        <w:t xml:space="preserve">guarantee that the publication is without flaw of any kind or is wholly appropriate for your </w:t>
      </w:r>
      <w:proofErr w:type="gramStart"/>
      <w:r w:rsidRPr="005A5FCD">
        <w:t>particular purposes</w:t>
      </w:r>
      <w:proofErr w:type="gramEnd"/>
      <w:r w:rsidRPr="005A5FCD">
        <w:t xml:space="preserve"> and therefore disclaims all liability for any error, loss or other consequence which</w:t>
      </w:r>
      <w:r>
        <w:t xml:space="preserve"> </w:t>
      </w:r>
      <w:r w:rsidRPr="005A5FCD">
        <w:t>may arise from you relying on any information in this publication</w:t>
      </w:r>
      <w:r>
        <w:t>.</w:t>
      </w:r>
    </w:p>
    <w:p w14:paraId="3D63C8E2" w14:textId="77777777" w:rsidR="00222FF2" w:rsidRPr="001C7BB6" w:rsidRDefault="00222FF2" w:rsidP="00677F77">
      <w:pPr>
        <w:pStyle w:val="Heading2"/>
        <w:spacing w:after="80" w:line="360" w:lineRule="auto"/>
        <w:rPr>
          <w:sz w:val="32"/>
          <w:szCs w:val="32"/>
        </w:rPr>
      </w:pPr>
      <w:bookmarkStart w:id="27" w:name="_Toc215566529"/>
      <w:r w:rsidRPr="001C7BB6">
        <w:rPr>
          <w:sz w:val="32"/>
          <w:szCs w:val="32"/>
        </w:rPr>
        <w:lastRenderedPageBreak/>
        <w:t>Accessibility</w:t>
      </w:r>
      <w:bookmarkEnd w:id="27"/>
    </w:p>
    <w:p w14:paraId="381E5274" w14:textId="1E107668" w:rsidR="00222FF2" w:rsidRPr="00CB4B87" w:rsidRDefault="00222FF2" w:rsidP="00C51A83">
      <w:pPr>
        <w:pStyle w:val="BodyText"/>
        <w:spacing w:after="120"/>
      </w:pPr>
      <w:r>
        <w:t xml:space="preserve">To receive this document in an alternative format, phone the Customer Service Centre on 136 186, email </w:t>
      </w:r>
      <w:hyperlink r:id="rId27" w:tooltip="Send an email to customer service" w:history="1">
        <w:r w:rsidRPr="0078282A">
          <w:rPr>
            <w:rStyle w:val="Hyperlink"/>
          </w:rPr>
          <w:t>customer.service@delwp.vic.gov.au</w:t>
        </w:r>
      </w:hyperlink>
      <w:r>
        <w:t>, or contact National Relay Service on 133 677. Available at DEECA website (</w:t>
      </w:r>
      <w:hyperlink r:id="rId28" w:tooltip="Hyperlink to the DEECA website" w:history="1">
        <w:r w:rsidRPr="0078282A">
          <w:rPr>
            <w:rStyle w:val="Hyperlink"/>
          </w:rPr>
          <w:t>www.deeca.vic.gov.au</w:t>
        </w:r>
      </w:hyperlink>
      <w:r>
        <w:t>).</w:t>
      </w:r>
    </w:p>
    <w:p w14:paraId="7E4E097F" w14:textId="77777777" w:rsidR="00F767CD" w:rsidRPr="00F767CD" w:rsidRDefault="00222FF2" w:rsidP="00C622F8">
      <w:pPr>
        <w:pStyle w:val="BodyText"/>
        <w:spacing w:before="1200" w:after="0"/>
        <w:rPr>
          <w:b/>
          <w:bCs/>
        </w:rPr>
      </w:pPr>
      <w:r w:rsidRPr="00F767CD">
        <w:rPr>
          <w:b/>
          <w:bCs/>
        </w:rPr>
        <w:t>End of document.</w:t>
      </w:r>
    </w:p>
    <w:sectPr w:rsidR="00F767CD" w:rsidRPr="00F767CD" w:rsidSect="00EB277B">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30C2" w14:textId="77777777" w:rsidR="00FC4710" w:rsidRDefault="00FC4710" w:rsidP="00F2730B">
      <w:pPr>
        <w:spacing w:after="0" w:line="240" w:lineRule="auto"/>
      </w:pPr>
      <w:r>
        <w:separator/>
      </w:r>
    </w:p>
  </w:endnote>
  <w:endnote w:type="continuationSeparator" w:id="0">
    <w:p w14:paraId="6E4FE085" w14:textId="77777777" w:rsidR="00FC4710" w:rsidRDefault="00FC4710"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7F233CDE"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E31C05"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1C2F5BC0"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FDF8E12" w14:textId="4EAE34AC" w:rsidR="00EB277B" w:rsidRDefault="00DD3AD0" w:rsidP="00EB277B">
    <w:pPr>
      <w:pStyle w:val="Footer"/>
      <w:ind w:right="360"/>
    </w:pPr>
    <w:r w:rsidRPr="00DD3AD0">
      <w:t>Victoria’s Bushfire Management Snapshot</w:t>
    </w:r>
    <w:r w:rsidR="00185C31">
      <w:t xml:space="preserve"> – 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02A397E4"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06A48C" w14:textId="0E69FAC3" w:rsidR="00B165A7" w:rsidRDefault="00185C31" w:rsidP="00185C31">
    <w:pPr>
      <w:pStyle w:val="Footer"/>
      <w:ind w:right="360"/>
    </w:pPr>
    <w:r w:rsidRPr="00DD3AD0">
      <w:t>Victoria’s Bushfire Management Snapshot</w:t>
    </w:r>
    <w:r>
      <w:t xml:space="preserve"> –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A3AD" w14:textId="77777777" w:rsidR="00FC4710" w:rsidRDefault="00FC4710" w:rsidP="00F2730B">
      <w:pPr>
        <w:spacing w:after="0" w:line="240" w:lineRule="auto"/>
      </w:pPr>
      <w:r>
        <w:separator/>
      </w:r>
    </w:p>
  </w:footnote>
  <w:footnote w:type="continuationSeparator" w:id="0">
    <w:p w14:paraId="63392D2D" w14:textId="77777777" w:rsidR="00FC4710" w:rsidRDefault="00FC4710"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C2172E"/>
    <w:multiLevelType w:val="hybridMultilevel"/>
    <w:tmpl w:val="FE967F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3975FB3"/>
    <w:multiLevelType w:val="hybridMultilevel"/>
    <w:tmpl w:val="91804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9"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5"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3"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4"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8"/>
  </w:num>
  <w:num w:numId="2" w16cid:durableId="601570190">
    <w:abstractNumId w:val="44"/>
  </w:num>
  <w:num w:numId="3" w16cid:durableId="1813522522">
    <w:abstractNumId w:val="3"/>
  </w:num>
  <w:num w:numId="4" w16cid:durableId="533276510">
    <w:abstractNumId w:val="42"/>
  </w:num>
  <w:num w:numId="5" w16cid:durableId="771362055">
    <w:abstractNumId w:val="2"/>
  </w:num>
  <w:num w:numId="6" w16cid:durableId="3823149">
    <w:abstractNumId w:val="29"/>
  </w:num>
  <w:num w:numId="7" w16cid:durableId="338390637">
    <w:abstractNumId w:val="5"/>
  </w:num>
  <w:num w:numId="8" w16cid:durableId="182984412">
    <w:abstractNumId w:val="34"/>
  </w:num>
  <w:num w:numId="9" w16cid:durableId="853954488">
    <w:abstractNumId w:val="27"/>
  </w:num>
  <w:num w:numId="10" w16cid:durableId="307325374">
    <w:abstractNumId w:val="10"/>
  </w:num>
  <w:num w:numId="11" w16cid:durableId="1207567416">
    <w:abstractNumId w:val="17"/>
  </w:num>
  <w:num w:numId="12" w16cid:durableId="1714499310">
    <w:abstractNumId w:val="16"/>
  </w:num>
  <w:num w:numId="13" w16cid:durableId="1557817223">
    <w:abstractNumId w:val="31"/>
  </w:num>
  <w:num w:numId="14" w16cid:durableId="766468131">
    <w:abstractNumId w:val="7"/>
  </w:num>
  <w:num w:numId="15" w16cid:durableId="401634644">
    <w:abstractNumId w:val="4"/>
  </w:num>
  <w:num w:numId="16" w16cid:durableId="2004504209">
    <w:abstractNumId w:val="22"/>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5"/>
  </w:num>
  <w:num w:numId="19" w16cid:durableId="318195612">
    <w:abstractNumId w:val="0"/>
  </w:num>
  <w:num w:numId="20" w16cid:durableId="172572898">
    <w:abstractNumId w:val="28"/>
  </w:num>
  <w:num w:numId="21" w16cid:durableId="1306818322">
    <w:abstractNumId w:val="1"/>
  </w:num>
  <w:num w:numId="22" w16cid:durableId="1536767415">
    <w:abstractNumId w:val="35"/>
  </w:num>
  <w:num w:numId="23" w16cid:durableId="54209663">
    <w:abstractNumId w:val="6"/>
  </w:num>
  <w:num w:numId="24" w16cid:durableId="1347441872">
    <w:abstractNumId w:val="38"/>
  </w:num>
  <w:num w:numId="25" w16cid:durableId="1336883623">
    <w:abstractNumId w:val="33"/>
  </w:num>
  <w:num w:numId="26" w16cid:durableId="1859196455">
    <w:abstractNumId w:val="9"/>
  </w:num>
  <w:num w:numId="27" w16cid:durableId="1643851276">
    <w:abstractNumId w:val="23"/>
  </w:num>
  <w:num w:numId="28" w16cid:durableId="1329362202">
    <w:abstractNumId w:val="21"/>
  </w:num>
  <w:num w:numId="29" w16cid:durableId="1795561713">
    <w:abstractNumId w:val="35"/>
  </w:num>
  <w:num w:numId="30" w16cid:durableId="71048478">
    <w:abstractNumId w:val="35"/>
  </w:num>
  <w:num w:numId="31" w16cid:durableId="755857827">
    <w:abstractNumId w:val="26"/>
  </w:num>
  <w:num w:numId="32" w16cid:durableId="1933396817">
    <w:abstractNumId w:val="35"/>
  </w:num>
  <w:num w:numId="33" w16cid:durableId="1457986831">
    <w:abstractNumId w:val="35"/>
  </w:num>
  <w:num w:numId="34" w16cid:durableId="1703019878">
    <w:abstractNumId w:val="35"/>
  </w:num>
  <w:num w:numId="35" w16cid:durableId="1865440867">
    <w:abstractNumId w:val="35"/>
  </w:num>
  <w:num w:numId="36" w16cid:durableId="829516848">
    <w:abstractNumId w:val="35"/>
  </w:num>
  <w:num w:numId="37" w16cid:durableId="2076001543">
    <w:abstractNumId w:val="37"/>
  </w:num>
  <w:num w:numId="38" w16cid:durableId="1204173423">
    <w:abstractNumId w:val="32"/>
  </w:num>
  <w:num w:numId="39" w16cid:durableId="1448893088">
    <w:abstractNumId w:val="43"/>
  </w:num>
  <w:num w:numId="40" w16cid:durableId="1900021242">
    <w:abstractNumId w:val="40"/>
  </w:num>
  <w:num w:numId="41" w16cid:durableId="995105162">
    <w:abstractNumId w:val="39"/>
  </w:num>
  <w:num w:numId="42" w16cid:durableId="1581451535">
    <w:abstractNumId w:val="14"/>
  </w:num>
  <w:num w:numId="43" w16cid:durableId="1752506282">
    <w:abstractNumId w:val="3"/>
  </w:num>
  <w:num w:numId="44" w16cid:durableId="1456093856">
    <w:abstractNumId w:val="3"/>
  </w:num>
  <w:num w:numId="45" w16cid:durableId="1900241663">
    <w:abstractNumId w:val="3"/>
  </w:num>
  <w:num w:numId="46" w16cid:durableId="1535843761">
    <w:abstractNumId w:val="24"/>
  </w:num>
  <w:num w:numId="47" w16cid:durableId="1818298069">
    <w:abstractNumId w:val="15"/>
  </w:num>
  <w:num w:numId="48" w16cid:durableId="2061048727">
    <w:abstractNumId w:val="13"/>
  </w:num>
  <w:num w:numId="49" w16cid:durableId="1849246280">
    <w:abstractNumId w:val="12"/>
  </w:num>
  <w:num w:numId="50" w16cid:durableId="785197264">
    <w:abstractNumId w:val="36"/>
  </w:num>
  <w:num w:numId="51" w16cid:durableId="1299335420">
    <w:abstractNumId w:val="20"/>
  </w:num>
  <w:num w:numId="52" w16cid:durableId="1754938255">
    <w:abstractNumId w:val="22"/>
  </w:num>
  <w:num w:numId="53" w16cid:durableId="1013340051">
    <w:abstractNumId w:val="41"/>
  </w:num>
  <w:num w:numId="54" w16cid:durableId="888301183">
    <w:abstractNumId w:val="30"/>
  </w:num>
  <w:num w:numId="55" w16cid:durableId="723263114">
    <w:abstractNumId w:val="3"/>
  </w:num>
  <w:num w:numId="56" w16cid:durableId="154565250">
    <w:abstractNumId w:val="3"/>
  </w:num>
  <w:num w:numId="57" w16cid:durableId="1941643245">
    <w:abstractNumId w:val="3"/>
  </w:num>
  <w:num w:numId="58" w16cid:durableId="888341541">
    <w:abstractNumId w:val="11"/>
  </w:num>
  <w:num w:numId="59" w16cid:durableId="17704219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C2"/>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845C5"/>
    <w:rsid w:val="00096052"/>
    <w:rsid w:val="00096F20"/>
    <w:rsid w:val="000A06C8"/>
    <w:rsid w:val="000A07D7"/>
    <w:rsid w:val="000A09C6"/>
    <w:rsid w:val="000A2C96"/>
    <w:rsid w:val="000A2E17"/>
    <w:rsid w:val="000A49E3"/>
    <w:rsid w:val="000B0305"/>
    <w:rsid w:val="000B181D"/>
    <w:rsid w:val="000B62B5"/>
    <w:rsid w:val="000C021F"/>
    <w:rsid w:val="000C259F"/>
    <w:rsid w:val="000C32AC"/>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5759B"/>
    <w:rsid w:val="00163F36"/>
    <w:rsid w:val="00164E6C"/>
    <w:rsid w:val="0016764A"/>
    <w:rsid w:val="001679C2"/>
    <w:rsid w:val="001708FE"/>
    <w:rsid w:val="00170B1E"/>
    <w:rsid w:val="00171185"/>
    <w:rsid w:val="00172357"/>
    <w:rsid w:val="00175022"/>
    <w:rsid w:val="00185ABC"/>
    <w:rsid w:val="00185C31"/>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7C2"/>
    <w:rsid w:val="00207F89"/>
    <w:rsid w:val="00210E8C"/>
    <w:rsid w:val="00212461"/>
    <w:rsid w:val="00214345"/>
    <w:rsid w:val="002143C5"/>
    <w:rsid w:val="0021482C"/>
    <w:rsid w:val="002152A5"/>
    <w:rsid w:val="00215E01"/>
    <w:rsid w:val="00217EB5"/>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1B3B"/>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1527"/>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6DCE"/>
    <w:rsid w:val="003C7412"/>
    <w:rsid w:val="003C7DED"/>
    <w:rsid w:val="003D0365"/>
    <w:rsid w:val="003D16D7"/>
    <w:rsid w:val="003D1F96"/>
    <w:rsid w:val="003D4796"/>
    <w:rsid w:val="003E2730"/>
    <w:rsid w:val="003E3C61"/>
    <w:rsid w:val="003E5B1D"/>
    <w:rsid w:val="003E66B6"/>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0F0C"/>
    <w:rsid w:val="00413A1C"/>
    <w:rsid w:val="004153F9"/>
    <w:rsid w:val="004163B5"/>
    <w:rsid w:val="00423210"/>
    <w:rsid w:val="004233C0"/>
    <w:rsid w:val="00433E87"/>
    <w:rsid w:val="00434824"/>
    <w:rsid w:val="00434D8A"/>
    <w:rsid w:val="004361EC"/>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3CD9"/>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1322"/>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260F"/>
    <w:rsid w:val="0062672B"/>
    <w:rsid w:val="0062675C"/>
    <w:rsid w:val="00627C9D"/>
    <w:rsid w:val="00635211"/>
    <w:rsid w:val="006353A0"/>
    <w:rsid w:val="00636344"/>
    <w:rsid w:val="006368F9"/>
    <w:rsid w:val="00637D9A"/>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5896"/>
    <w:rsid w:val="0066651F"/>
    <w:rsid w:val="00673096"/>
    <w:rsid w:val="006738F0"/>
    <w:rsid w:val="00677F77"/>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34B7"/>
    <w:rsid w:val="00706908"/>
    <w:rsid w:val="0071440E"/>
    <w:rsid w:val="0071469C"/>
    <w:rsid w:val="00715677"/>
    <w:rsid w:val="00716480"/>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284"/>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3AC1"/>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7D7"/>
    <w:rsid w:val="00885AAB"/>
    <w:rsid w:val="00886D42"/>
    <w:rsid w:val="008935B5"/>
    <w:rsid w:val="008941D0"/>
    <w:rsid w:val="0089467E"/>
    <w:rsid w:val="00897169"/>
    <w:rsid w:val="008A06F8"/>
    <w:rsid w:val="008A150E"/>
    <w:rsid w:val="008A2489"/>
    <w:rsid w:val="008A440E"/>
    <w:rsid w:val="008A44D0"/>
    <w:rsid w:val="008A4FF7"/>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00CA"/>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C7A51"/>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0A02"/>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1BE"/>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2F8"/>
    <w:rsid w:val="00C6259B"/>
    <w:rsid w:val="00C62E58"/>
    <w:rsid w:val="00C638FE"/>
    <w:rsid w:val="00C64186"/>
    <w:rsid w:val="00C65271"/>
    <w:rsid w:val="00C71AEC"/>
    <w:rsid w:val="00C77C1E"/>
    <w:rsid w:val="00C81AC2"/>
    <w:rsid w:val="00C84AD9"/>
    <w:rsid w:val="00C8500E"/>
    <w:rsid w:val="00C856FB"/>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4236"/>
    <w:rsid w:val="00DB500B"/>
    <w:rsid w:val="00DB7D85"/>
    <w:rsid w:val="00DC0304"/>
    <w:rsid w:val="00DC227D"/>
    <w:rsid w:val="00DC2719"/>
    <w:rsid w:val="00DC3BE3"/>
    <w:rsid w:val="00DD342E"/>
    <w:rsid w:val="00DD3AD0"/>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04CC"/>
    <w:rsid w:val="00EF11FD"/>
    <w:rsid w:val="00EF5372"/>
    <w:rsid w:val="00EF5936"/>
    <w:rsid w:val="00EF5E0B"/>
    <w:rsid w:val="00F017F7"/>
    <w:rsid w:val="00F03033"/>
    <w:rsid w:val="00F03720"/>
    <w:rsid w:val="00F05C50"/>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5380"/>
    <w:rsid w:val="00F65CCC"/>
    <w:rsid w:val="00F66D1B"/>
    <w:rsid w:val="00F7242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2"/>
    <w:rsid w:val="00FA1F9A"/>
    <w:rsid w:val="00FA4755"/>
    <w:rsid w:val="00FA5FA6"/>
    <w:rsid w:val="00FA5FBC"/>
    <w:rsid w:val="00FA7197"/>
    <w:rsid w:val="00FB0893"/>
    <w:rsid w:val="00FB2E83"/>
    <w:rsid w:val="00FB5D6E"/>
    <w:rsid w:val="00FB7831"/>
    <w:rsid w:val="00FC1016"/>
    <w:rsid w:val="00FC10F2"/>
    <w:rsid w:val="00FC3582"/>
    <w:rsid w:val="00FC3F9B"/>
    <w:rsid w:val="00FC4460"/>
    <w:rsid w:val="00FC4659"/>
    <w:rsid w:val="00FC4710"/>
    <w:rsid w:val="00FC4832"/>
    <w:rsid w:val="00FC5C36"/>
    <w:rsid w:val="00FD03DA"/>
    <w:rsid w:val="00FD0B1B"/>
    <w:rsid w:val="00FD26F6"/>
    <w:rsid w:val="00FD57D0"/>
    <w:rsid w:val="00FE0619"/>
    <w:rsid w:val="00FE0DA8"/>
    <w:rsid w:val="00FE27F9"/>
    <w:rsid w:val="00FE28C9"/>
    <w:rsid w:val="00FE45FD"/>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8ACC79"/>
  <w14:defaultImageDpi w14:val="0"/>
  <w15:docId w15:val="{46C2E363-5D56-4643-8FE4-EFD10A26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5FD"/>
    <w:pPr>
      <w:suppressAutoHyphens/>
      <w:spacing w:after="200"/>
    </w:pPr>
    <w:rPr>
      <w:sz w:val="24"/>
    </w:rPr>
  </w:style>
  <w:style w:type="paragraph" w:styleId="Heading1">
    <w:name w:val="heading 1"/>
    <w:basedOn w:val="Normal"/>
    <w:next w:val="Normal"/>
    <w:link w:val="Heading1Char"/>
    <w:uiPriority w:val="9"/>
    <w:qFormat/>
    <w:rsid w:val="0062260F"/>
    <w:pPr>
      <w:keepNext/>
      <w:keepLines/>
      <w:spacing w:after="360" w:line="700" w:lineRule="exact"/>
      <w:outlineLvl w:val="0"/>
    </w:pPr>
    <w:rPr>
      <w:rFonts w:asciiTheme="majorHAnsi" w:eastAsiaTheme="majorEastAsia" w:hAnsiTheme="majorHAnsi" w:cs="Times New Roman (Headings CS)"/>
      <w:b/>
      <w:bCs/>
      <w:sz w:val="44"/>
      <w:szCs w:val="36"/>
      <w:lang w:val="en-GB"/>
    </w:rPr>
  </w:style>
  <w:style w:type="paragraph" w:styleId="Heading2">
    <w:name w:val="heading 2"/>
    <w:basedOn w:val="Normal"/>
    <w:next w:val="Normal"/>
    <w:link w:val="Heading2Char"/>
    <w:uiPriority w:val="9"/>
    <w:unhideWhenUsed/>
    <w:qFormat/>
    <w:rsid w:val="00185C31"/>
    <w:pPr>
      <w:keepNext/>
      <w:keepLines/>
      <w:spacing w:before="120" w:after="36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511322"/>
    <w:pPr>
      <w:keepNext/>
      <w:keepLines/>
      <w:spacing w:after="240" w:line="480" w:lineRule="exact"/>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511322"/>
    <w:pPr>
      <w:spacing w:after="240" w:line="1000" w:lineRule="exact"/>
    </w:pPr>
    <w:rPr>
      <w:rFonts w:asciiTheme="majorHAnsi" w:eastAsiaTheme="majorEastAsia" w:hAnsiTheme="majorHAnsi" w:cs="Times New Roman (Headings CS)"/>
      <w:b/>
      <w:bCs/>
      <w:spacing w:val="8"/>
      <w:kern w:val="28"/>
      <w:sz w:val="72"/>
      <w:szCs w:val="58"/>
      <w:lang w:val="en-GB"/>
    </w:rPr>
  </w:style>
  <w:style w:type="character" w:customStyle="1" w:styleId="TitleChar">
    <w:name w:val="Title Char"/>
    <w:basedOn w:val="DefaultParagraphFont"/>
    <w:link w:val="Title"/>
    <w:uiPriority w:val="10"/>
    <w:rsid w:val="00511322"/>
    <w:rPr>
      <w:rFonts w:asciiTheme="majorHAnsi" w:eastAsiaTheme="majorEastAsia" w:hAnsiTheme="majorHAnsi" w:cs="Times New Roman (Headings CS)"/>
      <w:b/>
      <w:bCs/>
      <w:spacing w:val="8"/>
      <w:kern w:val="28"/>
      <w:sz w:val="72"/>
      <w:szCs w:val="58"/>
      <w:lang w:val="en-GB"/>
    </w:rPr>
  </w:style>
  <w:style w:type="paragraph" w:styleId="Subtitle">
    <w:name w:val="Subtitle"/>
    <w:basedOn w:val="Normal"/>
    <w:next w:val="Normal"/>
    <w:link w:val="SubtitleChar"/>
    <w:uiPriority w:val="11"/>
    <w:qFormat/>
    <w:rsid w:val="00511322"/>
    <w:pPr>
      <w:numPr>
        <w:ilvl w:val="1"/>
      </w:numPr>
      <w:spacing w:before="240" w:after="240" w:line="360" w:lineRule="auto"/>
    </w:pPr>
    <w:rPr>
      <w:b/>
      <w:sz w:val="44"/>
      <w:szCs w:val="36"/>
    </w:rPr>
  </w:style>
  <w:style w:type="character" w:customStyle="1" w:styleId="SubtitleChar">
    <w:name w:val="Subtitle Char"/>
    <w:basedOn w:val="DefaultParagraphFont"/>
    <w:link w:val="Subtitle"/>
    <w:uiPriority w:val="11"/>
    <w:rsid w:val="00511322"/>
    <w:rPr>
      <w:b/>
      <w:sz w:val="44"/>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62260F"/>
    <w:rPr>
      <w:rFonts w:asciiTheme="majorHAnsi" w:eastAsiaTheme="majorEastAsia" w:hAnsiTheme="majorHAnsi" w:cs="Times New Roman (Headings CS)"/>
      <w:b/>
      <w:bCs/>
      <w:sz w:val="44"/>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185C31"/>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511322"/>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AC7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fa.vic.gov.au/plan-prepare/your-local-area-info-and-advice/e-learning" TargetMode="External"/><Relationship Id="rId18" Type="http://schemas.openxmlformats.org/officeDocument/2006/relationships/hyperlink" Target="https://afdrs.com.au/" TargetMode="External"/><Relationship Id="rId26" Type="http://schemas.openxmlformats.org/officeDocument/2006/relationships/hyperlink" Target="http://creativecommons.org/licenses/by/4.0/"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firepermits.vic.gov.au/" TargetMode="External"/><Relationship Id="rId17" Type="http://schemas.openxmlformats.org/officeDocument/2006/relationships/hyperlink" Target="https://emergency.vic.gov.au/respond/" TargetMode="External"/><Relationship Id="rId25"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s://fireplanner.vic.gov.au/"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fa.vic.gov.au/ArticleDocuments/336/CFA%20Bushfire%20Plan%20Leave%20Early%20(2022).pdf" TargetMode="External"/><Relationship Id="rId24" Type="http://schemas.openxmlformats.org/officeDocument/2006/relationships/hyperlink" Target="http://fireplanner.vic.gov.au/" TargetMode="External"/><Relationship Id="rId5" Type="http://schemas.openxmlformats.org/officeDocument/2006/relationships/webSettings" Target="webSettings.xml"/><Relationship Id="rId15" Type="http://schemas.openxmlformats.org/officeDocument/2006/relationships/hyperlink" Target="https://www.cfa.vic.gov.au/about-us/your-cfa/cfa-at-a-glance" TargetMode="External"/><Relationship Id="rId23" Type="http://schemas.openxmlformats.org/officeDocument/2006/relationships/hyperlink" Target="https://www.cfa.vic.gov.au/plan-prepare" TargetMode="External"/><Relationship Id="rId28" Type="http://schemas.openxmlformats.org/officeDocument/2006/relationships/hyperlink" Target="http://www.deeca.vic.gov.au/" TargetMode="External"/><Relationship Id="rId10" Type="http://schemas.openxmlformats.org/officeDocument/2006/relationships/hyperlink" Target="https://www.cfa.vic.gov.au/plan-prepare" TargetMode="External"/><Relationship Id="rId19" Type="http://schemas.openxmlformats.org/officeDocument/2006/relationships/hyperlink" Target="https://www.exploreoutdoors.vic.gov.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fac.com.au/seasonal-outlook" TargetMode="External"/><Relationship Id="rId22" Type="http://schemas.openxmlformats.org/officeDocument/2006/relationships/image" Target="media/image2.jpeg"/><Relationship Id="rId27" Type="http://schemas.openxmlformats.org/officeDocument/2006/relationships/hyperlink" Target="mailto:customer.service@delwp.vic.gov.a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2</TotalTime>
  <Pages>18</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N/A</Manager>
  <Company>Department of Energy, Environment and Climate Action </Company>
  <LinksUpToDate>false</LinksUpToDate>
  <CharactersWithSpaces>19522</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Bushfire Management Snapshot – December 2025</dc:title>
  <dc:subject>Victoria’s Bushfire Management Snapshot – December 2025</dc:subject>
  <dc:creator>Department of Energy, Environment and Climate Action </dc:creator>
  <cp:keywords/>
  <dc:description>© The State of Victoria Department of Energy, Environment and Climate Action </dc:description>
  <cp:lastModifiedBy>Adrienne Y Murphy (DEECA)</cp:lastModifiedBy>
  <cp:revision>7</cp:revision>
  <dcterms:created xsi:type="dcterms:W3CDTF">2025-12-02T00:22:00Z</dcterms:created>
  <dcterms:modified xsi:type="dcterms:W3CDTF">2025-12-08T21:56:00Z</dcterms:modified>
  <cp:category>Snapshot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